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334315B6">
      <w:pPr>
        <w:spacing w:line="360" w:lineRule="auto"/>
        <w:ind w:right="989"/>
        <w:rPr>
          <w:rFonts w:ascii="黑体" w:hAnsi="宋体" w:eastAsia="黑体"/>
          <w:b/>
          <w:bCs/>
          <w:color w:val="000000" w:themeColor="text1"/>
          <w:spacing w:val="-10"/>
          <w:sz w:val="52"/>
          <w:szCs w:val="52"/>
          <w14:textFill>
            <w14:solidFill>
              <w14:schemeClr w14:val="tx1"/>
            </w14:solidFill>
          </w14:textFill>
        </w:rPr>
      </w:pPr>
      <w:r>
        <w:rPr>
          <w:rFonts w:hint="eastAsia" w:ascii="宋体" w:hAnsi="Calibri"/>
          <w:color w:val="000000" w:themeColor="text1"/>
          <w:spacing w:val="10"/>
          <w:kern w:val="0"/>
          <w:sz w:val="44"/>
          <w:szCs w:val="44"/>
          <w14:textFill>
            <w14:solidFill>
              <w14:schemeClr w14:val="tx1"/>
            </w14:solidFill>
          </w14:textFill>
        </w:rPr>
        <w:drawing>
          <wp:anchor distT="0" distB="0" distL="114935" distR="114935" simplePos="0" relativeHeight="251659264" behindDoc="1" locked="0" layoutInCell="1" allowOverlap="1">
            <wp:simplePos x="0" y="0"/>
            <wp:positionH relativeFrom="column">
              <wp:posOffset>-1143000</wp:posOffset>
            </wp:positionH>
            <wp:positionV relativeFrom="paragraph">
              <wp:posOffset>-910590</wp:posOffset>
            </wp:positionV>
            <wp:extent cx="7964805" cy="2985770"/>
            <wp:effectExtent l="0" t="0" r="1905" b="4445"/>
            <wp:wrapThrough wrapText="bothSides">
              <wp:wrapPolygon>
                <wp:start x="0" y="0"/>
                <wp:lineTo x="0" y="21320"/>
                <wp:lineTo x="21400" y="21320"/>
                <wp:lineTo x="21400" y="0"/>
                <wp:lineTo x="0" y="0"/>
              </wp:wrapPolygon>
            </wp:wrapThrough>
            <wp:docPr id="3"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模板-3"/>
                    <pic:cNvPicPr>
                      <a:picLocks noChangeAspect="1"/>
                    </pic:cNvPicPr>
                  </pic:nvPicPr>
                  <pic:blipFill>
                    <a:blip r:embed="rId7"/>
                    <a:stretch>
                      <a:fillRect/>
                    </a:stretch>
                  </pic:blipFill>
                  <pic:spPr>
                    <a:xfrm>
                      <a:off x="0" y="0"/>
                      <a:ext cx="7964805" cy="2985770"/>
                    </a:xfrm>
                    <a:prstGeom prst="rect">
                      <a:avLst/>
                    </a:prstGeom>
                    <a:noFill/>
                    <a:ln>
                      <a:noFill/>
                    </a:ln>
                  </pic:spPr>
                </pic:pic>
              </a:graphicData>
            </a:graphic>
          </wp:anchor>
        </w:drawing>
      </w:r>
    </w:p>
    <w:p w14:paraId="46744CF9">
      <w:pPr>
        <w:spacing w:line="600" w:lineRule="exact"/>
        <w:jc w:val="center"/>
        <w:rPr>
          <w:rFonts w:hint="eastAsia" w:ascii="黑体" w:hAnsi="黑体" w:eastAsia="黑体" w:cs="黑体"/>
          <w:b/>
          <w:color w:val="000000" w:themeColor="text1"/>
          <w:spacing w:val="10"/>
          <w:kern w:val="0"/>
          <w:sz w:val="44"/>
          <w:szCs w:val="44"/>
          <w14:textFill>
            <w14:solidFill>
              <w14:schemeClr w14:val="tx1"/>
            </w14:solidFill>
          </w14:textFill>
        </w:rPr>
      </w:pPr>
      <w:r>
        <w:rPr>
          <w:rFonts w:hint="eastAsia" w:ascii="黑体" w:hAnsi="黑体" w:eastAsia="黑体" w:cs="黑体"/>
          <w:b/>
          <w:color w:val="000000" w:themeColor="text1"/>
          <w:spacing w:val="10"/>
          <w:kern w:val="0"/>
          <w:sz w:val="44"/>
          <w:szCs w:val="44"/>
          <w14:textFill>
            <w14:solidFill>
              <w14:schemeClr w14:val="tx1"/>
            </w14:solidFill>
          </w14:textFill>
        </w:rPr>
        <w:t>贵州送变电有限责任公司林卡</w:t>
      </w:r>
      <w:r>
        <w:rPr>
          <w:rFonts w:hint="eastAsia" w:ascii="仿宋_GB2312" w:hAnsi="仿宋_GB2312" w:cs="仿宋_GB2312"/>
          <w:b/>
          <w:bCs/>
          <w:color w:val="000000" w:themeColor="text1"/>
          <w:szCs w:val="32"/>
          <w14:textFill>
            <w14:solidFill>
              <w14:schemeClr w14:val="tx1"/>
            </w14:solidFill>
          </w14:textFill>
        </w:rPr>
        <w:t>~</w:t>
      </w:r>
      <w:r>
        <w:rPr>
          <w:rFonts w:hint="eastAsia" w:ascii="黑体" w:hAnsi="黑体" w:eastAsia="黑体" w:cs="黑体"/>
          <w:b/>
          <w:color w:val="000000" w:themeColor="text1"/>
          <w:spacing w:val="10"/>
          <w:kern w:val="0"/>
          <w:sz w:val="44"/>
          <w:szCs w:val="44"/>
          <w14:textFill>
            <w14:solidFill>
              <w14:schemeClr w14:val="tx1"/>
            </w14:solidFill>
          </w14:textFill>
        </w:rPr>
        <w:t>青岩220kV线路工程(林卡220kV变220kV出线间隔扩建工程)-GIS局放在线监测设备</w:t>
      </w:r>
    </w:p>
    <w:p w14:paraId="4AF44E97">
      <w:pPr>
        <w:spacing w:line="600" w:lineRule="exact"/>
        <w:jc w:val="center"/>
        <w:rPr>
          <w:rFonts w:ascii="黑体" w:hAnsi="黑体" w:eastAsia="黑体" w:cs="黑体"/>
          <w:b/>
          <w:color w:val="000000" w:themeColor="text1"/>
          <w:spacing w:val="10"/>
          <w:kern w:val="0"/>
          <w:sz w:val="44"/>
          <w:szCs w:val="44"/>
          <w:lang w:val="zh-CN"/>
          <w14:textFill>
            <w14:solidFill>
              <w14:schemeClr w14:val="tx1"/>
            </w14:solidFill>
          </w14:textFill>
        </w:rPr>
      </w:pPr>
      <w:r>
        <w:rPr>
          <w:rFonts w:hint="eastAsia" w:ascii="黑体" w:hAnsi="黑体" w:eastAsia="黑体" w:cs="黑体"/>
          <w:b/>
          <w:color w:val="000000" w:themeColor="text1"/>
          <w:spacing w:val="10"/>
          <w:kern w:val="0"/>
          <w:sz w:val="44"/>
          <w:szCs w:val="44"/>
          <w14:textFill>
            <w14:solidFill>
              <w14:schemeClr w14:val="tx1"/>
            </w14:solidFill>
          </w14:textFill>
        </w:rPr>
        <w:t>数据接入综合处理单元技术服务</w:t>
      </w:r>
    </w:p>
    <w:p w14:paraId="2F1BFA09">
      <w:pPr>
        <w:spacing w:line="600" w:lineRule="exact"/>
        <w:jc w:val="center"/>
        <w:rPr>
          <w:rFonts w:ascii="黑体" w:hAnsi="黑体" w:eastAsia="黑体" w:cs="黑体"/>
          <w:b/>
          <w:spacing w:val="10"/>
          <w:kern w:val="0"/>
          <w:sz w:val="44"/>
          <w:szCs w:val="44"/>
          <w:lang w:val="zh-CN"/>
        </w:rPr>
      </w:pPr>
    </w:p>
    <w:p w14:paraId="14204144">
      <w:pPr>
        <w:spacing w:line="600" w:lineRule="exact"/>
        <w:rPr>
          <w:rFonts w:ascii="黑体" w:hAnsi="黑体" w:eastAsia="黑体" w:cs="黑体"/>
          <w:b/>
          <w:spacing w:val="10"/>
          <w:kern w:val="0"/>
          <w:sz w:val="44"/>
          <w:szCs w:val="44"/>
          <w:lang w:bidi="ar"/>
        </w:rPr>
      </w:pPr>
    </w:p>
    <w:p w14:paraId="0F4A84CB">
      <w:pPr>
        <w:spacing w:line="600" w:lineRule="exact"/>
        <w:jc w:val="center"/>
        <w:rPr>
          <w:rFonts w:ascii="黑体" w:hAnsi="黑体" w:eastAsia="黑体" w:cs="黑体"/>
          <w:b/>
          <w:sz w:val="44"/>
          <w:szCs w:val="44"/>
        </w:rPr>
      </w:pPr>
      <w:r>
        <w:rPr>
          <w:rFonts w:hint="eastAsia" w:ascii="黑体" w:hAnsi="黑体" w:eastAsia="黑体" w:cs="黑体"/>
          <w:b/>
          <w:spacing w:val="10"/>
          <w:kern w:val="0"/>
          <w:sz w:val="44"/>
          <w:szCs w:val="44"/>
          <w:lang w:bidi="ar"/>
        </w:rPr>
        <w:t>技术规范书</w:t>
      </w:r>
    </w:p>
    <w:p w14:paraId="1F6B6D06">
      <w:pPr>
        <w:spacing w:line="360" w:lineRule="auto"/>
        <w:jc w:val="center"/>
        <w:rPr>
          <w:rFonts w:ascii="宋体" w:hAnsi="Calibri" w:eastAsia="黑体" w:cs="黑体"/>
          <w:b/>
          <w:spacing w:val="10"/>
          <w:kern w:val="0"/>
          <w:sz w:val="36"/>
          <w:szCs w:val="20"/>
          <w:lang w:bidi="ar"/>
        </w:rPr>
      </w:pPr>
    </w:p>
    <w:p w14:paraId="43396E20"/>
    <w:p w14:paraId="30ABDFFB"/>
    <w:p w14:paraId="4D3A3199">
      <w:pPr>
        <w:spacing w:line="600" w:lineRule="exact"/>
        <w:rPr>
          <w:rFonts w:ascii="黑体" w:hAnsi="黑体" w:eastAsia="黑体" w:cs="黑体"/>
          <w:b/>
          <w:spacing w:val="10"/>
          <w:kern w:val="0"/>
          <w:szCs w:val="32"/>
          <w:lang w:bidi="ar"/>
        </w:rPr>
      </w:pPr>
    </w:p>
    <w:p w14:paraId="75F6AFDB">
      <w:pPr>
        <w:spacing w:line="600" w:lineRule="exact"/>
        <w:jc w:val="center"/>
        <w:rPr>
          <w:rFonts w:ascii="黑体" w:hAnsi="黑体" w:eastAsia="黑体" w:cs="黑体"/>
          <w:b/>
          <w:spacing w:val="10"/>
          <w:kern w:val="0"/>
          <w:szCs w:val="32"/>
          <w:lang w:bidi="ar"/>
        </w:rPr>
      </w:pPr>
    </w:p>
    <w:p w14:paraId="5AFFE60A">
      <w:pPr>
        <w:spacing w:line="600" w:lineRule="exact"/>
        <w:jc w:val="center"/>
        <w:rPr>
          <w:rFonts w:ascii="黑体" w:hAnsi="黑体" w:eastAsia="黑体" w:cs="黑体"/>
          <w:b/>
          <w:spacing w:val="10"/>
          <w:kern w:val="0"/>
          <w:szCs w:val="32"/>
          <w:lang w:bidi="ar"/>
        </w:rPr>
      </w:pPr>
      <w:r>
        <w:rPr>
          <w:rFonts w:hint="eastAsia" w:ascii="黑体" w:hAnsi="黑体" w:eastAsia="黑体" w:cs="黑体"/>
          <w:b/>
          <w:spacing w:val="10"/>
          <w:kern w:val="0"/>
          <w:szCs w:val="32"/>
          <w:lang w:bidi="ar"/>
        </w:rPr>
        <w:t>贵州送变电有限责任公司</w:t>
      </w:r>
    </w:p>
    <w:p w14:paraId="04EFAFDB">
      <w:pPr>
        <w:spacing w:line="600" w:lineRule="exact"/>
        <w:jc w:val="center"/>
        <w:rPr>
          <w:rFonts w:ascii="黑体" w:hAnsi="黑体" w:eastAsia="黑体" w:cs="黑体"/>
          <w:b/>
          <w:spacing w:val="10"/>
          <w:kern w:val="0"/>
          <w:szCs w:val="32"/>
          <w:lang w:bidi="ar"/>
        </w:rPr>
      </w:pPr>
      <w:r>
        <w:rPr>
          <w:rFonts w:hint="eastAsia" w:ascii="黑体" w:hAnsi="黑体" w:eastAsia="黑体" w:cs="黑体"/>
          <w:b/>
          <w:spacing w:val="10"/>
          <w:kern w:val="0"/>
          <w:szCs w:val="32"/>
          <w:lang w:bidi="ar"/>
        </w:rPr>
        <w:t>2025年</w:t>
      </w:r>
      <w:r>
        <w:rPr>
          <w:rFonts w:hint="eastAsia" w:ascii="黑体" w:hAnsi="黑体" w:eastAsia="黑体" w:cs="黑体"/>
          <w:b/>
          <w:spacing w:val="10"/>
          <w:kern w:val="0"/>
          <w:szCs w:val="32"/>
          <w:lang w:val="en-US" w:eastAsia="zh-CN" w:bidi="ar"/>
        </w:rPr>
        <w:t>5</w:t>
      </w:r>
      <w:r>
        <w:rPr>
          <w:rFonts w:hint="eastAsia" w:ascii="黑体" w:hAnsi="黑体" w:eastAsia="黑体" w:cs="黑体"/>
          <w:b/>
          <w:spacing w:val="10"/>
          <w:kern w:val="0"/>
          <w:szCs w:val="32"/>
          <w:lang w:bidi="ar"/>
        </w:rPr>
        <w:t>月</w:t>
      </w:r>
    </w:p>
    <w:p w14:paraId="0E617809">
      <w:pPr>
        <w:spacing w:line="360" w:lineRule="auto"/>
        <w:jc w:val="center"/>
        <w:rPr>
          <w:rFonts w:ascii="方正小标宋_GBK" w:hAnsi="方正小标宋_GBK" w:eastAsia="方正小标宋_GBK" w:cs="方正小标宋_GBK"/>
          <w:b/>
          <w:bCs/>
          <w:sz w:val="44"/>
          <w:szCs w:val="44"/>
        </w:rPr>
      </w:pPr>
    </w:p>
    <w:p w14:paraId="453F2F32">
      <w:pPr>
        <w:spacing w:line="600" w:lineRule="exact"/>
        <w:rPr>
          <w:rFonts w:ascii="黑体" w:hAnsi="黑体" w:eastAsia="黑体" w:cs="黑体"/>
          <w:b/>
          <w:bCs/>
          <w:sz w:val="44"/>
          <w:szCs w:val="44"/>
        </w:rPr>
        <w:sectPr>
          <w:footerReference r:id="rId3" w:type="default"/>
          <w:pgSz w:w="11906" w:h="16838"/>
          <w:pgMar w:top="1440" w:right="1800" w:bottom="1440" w:left="1800" w:header="851" w:footer="992" w:gutter="0"/>
          <w:pgNumType w:start="0"/>
          <w:cols w:space="720" w:num="1"/>
          <w:titlePg/>
          <w:docGrid w:type="lines" w:linePitch="312" w:charSpace="0"/>
        </w:sectPr>
      </w:pPr>
    </w:p>
    <w:p w14:paraId="48A5A160">
      <w:pPr>
        <w:pStyle w:val="2"/>
        <w:numPr>
          <w:ilvl w:val="0"/>
          <w:numId w:val="0"/>
        </w:numPr>
        <w:spacing w:line="360" w:lineRule="auto"/>
        <w:rPr>
          <w:rFonts w:ascii="宋体" w:hAnsi="宋体" w:eastAsia="宋体"/>
          <w:b/>
          <w:sz w:val="24"/>
          <w:szCs w:val="24"/>
        </w:rPr>
      </w:pPr>
      <w:bookmarkStart w:id="0" w:name="_Toc16312"/>
      <w:bookmarkStart w:id="1" w:name="_Toc10036"/>
      <w:bookmarkStart w:id="2" w:name="_Toc7561"/>
      <w:bookmarkStart w:id="3" w:name="_Toc13837"/>
      <w:bookmarkStart w:id="4" w:name="_Toc10449"/>
      <w:bookmarkStart w:id="5" w:name="_Toc437"/>
      <w:bookmarkStart w:id="6" w:name="_Toc17924"/>
      <w:bookmarkStart w:id="7" w:name="_Toc39063949"/>
      <w:bookmarkStart w:id="8" w:name="_Toc25145"/>
      <w:r>
        <w:rPr>
          <w:rFonts w:hint="eastAsia" w:ascii="宋体" w:hAnsi="宋体" w:eastAsia="宋体"/>
          <w:b/>
          <w:sz w:val="24"/>
          <w:szCs w:val="24"/>
        </w:rPr>
        <w:t>一、</w:t>
      </w:r>
      <w:bookmarkEnd w:id="0"/>
      <w:bookmarkEnd w:id="1"/>
      <w:bookmarkEnd w:id="2"/>
      <w:bookmarkEnd w:id="3"/>
      <w:bookmarkEnd w:id="4"/>
      <w:bookmarkEnd w:id="5"/>
      <w:bookmarkEnd w:id="6"/>
      <w:bookmarkEnd w:id="7"/>
      <w:bookmarkStart w:id="9" w:name="_Toc4310"/>
      <w:r>
        <w:rPr>
          <w:rFonts w:hint="eastAsia" w:ascii="宋体" w:hAnsi="宋体" w:eastAsia="宋体"/>
          <w:b/>
          <w:sz w:val="24"/>
          <w:szCs w:val="24"/>
        </w:rPr>
        <w:t>总则</w:t>
      </w:r>
      <w:bookmarkEnd w:id="8"/>
    </w:p>
    <w:bookmarkEnd w:id="9"/>
    <w:p w14:paraId="76EEE641">
      <w:pPr>
        <w:spacing w:line="360" w:lineRule="auto"/>
        <w:ind w:firstLine="480" w:firstLineChars="200"/>
        <w:rPr>
          <w:rFonts w:ascii="宋体" w:hAnsi="宋体" w:eastAsia="宋体"/>
          <w:sz w:val="24"/>
          <w:szCs w:val="24"/>
        </w:rPr>
      </w:pPr>
      <w:bookmarkStart w:id="10" w:name="_Toc2545"/>
      <w:bookmarkStart w:id="11" w:name="_Toc39063952"/>
      <w:bookmarkStart w:id="12" w:name="_Toc31183"/>
      <w:bookmarkStart w:id="13" w:name="_Toc15761"/>
      <w:bookmarkStart w:id="14" w:name="_Toc13631"/>
      <w:r>
        <w:rPr>
          <w:rFonts w:hint="eastAsia" w:ascii="宋体" w:hAnsi="宋体" w:eastAsia="宋体"/>
          <w:sz w:val="24"/>
          <w:szCs w:val="24"/>
        </w:rPr>
        <w:t>1.1一般规定</w:t>
      </w:r>
    </w:p>
    <w:p w14:paraId="5CB31276">
      <w:pPr>
        <w:spacing w:line="360" w:lineRule="auto"/>
        <w:ind w:firstLine="480" w:firstLineChars="200"/>
        <w:rPr>
          <w:rFonts w:ascii="宋体" w:hAnsi="宋体" w:eastAsia="宋体" w:cs="仿宋_GB2312"/>
          <w:color w:val="auto"/>
          <w:sz w:val="24"/>
          <w:szCs w:val="24"/>
        </w:rPr>
      </w:pPr>
      <w:r>
        <w:rPr>
          <w:rFonts w:hint="eastAsia" w:ascii="宋体" w:hAnsi="宋体" w:eastAsia="宋体" w:cs="仿宋_GB2312"/>
          <w:color w:val="auto"/>
          <w:sz w:val="24"/>
          <w:szCs w:val="24"/>
        </w:rPr>
        <w:t>1）本技术规范书适用于贵州送变电有限责任公司承接的贵安供电局林卡~青岩220kV线路工程(林卡220kV变220kV出线间隔扩建工程)，需要在2</w:t>
      </w:r>
      <w:r>
        <w:rPr>
          <w:rFonts w:ascii="宋体" w:hAnsi="宋体" w:eastAsia="宋体" w:cs="仿宋_GB2312"/>
          <w:color w:val="auto"/>
          <w:sz w:val="24"/>
          <w:szCs w:val="24"/>
        </w:rPr>
        <w:t>20</w:t>
      </w:r>
      <w:r>
        <w:rPr>
          <w:rFonts w:hint="eastAsia" w:ascii="宋体" w:hAnsi="宋体" w:eastAsia="宋体" w:cs="仿宋_GB2312"/>
          <w:color w:val="auto"/>
          <w:sz w:val="24"/>
          <w:szCs w:val="24"/>
        </w:rPr>
        <w:t>k</w:t>
      </w:r>
      <w:r>
        <w:rPr>
          <w:rFonts w:ascii="宋体" w:hAnsi="宋体" w:eastAsia="宋体" w:cs="仿宋_GB2312"/>
          <w:color w:val="auto"/>
          <w:sz w:val="24"/>
          <w:szCs w:val="24"/>
        </w:rPr>
        <w:t>V</w:t>
      </w:r>
      <w:r>
        <w:rPr>
          <w:rFonts w:hint="eastAsia" w:ascii="宋体" w:hAnsi="宋体" w:eastAsia="宋体" w:cs="仿宋_GB2312"/>
          <w:color w:val="auto"/>
          <w:sz w:val="24"/>
          <w:szCs w:val="24"/>
        </w:rPr>
        <w:t>林卡变电站进行GIS局放在线监测设备数据接入综合处理单元技术服务工作，为保证原有在线监测设备一致性和服务配套要求，项目施工过程中经贵安供电局同意，以上项目的改造工作需</w:t>
      </w:r>
      <w:r>
        <w:rPr>
          <w:rFonts w:hint="eastAsia" w:ascii="宋体" w:hAnsi="宋体" w:eastAsia="宋体" w:cs="仿宋_GB2312"/>
          <w:color w:val="auto"/>
          <w:sz w:val="24"/>
          <w:szCs w:val="24"/>
          <w:lang w:val="en-US" w:eastAsia="zh-CN"/>
        </w:rPr>
        <w:t>综合处理单元</w:t>
      </w:r>
      <w:r>
        <w:rPr>
          <w:rFonts w:hint="eastAsia" w:ascii="宋体" w:hAnsi="宋体" w:eastAsia="宋体" w:cs="仿宋_GB2312"/>
          <w:color w:val="auto"/>
          <w:sz w:val="24"/>
          <w:szCs w:val="24"/>
        </w:rPr>
        <w:t>原设备生产厂家（贵州灵上希科技有限公司）提供相关技术服务支持。</w:t>
      </w:r>
    </w:p>
    <w:p w14:paraId="209E151A">
      <w:pPr>
        <w:spacing w:line="360" w:lineRule="auto"/>
        <w:ind w:firstLine="480" w:firstLineChars="200"/>
        <w:rPr>
          <w:rFonts w:ascii="宋体" w:hAnsi="宋体" w:eastAsia="宋体" w:cs="仿宋_GB2312"/>
          <w:sz w:val="24"/>
          <w:szCs w:val="24"/>
        </w:rPr>
      </w:pPr>
      <w:r>
        <w:rPr>
          <w:rFonts w:hint="eastAsia" w:ascii="宋体" w:hAnsi="宋体" w:eastAsia="宋体" w:cs="仿宋_GB2312"/>
          <w:sz w:val="24"/>
          <w:szCs w:val="24"/>
        </w:rPr>
        <w:t>2）本技术规范书提出的是最低限度的技术要求。凡本技术规范书中未规定，但在相关行业标准、国家标准或IEC标准中有规定的规范条文，投标方应按相关标准的最高技术要求执行。对国家有关安全、环保等强制性标准，必须满足其要求。</w:t>
      </w:r>
    </w:p>
    <w:p w14:paraId="0D9C354F">
      <w:pPr>
        <w:spacing w:line="360" w:lineRule="auto"/>
        <w:ind w:firstLine="480" w:firstLineChars="200"/>
        <w:rPr>
          <w:rFonts w:ascii="宋体" w:hAnsi="宋体" w:eastAsia="宋体" w:cs="仿宋_GB2312"/>
          <w:sz w:val="24"/>
          <w:szCs w:val="24"/>
        </w:rPr>
      </w:pPr>
      <w:r>
        <w:rPr>
          <w:rFonts w:hint="eastAsia" w:ascii="宋体" w:hAnsi="宋体" w:eastAsia="宋体" w:cs="仿宋_GB2312"/>
          <w:sz w:val="24"/>
          <w:szCs w:val="24"/>
        </w:rPr>
        <w:t>3）如果投标方没有以书面形式对本技术规范书的条文提出异议，则意味着投标方提供的服务完全符合本技术规范书的要求。如有异议，不管是多么微小，都应在投标文件中以“技术偏差表”为标题的专门章节中加以详细描述。</w:t>
      </w:r>
    </w:p>
    <w:p w14:paraId="3BC202D8">
      <w:pPr>
        <w:spacing w:line="360" w:lineRule="auto"/>
        <w:ind w:firstLine="480" w:firstLineChars="200"/>
        <w:rPr>
          <w:rFonts w:ascii="宋体" w:hAnsi="宋体" w:eastAsia="宋体" w:cs="仿宋_GB2312"/>
          <w:sz w:val="24"/>
          <w:szCs w:val="24"/>
        </w:rPr>
      </w:pPr>
      <w:r>
        <w:rPr>
          <w:rFonts w:hint="eastAsia" w:ascii="宋体" w:hAnsi="宋体" w:eastAsia="宋体" w:cs="仿宋_GB2312"/>
          <w:sz w:val="24"/>
          <w:szCs w:val="24"/>
        </w:rPr>
        <w:t>4）本技术规范书所使用的标准如遇与投标方所执行的标准不一致时，按技术要求较高的标准执行。</w:t>
      </w:r>
    </w:p>
    <w:p w14:paraId="17D4F581">
      <w:pPr>
        <w:spacing w:line="360" w:lineRule="auto"/>
        <w:ind w:firstLine="480" w:firstLineChars="200"/>
        <w:rPr>
          <w:rFonts w:ascii="宋体" w:hAnsi="宋体" w:eastAsia="宋体" w:cs="仿宋_GB2312"/>
          <w:sz w:val="24"/>
          <w:szCs w:val="24"/>
        </w:rPr>
      </w:pPr>
      <w:r>
        <w:rPr>
          <w:rFonts w:hint="eastAsia" w:ascii="宋体" w:hAnsi="宋体" w:eastAsia="宋体" w:cs="仿宋_GB2312"/>
          <w:sz w:val="24"/>
          <w:szCs w:val="24"/>
        </w:rPr>
        <w:t>5）本技术规范书经买、卖双方确认后作为技术服务合同的技术附件，与合同正文具有同等的法律效力。</w:t>
      </w:r>
    </w:p>
    <w:p w14:paraId="02801BC1">
      <w:pPr>
        <w:spacing w:line="360" w:lineRule="auto"/>
        <w:ind w:firstLine="480" w:firstLineChars="200"/>
        <w:rPr>
          <w:rFonts w:ascii="宋体" w:hAnsi="宋体" w:eastAsia="宋体" w:cs="仿宋_GB2312"/>
          <w:sz w:val="24"/>
          <w:szCs w:val="24"/>
        </w:rPr>
      </w:pPr>
      <w:r>
        <w:rPr>
          <w:rFonts w:hint="eastAsia" w:ascii="宋体" w:hAnsi="宋体" w:eastAsia="宋体" w:cs="仿宋_GB2312"/>
          <w:sz w:val="24"/>
          <w:szCs w:val="24"/>
        </w:rPr>
        <w:t>6）本技术规范书未尽事宜，由技术服务买、卖双方协商确定。</w:t>
      </w:r>
    </w:p>
    <w:p w14:paraId="7F66A600">
      <w:pPr>
        <w:spacing w:line="360" w:lineRule="auto"/>
        <w:ind w:firstLine="480" w:firstLineChars="200"/>
        <w:rPr>
          <w:rFonts w:ascii="宋体" w:hAnsi="宋体" w:eastAsia="宋体" w:cs="仿宋_GB2312"/>
          <w:sz w:val="24"/>
          <w:szCs w:val="24"/>
        </w:rPr>
      </w:pPr>
      <w:r>
        <w:rPr>
          <w:rFonts w:hint="eastAsia" w:ascii="宋体" w:hAnsi="宋体" w:eastAsia="宋体" w:cs="仿宋_GB2312"/>
          <w:sz w:val="24"/>
          <w:szCs w:val="24"/>
        </w:rPr>
        <w:t>7）投标方在投标技术文件中应如实反映投标产品与本技术规范书的技术差异。如果投标方没有提出技术差异，而在执行合同的过程中，招标方发现投标方提供的技术服务与其投标技术文件的条文存在差异，招标方有权利终止技术服务，并追究投标方违约责任。</w:t>
      </w:r>
    </w:p>
    <w:p w14:paraId="26A09FF1">
      <w:pPr>
        <w:spacing w:line="360" w:lineRule="auto"/>
        <w:ind w:firstLine="480" w:firstLineChars="200"/>
        <w:rPr>
          <w:rFonts w:ascii="宋体" w:hAnsi="宋体" w:eastAsia="宋体" w:cs="仿宋_GB2312"/>
          <w:sz w:val="24"/>
          <w:szCs w:val="24"/>
        </w:rPr>
      </w:pPr>
      <w:r>
        <w:rPr>
          <w:rFonts w:hint="eastAsia" w:ascii="宋体" w:hAnsi="宋体" w:eastAsia="宋体" w:cs="仿宋_GB2312"/>
          <w:sz w:val="24"/>
          <w:szCs w:val="24"/>
        </w:rPr>
        <w:t>8）投标方应在投标技术部分按本技术规范书的要求如实详细的填写所提供技术服务的标准配置表，并在投标商务部分按此标准配置进行报价，如发现二者有矛盾之处，将按有利于招标方的条款执行。</w:t>
      </w:r>
    </w:p>
    <w:p w14:paraId="44185BDF">
      <w:pPr>
        <w:spacing w:line="360" w:lineRule="auto"/>
        <w:ind w:firstLine="480" w:firstLineChars="200"/>
        <w:rPr>
          <w:rFonts w:ascii="宋体" w:hAnsi="宋体" w:eastAsia="宋体" w:cs="仿宋_GB2312"/>
          <w:sz w:val="24"/>
          <w:szCs w:val="24"/>
        </w:rPr>
      </w:pPr>
      <w:r>
        <w:rPr>
          <w:rFonts w:hint="eastAsia" w:ascii="宋体" w:hAnsi="宋体" w:eastAsia="宋体" w:cs="仿宋_GB2312"/>
          <w:sz w:val="24"/>
          <w:szCs w:val="24"/>
        </w:rPr>
        <w:t>9）投标方应充分理解本技术规范书并按具体条款、格式要求填写投标的技术文件，如发现投标的技术文件条款、格式不符合本技术规范书的要求，则认为投标不严肃，在评标时将有不同程度的扣分。</w:t>
      </w:r>
    </w:p>
    <w:bookmarkEnd w:id="10"/>
    <w:bookmarkEnd w:id="11"/>
    <w:bookmarkEnd w:id="12"/>
    <w:bookmarkEnd w:id="13"/>
    <w:bookmarkEnd w:id="14"/>
    <w:p w14:paraId="027D2568">
      <w:pPr>
        <w:spacing w:line="360" w:lineRule="auto"/>
        <w:ind w:firstLine="480" w:firstLineChars="200"/>
        <w:rPr>
          <w:rFonts w:ascii="宋体" w:hAnsi="宋体" w:eastAsia="宋体"/>
          <w:sz w:val="24"/>
          <w:szCs w:val="24"/>
        </w:rPr>
      </w:pPr>
      <w:r>
        <w:rPr>
          <w:rFonts w:hint="eastAsia" w:ascii="宋体" w:hAnsi="宋体" w:eastAsia="宋体"/>
          <w:sz w:val="24"/>
          <w:szCs w:val="24"/>
        </w:rPr>
        <w:t>1.2应遵循的主要标准</w:t>
      </w:r>
    </w:p>
    <w:p w14:paraId="3185734D">
      <w:pPr>
        <w:spacing w:line="360" w:lineRule="auto"/>
        <w:ind w:firstLine="480" w:firstLineChars="200"/>
        <w:rPr>
          <w:rFonts w:ascii="宋体" w:hAnsi="宋体" w:eastAsia="宋体" w:cs="仿宋_GB2312"/>
          <w:sz w:val="24"/>
          <w:szCs w:val="24"/>
        </w:rPr>
      </w:pPr>
      <w:r>
        <w:rPr>
          <w:rFonts w:hint="eastAsia" w:ascii="宋体" w:hAnsi="宋体" w:eastAsia="宋体" w:cs="仿宋_GB2312"/>
          <w:sz w:val="24"/>
          <w:szCs w:val="24"/>
        </w:rPr>
        <w:t>除本技术规范特殊规定外，投标方所提供的技术服务均按规定的标准和规程的最新版本进行。如果这些标准内容有矛盾时，应按技术要求最高的条款执行或按双方商定的标准执行。如果投标方选用本技术规范规定以外的标准时，则需提交这种替换标准供审查和分析。仅在投标方已证明替换标准相当或优于技术规范规定的标准，并从招标方处获得书面的认可才能使用。提交供审查的标准应为中文版本。</w:t>
      </w:r>
    </w:p>
    <w:p w14:paraId="6BE201F7">
      <w:pPr>
        <w:spacing w:line="360" w:lineRule="auto"/>
        <w:ind w:firstLine="480" w:firstLineChars="200"/>
        <w:rPr>
          <w:rFonts w:ascii="宋体" w:hAnsi="宋体" w:eastAsia="宋体" w:cs="仿宋_GB2312"/>
          <w:sz w:val="24"/>
          <w:szCs w:val="24"/>
        </w:rPr>
      </w:pPr>
      <w:r>
        <w:rPr>
          <w:rFonts w:hint="eastAsia" w:ascii="宋体" w:hAnsi="宋体" w:eastAsia="宋体" w:cs="仿宋_GB2312"/>
          <w:sz w:val="24"/>
          <w:szCs w:val="24"/>
        </w:rPr>
        <w:t>下列文件对于本技术规范书的应用是必不可少。凡是注日期的引用文件，仅注日期的版本适用于本技术规范书。凡是不注日期的引用文件，其最新版本（包括所有的修改单）适用于本技术规范书：</w:t>
      </w:r>
    </w:p>
    <w:p w14:paraId="5DFFB866">
      <w:pPr>
        <w:spacing w:line="276" w:lineRule="auto"/>
        <w:ind w:firstLine="480" w:firstLineChars="200"/>
        <w:rPr>
          <w:rFonts w:ascii="宋体" w:hAnsi="宋体" w:eastAsia="宋体" w:cs="仿宋_GB2312"/>
          <w:sz w:val="24"/>
          <w:szCs w:val="24"/>
        </w:rPr>
      </w:pPr>
      <w:r>
        <w:rPr>
          <w:rFonts w:hint="eastAsia" w:ascii="宋体" w:hAnsi="宋体" w:eastAsia="宋体" w:cs="仿宋_GB2312"/>
          <w:sz w:val="24"/>
          <w:szCs w:val="24"/>
        </w:rPr>
        <w:t>Q/CSG1206007-2017</w:t>
      </w:r>
      <w:r>
        <w:rPr>
          <w:rFonts w:hint="eastAsia" w:ascii="宋体" w:hAnsi="宋体" w:eastAsia="宋体" w:cs="仿宋_GB2312"/>
          <w:sz w:val="24"/>
          <w:szCs w:val="24"/>
        </w:rPr>
        <w:tab/>
      </w:r>
      <w:r>
        <w:rPr>
          <w:rFonts w:hint="eastAsia" w:ascii="宋体" w:hAnsi="宋体" w:eastAsia="宋体" w:cs="仿宋_GB2312"/>
          <w:sz w:val="24"/>
          <w:szCs w:val="24"/>
        </w:rPr>
        <w:t>电力设备检修试验规程</w:t>
      </w:r>
    </w:p>
    <w:p w14:paraId="4AA70911">
      <w:pPr>
        <w:spacing w:line="276" w:lineRule="auto"/>
        <w:ind w:firstLine="480" w:firstLineChars="200"/>
        <w:rPr>
          <w:rFonts w:ascii="宋体" w:hAnsi="宋体" w:eastAsia="宋体" w:cs="仿宋_GB2312"/>
          <w:sz w:val="24"/>
          <w:szCs w:val="24"/>
        </w:rPr>
      </w:pPr>
      <w:r>
        <w:rPr>
          <w:rFonts w:hint="eastAsia" w:ascii="宋体" w:hAnsi="宋体" w:eastAsia="宋体" w:cs="仿宋_GB2312"/>
          <w:sz w:val="24"/>
          <w:szCs w:val="24"/>
        </w:rPr>
        <w:t>Q/CSG</w:t>
      </w:r>
      <w:r>
        <w:rPr>
          <w:rFonts w:hint="eastAsia" w:ascii="宋体" w:hAnsi="宋体" w:eastAsia="宋体" w:cs="仿宋_GB2312"/>
          <w:sz w:val="24"/>
          <w:szCs w:val="24"/>
        </w:rPr>
        <w:tab/>
      </w:r>
      <w:r>
        <w:rPr>
          <w:rFonts w:hint="eastAsia" w:ascii="宋体" w:hAnsi="宋体" w:eastAsia="宋体" w:cs="仿宋_GB2312"/>
          <w:sz w:val="24"/>
          <w:szCs w:val="24"/>
        </w:rPr>
        <w:t>变电设备运维规程</w:t>
      </w:r>
    </w:p>
    <w:p w14:paraId="198BD989">
      <w:pPr>
        <w:spacing w:line="276" w:lineRule="auto"/>
        <w:ind w:firstLine="480" w:firstLineChars="200"/>
        <w:rPr>
          <w:rFonts w:ascii="宋体" w:hAnsi="宋体" w:eastAsia="宋体" w:cs="仿宋_GB2312"/>
          <w:sz w:val="24"/>
          <w:szCs w:val="24"/>
        </w:rPr>
      </w:pPr>
      <w:r>
        <w:rPr>
          <w:rFonts w:hint="eastAsia" w:ascii="宋体" w:hAnsi="宋体" w:eastAsia="宋体" w:cs="仿宋_GB2312"/>
          <w:sz w:val="24"/>
          <w:szCs w:val="24"/>
        </w:rPr>
        <w:t>Q/CSG510001-2015</w:t>
      </w:r>
      <w:r>
        <w:rPr>
          <w:rFonts w:hint="eastAsia" w:ascii="宋体" w:hAnsi="宋体" w:eastAsia="宋体" w:cs="仿宋_GB2312"/>
          <w:sz w:val="24"/>
          <w:szCs w:val="24"/>
        </w:rPr>
        <w:tab/>
      </w:r>
      <w:r>
        <w:rPr>
          <w:rFonts w:hint="eastAsia" w:ascii="宋体" w:hAnsi="宋体" w:eastAsia="宋体" w:cs="仿宋_GB2312"/>
          <w:sz w:val="24"/>
          <w:szCs w:val="24"/>
        </w:rPr>
        <w:t>中国南方电网有限责任公司电力安全工作规程</w:t>
      </w:r>
    </w:p>
    <w:p w14:paraId="5CC48159">
      <w:pPr>
        <w:spacing w:line="276" w:lineRule="auto"/>
        <w:ind w:firstLine="480" w:firstLineChars="200"/>
        <w:rPr>
          <w:rFonts w:ascii="宋体" w:hAnsi="宋体" w:eastAsia="宋体" w:cs="仿宋_GB2312"/>
          <w:sz w:val="24"/>
          <w:szCs w:val="24"/>
        </w:rPr>
      </w:pPr>
      <w:r>
        <w:rPr>
          <w:rFonts w:hint="eastAsia" w:ascii="宋体" w:hAnsi="宋体" w:eastAsia="宋体" w:cs="仿宋_GB2312"/>
          <w:sz w:val="24"/>
          <w:szCs w:val="24"/>
        </w:rPr>
        <w:t>Q/CSG212002-2013</w:t>
      </w:r>
      <w:r>
        <w:rPr>
          <w:rFonts w:hint="eastAsia" w:ascii="宋体" w:hAnsi="宋体" w:eastAsia="宋体" w:cs="仿宋_GB2312"/>
          <w:sz w:val="24"/>
          <w:szCs w:val="24"/>
        </w:rPr>
        <w:tab/>
      </w:r>
      <w:r>
        <w:rPr>
          <w:rFonts w:hint="eastAsia" w:ascii="宋体" w:hAnsi="宋体" w:eastAsia="宋体" w:cs="仿宋_GB2312"/>
          <w:sz w:val="24"/>
          <w:szCs w:val="24"/>
        </w:rPr>
        <w:t>南方电网系统运行安全风险管理规定</w:t>
      </w:r>
    </w:p>
    <w:p w14:paraId="393DFFB0">
      <w:pPr>
        <w:spacing w:line="276" w:lineRule="auto"/>
        <w:ind w:firstLine="480" w:firstLineChars="200"/>
        <w:rPr>
          <w:rFonts w:ascii="宋体" w:hAnsi="宋体" w:eastAsia="宋体" w:cs="仿宋_GB2312"/>
          <w:sz w:val="24"/>
          <w:szCs w:val="24"/>
        </w:rPr>
      </w:pPr>
      <w:r>
        <w:rPr>
          <w:rFonts w:hint="eastAsia" w:ascii="宋体" w:hAnsi="宋体" w:eastAsia="宋体" w:cs="仿宋_GB2312"/>
          <w:sz w:val="24"/>
          <w:szCs w:val="24"/>
        </w:rPr>
        <w:t>Q/CSG210020-2014</w:t>
      </w:r>
      <w:r>
        <w:rPr>
          <w:rFonts w:hint="eastAsia" w:ascii="宋体" w:hAnsi="宋体" w:eastAsia="宋体" w:cs="仿宋_GB2312"/>
          <w:sz w:val="24"/>
          <w:szCs w:val="24"/>
        </w:rPr>
        <w:tab/>
      </w:r>
      <w:r>
        <w:rPr>
          <w:rFonts w:hint="eastAsia" w:ascii="宋体" w:hAnsi="宋体" w:eastAsia="宋体" w:cs="仿宋_GB2312"/>
          <w:sz w:val="24"/>
          <w:szCs w:val="24"/>
        </w:rPr>
        <w:t>中国南方电网有限责任公司电力事故事件调查规程</w:t>
      </w:r>
    </w:p>
    <w:p w14:paraId="28FF3F0E">
      <w:pPr>
        <w:spacing w:line="276" w:lineRule="auto"/>
        <w:ind w:firstLine="480" w:firstLineChars="200"/>
        <w:rPr>
          <w:rFonts w:ascii="宋体" w:hAnsi="宋体" w:eastAsia="宋体" w:cs="仿宋_GB2312"/>
          <w:color w:val="auto"/>
          <w:sz w:val="24"/>
          <w:szCs w:val="24"/>
        </w:rPr>
      </w:pPr>
      <w:r>
        <w:rPr>
          <w:rFonts w:hint="eastAsia" w:ascii="宋体" w:hAnsi="宋体" w:eastAsia="宋体" w:cs="仿宋_GB2312"/>
          <w:color w:val="auto"/>
          <w:sz w:val="24"/>
          <w:szCs w:val="24"/>
        </w:rPr>
        <w:t>DL/T720-2013</w:t>
      </w:r>
      <w:r>
        <w:rPr>
          <w:rFonts w:hint="eastAsia" w:ascii="宋体" w:hAnsi="宋体" w:eastAsia="宋体" w:cs="仿宋_GB2312"/>
          <w:color w:val="auto"/>
          <w:sz w:val="24"/>
          <w:szCs w:val="24"/>
        </w:rPr>
        <w:tab/>
      </w:r>
      <w:r>
        <w:rPr>
          <w:rFonts w:hint="eastAsia" w:ascii="宋体" w:hAnsi="宋体" w:eastAsia="宋体" w:cs="仿宋_GB2312"/>
          <w:color w:val="auto"/>
          <w:sz w:val="24"/>
          <w:szCs w:val="24"/>
        </w:rPr>
        <w:t>电力系统继电保护及安全自动装置柜（屏）通用技术条件</w:t>
      </w:r>
    </w:p>
    <w:p w14:paraId="6694DB29">
      <w:pPr>
        <w:spacing w:line="276" w:lineRule="auto"/>
        <w:ind w:firstLine="480" w:firstLineChars="200"/>
        <w:rPr>
          <w:rFonts w:ascii="宋体" w:hAnsi="宋体" w:eastAsia="宋体" w:cs="仿宋_GB2312"/>
          <w:color w:val="auto"/>
          <w:sz w:val="24"/>
          <w:szCs w:val="24"/>
        </w:rPr>
      </w:pPr>
      <w:r>
        <w:rPr>
          <w:rFonts w:hint="eastAsia" w:ascii="宋体" w:hAnsi="宋体" w:eastAsia="宋体" w:cs="仿宋_GB2312"/>
          <w:color w:val="auto"/>
          <w:sz w:val="24"/>
          <w:szCs w:val="24"/>
        </w:rPr>
        <w:t>DL/T860-2004</w:t>
      </w:r>
      <w:r>
        <w:rPr>
          <w:rFonts w:hint="eastAsia" w:ascii="宋体" w:hAnsi="宋体" w:eastAsia="宋体" w:cs="仿宋_GB2312"/>
          <w:color w:val="auto"/>
          <w:sz w:val="24"/>
          <w:szCs w:val="24"/>
        </w:rPr>
        <w:tab/>
      </w:r>
      <w:r>
        <w:rPr>
          <w:rFonts w:hint="eastAsia" w:ascii="宋体" w:hAnsi="宋体" w:eastAsia="宋体" w:cs="仿宋_GB2312"/>
          <w:color w:val="auto"/>
          <w:sz w:val="24"/>
          <w:szCs w:val="24"/>
        </w:rPr>
        <w:t>变电站通信网络和系统</w:t>
      </w:r>
    </w:p>
    <w:p w14:paraId="5132896C">
      <w:pPr>
        <w:spacing w:line="360" w:lineRule="auto"/>
        <w:ind w:firstLine="480" w:firstLineChars="200"/>
        <w:rPr>
          <w:rFonts w:ascii="宋体" w:hAnsi="宋体" w:eastAsia="宋体" w:cs="仿宋_GB2312"/>
          <w:color w:val="auto"/>
          <w:sz w:val="24"/>
          <w:szCs w:val="24"/>
        </w:rPr>
      </w:pPr>
      <w:r>
        <w:rPr>
          <w:rFonts w:ascii="宋体" w:hAnsi="宋体" w:eastAsia="宋体" w:cs="仿宋_GB2312"/>
          <w:color w:val="auto"/>
          <w:sz w:val="24"/>
          <w:szCs w:val="24"/>
        </w:rPr>
        <w:t>Q/CSG1204009</w:t>
      </w:r>
      <w:r>
        <w:rPr>
          <w:rFonts w:hint="eastAsia" w:ascii="宋体" w:hAnsi="宋体" w:eastAsia="宋体" w:cs="仿宋_GB2312"/>
          <w:color w:val="auto"/>
          <w:sz w:val="24"/>
          <w:szCs w:val="24"/>
        </w:rPr>
        <w:t>《</w:t>
      </w:r>
      <w:r>
        <w:rPr>
          <w:rFonts w:ascii="宋体" w:hAnsi="宋体" w:eastAsia="宋体" w:cs="仿宋_GB2312"/>
          <w:color w:val="auto"/>
          <w:sz w:val="24"/>
          <w:szCs w:val="24"/>
        </w:rPr>
        <w:t>中国南方电网电力监控系统安全防护技术规范</w:t>
      </w:r>
      <w:r>
        <w:rPr>
          <w:rFonts w:hint="eastAsia" w:ascii="宋体" w:hAnsi="宋体" w:eastAsia="宋体" w:cs="仿宋_GB2312"/>
          <w:color w:val="auto"/>
          <w:sz w:val="24"/>
          <w:szCs w:val="24"/>
        </w:rPr>
        <w:t>》</w:t>
      </w:r>
    </w:p>
    <w:p w14:paraId="65F95553">
      <w:pPr>
        <w:spacing w:line="360" w:lineRule="auto"/>
        <w:ind w:firstLine="480" w:firstLineChars="200"/>
        <w:rPr>
          <w:rFonts w:ascii="宋体" w:hAnsi="宋体" w:eastAsia="宋体" w:cs="仿宋_GB2312"/>
          <w:color w:val="auto"/>
          <w:sz w:val="24"/>
          <w:szCs w:val="24"/>
        </w:rPr>
      </w:pPr>
      <w:r>
        <w:rPr>
          <w:rFonts w:ascii="宋体" w:hAnsi="宋体" w:eastAsia="宋体" w:cs="仿宋_GB2312"/>
          <w:color w:val="auto"/>
          <w:sz w:val="24"/>
          <w:szCs w:val="24"/>
        </w:rPr>
        <w:t>Q/CSG 1203021</w:t>
      </w:r>
      <w:r>
        <w:rPr>
          <w:rFonts w:hint="eastAsia" w:ascii="宋体" w:hAnsi="宋体" w:eastAsia="宋体" w:cs="仿宋_GB2312"/>
          <w:color w:val="auto"/>
          <w:sz w:val="24"/>
          <w:szCs w:val="24"/>
        </w:rPr>
        <w:t>《</w:t>
      </w:r>
      <w:r>
        <w:rPr>
          <w:rFonts w:ascii="宋体" w:hAnsi="宋体" w:eastAsia="宋体" w:cs="仿宋_GB2312"/>
          <w:color w:val="auto"/>
          <w:sz w:val="24"/>
          <w:szCs w:val="24"/>
        </w:rPr>
        <w:t>南方电网公司变电设备在线监测装置通用技术规范</w:t>
      </w:r>
      <w:r>
        <w:rPr>
          <w:rFonts w:hint="eastAsia" w:ascii="宋体" w:hAnsi="宋体" w:eastAsia="宋体" w:cs="仿宋_GB2312"/>
          <w:color w:val="auto"/>
          <w:sz w:val="24"/>
          <w:szCs w:val="24"/>
        </w:rPr>
        <w:t>》</w:t>
      </w:r>
    </w:p>
    <w:p w14:paraId="0E63D35D">
      <w:pPr>
        <w:spacing w:line="360" w:lineRule="auto"/>
        <w:ind w:firstLine="480" w:firstLineChars="200"/>
        <w:rPr>
          <w:rFonts w:ascii="宋体" w:hAnsi="宋体" w:eastAsia="宋体" w:cs="仿宋_GB2312"/>
          <w:sz w:val="24"/>
          <w:szCs w:val="24"/>
        </w:rPr>
      </w:pPr>
      <w:r>
        <w:rPr>
          <w:rFonts w:hint="eastAsia" w:ascii="宋体" w:hAnsi="宋体" w:eastAsia="宋体" w:cs="仿宋_GB2312"/>
          <w:sz w:val="24"/>
          <w:szCs w:val="24"/>
        </w:rPr>
        <w:t>1.3投标人应提供的文件资料</w:t>
      </w:r>
    </w:p>
    <w:p w14:paraId="0E30EC85">
      <w:pPr>
        <w:spacing w:line="360" w:lineRule="auto"/>
        <w:ind w:firstLine="480" w:firstLineChars="200"/>
        <w:rPr>
          <w:rFonts w:ascii="宋体" w:hAnsi="宋体" w:eastAsia="宋体" w:cs="仿宋_GB2312"/>
          <w:sz w:val="24"/>
          <w:szCs w:val="24"/>
        </w:rPr>
      </w:pPr>
      <w:r>
        <w:rPr>
          <w:rFonts w:hint="eastAsia" w:ascii="宋体" w:hAnsi="宋体" w:eastAsia="宋体" w:cs="仿宋_GB2312"/>
          <w:sz w:val="24"/>
          <w:szCs w:val="24"/>
        </w:rPr>
        <w:t>投标人应按以下内容提供详实投标资料。</w:t>
      </w:r>
    </w:p>
    <w:p w14:paraId="78D1AF0F">
      <w:pPr>
        <w:spacing w:line="360" w:lineRule="auto"/>
        <w:ind w:firstLine="480" w:firstLineChars="200"/>
        <w:rPr>
          <w:rFonts w:ascii="宋体" w:hAnsi="宋体" w:eastAsia="宋体" w:cs="仿宋_GB2312"/>
          <w:sz w:val="24"/>
          <w:szCs w:val="24"/>
        </w:rPr>
      </w:pPr>
      <w:r>
        <w:rPr>
          <w:rFonts w:hint="eastAsia" w:ascii="宋体" w:hAnsi="宋体" w:eastAsia="宋体" w:cs="仿宋_GB2312"/>
          <w:sz w:val="24"/>
          <w:szCs w:val="24"/>
        </w:rPr>
        <w:t>1）投标人应建立了完善的质量保证体系。</w:t>
      </w:r>
    </w:p>
    <w:p w14:paraId="66C03A16">
      <w:pPr>
        <w:spacing w:line="360" w:lineRule="auto"/>
        <w:ind w:firstLine="480" w:firstLineChars="200"/>
        <w:rPr>
          <w:rFonts w:ascii="宋体" w:hAnsi="宋体" w:eastAsia="宋体" w:cs="仿宋_GB2312"/>
          <w:sz w:val="24"/>
          <w:szCs w:val="24"/>
        </w:rPr>
      </w:pPr>
      <w:r>
        <w:rPr>
          <w:rFonts w:hint="eastAsia" w:ascii="宋体" w:hAnsi="宋体" w:eastAsia="宋体" w:cs="仿宋_GB2312"/>
          <w:sz w:val="24"/>
          <w:szCs w:val="24"/>
        </w:rPr>
        <w:t>2）投标人提供的技术数据应为产品的性能保证数据，任何与这些数据的偏差都必须在投标文件中体现出来，不然视为虚假应标，并承担相应的后果。</w:t>
      </w:r>
      <w:bookmarkStart w:id="15" w:name="_Toc1596"/>
      <w:bookmarkStart w:id="16" w:name="_Toc39063953"/>
      <w:bookmarkStart w:id="17" w:name="_Toc18852"/>
      <w:bookmarkStart w:id="18" w:name="_Toc9764"/>
      <w:bookmarkStart w:id="19" w:name="_Toc8429"/>
      <w:bookmarkStart w:id="20" w:name="_Toc32101"/>
      <w:bookmarkStart w:id="21" w:name="_Toc28958"/>
      <w:bookmarkStart w:id="22" w:name="_Toc16536"/>
    </w:p>
    <w:p w14:paraId="61DD5CBB">
      <w:pPr>
        <w:pStyle w:val="2"/>
        <w:numPr>
          <w:ilvl w:val="0"/>
          <w:numId w:val="0"/>
        </w:numPr>
        <w:spacing w:line="360" w:lineRule="auto"/>
        <w:rPr>
          <w:rFonts w:ascii="宋体" w:hAnsi="宋体" w:eastAsia="宋体"/>
          <w:b/>
          <w:sz w:val="24"/>
          <w:szCs w:val="24"/>
        </w:rPr>
      </w:pPr>
      <w:bookmarkStart w:id="23" w:name="_Toc6540"/>
      <w:r>
        <w:rPr>
          <w:rFonts w:hint="eastAsia" w:ascii="宋体" w:hAnsi="宋体" w:eastAsia="宋体"/>
          <w:b/>
          <w:sz w:val="24"/>
          <w:szCs w:val="24"/>
        </w:rPr>
        <w:t>二、</w:t>
      </w:r>
      <w:bookmarkEnd w:id="15"/>
      <w:bookmarkEnd w:id="16"/>
      <w:bookmarkEnd w:id="17"/>
      <w:bookmarkEnd w:id="18"/>
      <w:bookmarkEnd w:id="19"/>
      <w:bookmarkEnd w:id="20"/>
      <w:bookmarkEnd w:id="21"/>
      <w:bookmarkEnd w:id="22"/>
      <w:r>
        <w:rPr>
          <w:rFonts w:hint="eastAsia" w:ascii="宋体" w:hAnsi="宋体" w:eastAsia="宋体"/>
          <w:b/>
          <w:sz w:val="24"/>
          <w:szCs w:val="24"/>
        </w:rPr>
        <w:t>技术要求</w:t>
      </w:r>
      <w:bookmarkEnd w:id="23"/>
    </w:p>
    <w:p w14:paraId="46CD3622">
      <w:pPr>
        <w:spacing w:line="360" w:lineRule="auto"/>
        <w:ind w:firstLine="480" w:firstLineChars="200"/>
        <w:rPr>
          <w:rFonts w:ascii="宋体" w:hAnsi="宋体" w:eastAsia="宋体" w:cs="仿宋_GB2312"/>
          <w:sz w:val="24"/>
          <w:szCs w:val="24"/>
        </w:rPr>
      </w:pPr>
      <w:r>
        <w:rPr>
          <w:rFonts w:hint="eastAsia" w:ascii="宋体" w:hAnsi="宋体" w:eastAsia="宋体" w:cs="仿宋_GB2312"/>
          <w:sz w:val="24"/>
          <w:szCs w:val="24"/>
        </w:rPr>
        <w:t>2.1服务范围</w:t>
      </w:r>
    </w:p>
    <w:p w14:paraId="12FC8BA5">
      <w:pPr>
        <w:spacing w:line="360" w:lineRule="auto"/>
        <w:ind w:firstLine="480" w:firstLineChars="200"/>
        <w:rPr>
          <w:rFonts w:ascii="宋体" w:hAnsi="宋体" w:eastAsia="宋体" w:cs="仿宋_GB2312"/>
          <w:color w:val="auto"/>
          <w:sz w:val="24"/>
          <w:szCs w:val="24"/>
        </w:rPr>
      </w:pPr>
      <w:r>
        <w:rPr>
          <w:rFonts w:hint="eastAsia" w:ascii="宋体" w:hAnsi="宋体" w:eastAsia="宋体" w:cs="仿宋_GB2312"/>
          <w:color w:val="auto"/>
          <w:sz w:val="24"/>
          <w:szCs w:val="24"/>
        </w:rPr>
        <w:t>本次技术服务范围为贵州送变电有限责任公司林卡~青岩220kV线路工程(林卡220kV变220kV出线间隔扩建工程)，需要在2</w:t>
      </w:r>
      <w:r>
        <w:rPr>
          <w:rFonts w:ascii="宋体" w:hAnsi="宋体" w:eastAsia="宋体" w:cs="仿宋_GB2312"/>
          <w:color w:val="auto"/>
          <w:sz w:val="24"/>
          <w:szCs w:val="24"/>
        </w:rPr>
        <w:t>20k</w:t>
      </w:r>
      <w:r>
        <w:rPr>
          <w:rFonts w:hint="eastAsia" w:ascii="宋体" w:hAnsi="宋体" w:eastAsia="宋体" w:cs="仿宋_GB2312"/>
          <w:color w:val="auto"/>
          <w:sz w:val="24"/>
          <w:szCs w:val="24"/>
        </w:rPr>
        <w:t>V林卡变电站内综合处理单元接入GIS局放在线监测设备数据，需要在综合处理单元上进行配置模型校核、数据建模、数据接入、联调、配合验收等技术服务工作。关于技术服务的服务内容如下表：</w:t>
      </w:r>
    </w:p>
    <w:tbl>
      <w:tblPr>
        <w:tblStyle w:val="9"/>
        <w:tblW w:w="4685" w:type="pct"/>
        <w:jc w:val="center"/>
        <w:tblLayout w:type="autofit"/>
        <w:tblCellMar>
          <w:top w:w="0" w:type="dxa"/>
          <w:left w:w="108" w:type="dxa"/>
          <w:bottom w:w="0" w:type="dxa"/>
          <w:right w:w="108" w:type="dxa"/>
        </w:tblCellMar>
      </w:tblPr>
      <w:tblGrid>
        <w:gridCol w:w="957"/>
        <w:gridCol w:w="2125"/>
        <w:gridCol w:w="5816"/>
      </w:tblGrid>
      <w:tr w14:paraId="7CD5FB97">
        <w:tblPrEx>
          <w:tblCellMar>
            <w:top w:w="0" w:type="dxa"/>
            <w:left w:w="108" w:type="dxa"/>
            <w:bottom w:w="0" w:type="dxa"/>
            <w:right w:w="108" w:type="dxa"/>
          </w:tblCellMar>
        </w:tblPrEx>
        <w:trPr>
          <w:trHeight w:val="547" w:hRule="atLeast"/>
          <w:tblHeader/>
          <w:jc w:val="center"/>
        </w:trPr>
        <w:tc>
          <w:tcPr>
            <w:tcW w:w="538" w:type="pct"/>
            <w:tcBorders>
              <w:top w:val="single" w:color="auto" w:sz="4" w:space="0"/>
              <w:left w:val="single" w:color="auto" w:sz="4" w:space="0"/>
              <w:bottom w:val="single" w:color="auto" w:sz="4" w:space="0"/>
              <w:right w:val="single" w:color="auto" w:sz="4" w:space="0"/>
            </w:tcBorders>
            <w:shd w:val="clear" w:color="auto" w:fill="auto"/>
            <w:vAlign w:val="center"/>
          </w:tcPr>
          <w:p w14:paraId="4A40DBF8">
            <w:pPr>
              <w:widowControl/>
              <w:jc w:val="center"/>
              <w:rPr>
                <w:rFonts w:ascii="宋体" w:hAnsi="宋体" w:eastAsia="宋体" w:cs="宋体"/>
                <w:b/>
                <w:color w:val="auto"/>
                <w:kern w:val="0"/>
                <w:sz w:val="21"/>
              </w:rPr>
            </w:pPr>
            <w:r>
              <w:rPr>
                <w:rFonts w:hint="eastAsia" w:ascii="宋体" w:hAnsi="宋体" w:eastAsia="宋体" w:cs="宋体"/>
                <w:b/>
                <w:color w:val="auto"/>
                <w:kern w:val="0"/>
                <w:sz w:val="21"/>
              </w:rPr>
              <w:t>序号</w:t>
            </w:r>
          </w:p>
        </w:tc>
        <w:tc>
          <w:tcPr>
            <w:tcW w:w="1194" w:type="pct"/>
            <w:tcBorders>
              <w:top w:val="single" w:color="auto" w:sz="4" w:space="0"/>
              <w:left w:val="nil"/>
              <w:bottom w:val="single" w:color="auto" w:sz="4" w:space="0"/>
              <w:right w:val="single" w:color="auto" w:sz="4" w:space="0"/>
            </w:tcBorders>
            <w:shd w:val="clear" w:color="auto" w:fill="auto"/>
            <w:vAlign w:val="center"/>
          </w:tcPr>
          <w:p w14:paraId="21173409">
            <w:pPr>
              <w:widowControl/>
              <w:jc w:val="center"/>
              <w:rPr>
                <w:rFonts w:ascii="宋体" w:hAnsi="宋体" w:eastAsia="宋体" w:cs="宋体"/>
                <w:b/>
                <w:color w:val="auto"/>
                <w:kern w:val="0"/>
                <w:sz w:val="21"/>
              </w:rPr>
            </w:pPr>
            <w:r>
              <w:rPr>
                <w:rFonts w:hint="eastAsia" w:ascii="宋体" w:hAnsi="宋体" w:eastAsia="宋体" w:cs="宋体"/>
                <w:b/>
                <w:color w:val="auto"/>
                <w:kern w:val="0"/>
                <w:sz w:val="21"/>
              </w:rPr>
              <w:t>接入系统名称</w:t>
            </w:r>
          </w:p>
        </w:tc>
        <w:tc>
          <w:tcPr>
            <w:tcW w:w="3268" w:type="pct"/>
            <w:tcBorders>
              <w:top w:val="single" w:color="auto" w:sz="4" w:space="0"/>
              <w:left w:val="nil"/>
              <w:bottom w:val="single" w:color="auto" w:sz="4" w:space="0"/>
              <w:right w:val="single" w:color="auto" w:sz="4" w:space="0"/>
            </w:tcBorders>
            <w:shd w:val="clear" w:color="auto" w:fill="auto"/>
            <w:vAlign w:val="center"/>
          </w:tcPr>
          <w:p w14:paraId="78E50BA6">
            <w:pPr>
              <w:widowControl/>
              <w:jc w:val="center"/>
              <w:rPr>
                <w:rFonts w:ascii="宋体" w:hAnsi="宋体" w:eastAsia="宋体" w:cs="宋体"/>
                <w:b/>
                <w:color w:val="auto"/>
                <w:kern w:val="0"/>
                <w:sz w:val="21"/>
              </w:rPr>
            </w:pPr>
            <w:r>
              <w:rPr>
                <w:rFonts w:hint="eastAsia" w:ascii="宋体" w:hAnsi="宋体" w:eastAsia="宋体" w:cs="宋体"/>
                <w:b/>
                <w:color w:val="auto"/>
                <w:kern w:val="0"/>
                <w:sz w:val="21"/>
              </w:rPr>
              <w:t>服务内容</w:t>
            </w:r>
          </w:p>
        </w:tc>
      </w:tr>
      <w:tr w14:paraId="44202A00">
        <w:tblPrEx>
          <w:tblCellMar>
            <w:top w:w="0" w:type="dxa"/>
            <w:left w:w="108" w:type="dxa"/>
            <w:bottom w:w="0" w:type="dxa"/>
            <w:right w:w="108" w:type="dxa"/>
          </w:tblCellMar>
        </w:tblPrEx>
        <w:trPr>
          <w:trHeight w:val="547" w:hRule="atLeast"/>
          <w:tblHeader/>
          <w:jc w:val="center"/>
        </w:trPr>
        <w:tc>
          <w:tcPr>
            <w:tcW w:w="538" w:type="pct"/>
            <w:tcBorders>
              <w:top w:val="single" w:color="auto" w:sz="4" w:space="0"/>
              <w:left w:val="single" w:color="auto" w:sz="4" w:space="0"/>
              <w:bottom w:val="single" w:color="auto" w:sz="4" w:space="0"/>
              <w:right w:val="single" w:color="auto" w:sz="4" w:space="0"/>
            </w:tcBorders>
            <w:shd w:val="clear" w:color="auto" w:fill="auto"/>
            <w:vAlign w:val="center"/>
          </w:tcPr>
          <w:p w14:paraId="66DA8A47">
            <w:pPr>
              <w:widowControl/>
              <w:jc w:val="center"/>
              <w:rPr>
                <w:rFonts w:ascii="宋体" w:hAnsi="宋体" w:eastAsia="宋体" w:cs="仿宋_GB2312"/>
                <w:color w:val="auto"/>
                <w:sz w:val="21"/>
                <w:szCs w:val="21"/>
              </w:rPr>
            </w:pPr>
            <w:r>
              <w:rPr>
                <w:rFonts w:hint="eastAsia" w:ascii="宋体" w:hAnsi="宋体" w:eastAsia="宋体" w:cs="仿宋_GB2312"/>
                <w:color w:val="auto"/>
                <w:sz w:val="21"/>
                <w:szCs w:val="21"/>
              </w:rPr>
              <w:t>1</w:t>
            </w:r>
          </w:p>
        </w:tc>
        <w:tc>
          <w:tcPr>
            <w:tcW w:w="1194" w:type="pct"/>
            <w:tcBorders>
              <w:top w:val="single" w:color="auto" w:sz="4" w:space="0"/>
              <w:left w:val="nil"/>
              <w:bottom w:val="single" w:color="auto" w:sz="4" w:space="0"/>
              <w:right w:val="single" w:color="auto" w:sz="4" w:space="0"/>
            </w:tcBorders>
            <w:shd w:val="clear" w:color="auto" w:fill="auto"/>
            <w:vAlign w:val="center"/>
          </w:tcPr>
          <w:p w14:paraId="1B30307C">
            <w:pPr>
              <w:widowControl/>
              <w:jc w:val="center"/>
              <w:rPr>
                <w:rFonts w:hint="eastAsia" w:ascii="宋体" w:hAnsi="宋体" w:eastAsia="宋体" w:cs="仿宋_GB2312"/>
                <w:color w:val="auto"/>
                <w:sz w:val="21"/>
                <w:szCs w:val="21"/>
              </w:rPr>
            </w:pPr>
            <w:r>
              <w:rPr>
                <w:rFonts w:hint="eastAsia" w:ascii="宋体" w:hAnsi="宋体" w:eastAsia="宋体" w:cs="仿宋_GB2312"/>
                <w:color w:val="auto"/>
                <w:sz w:val="21"/>
                <w:szCs w:val="21"/>
              </w:rPr>
              <w:t>综合处理单元</w:t>
            </w:r>
          </w:p>
        </w:tc>
        <w:tc>
          <w:tcPr>
            <w:tcW w:w="3268" w:type="pct"/>
            <w:tcBorders>
              <w:top w:val="single" w:color="auto" w:sz="4" w:space="0"/>
              <w:left w:val="nil"/>
              <w:bottom w:val="single" w:color="auto" w:sz="4" w:space="0"/>
              <w:right w:val="single" w:color="auto" w:sz="4" w:space="0"/>
            </w:tcBorders>
            <w:shd w:val="clear" w:color="auto" w:fill="auto"/>
            <w:vAlign w:val="center"/>
          </w:tcPr>
          <w:p w14:paraId="36E70935">
            <w:pPr>
              <w:widowControl/>
              <w:jc w:val="left"/>
              <w:rPr>
                <w:rFonts w:hint="eastAsia" w:ascii="宋体" w:hAnsi="宋体" w:eastAsia="宋体" w:cs="仿宋_GB2312"/>
                <w:color w:val="auto"/>
                <w:sz w:val="21"/>
                <w:szCs w:val="21"/>
              </w:rPr>
            </w:pPr>
            <w:r>
              <w:rPr>
                <w:rFonts w:hint="eastAsia" w:ascii="宋体" w:hAnsi="宋体" w:eastAsia="宋体" w:cs="仿宋_GB2312"/>
                <w:color w:val="auto"/>
                <w:sz w:val="21"/>
                <w:szCs w:val="21"/>
              </w:rPr>
              <w:t>1、监测装置的模型文件内容校核</w:t>
            </w:r>
            <w:r>
              <w:rPr>
                <w:rFonts w:hint="eastAsia" w:ascii="宋体" w:hAnsi="宋体" w:eastAsia="宋体" w:cs="仿宋_GB2312"/>
                <w:color w:val="auto"/>
                <w:sz w:val="21"/>
                <w:szCs w:val="21"/>
              </w:rPr>
              <w:br w:type="textWrapping"/>
            </w:r>
            <w:r>
              <w:rPr>
                <w:rFonts w:hint="eastAsia" w:ascii="宋体" w:hAnsi="宋体" w:eastAsia="宋体" w:cs="仿宋_GB2312"/>
                <w:color w:val="auto"/>
                <w:sz w:val="21"/>
                <w:szCs w:val="21"/>
              </w:rPr>
              <w:t>2、综合处理单元的建模及数据接入</w:t>
            </w:r>
          </w:p>
          <w:p w14:paraId="0E213335">
            <w:pPr>
              <w:widowControl/>
              <w:jc w:val="left"/>
              <w:rPr>
                <w:rFonts w:hint="eastAsia" w:ascii="宋体" w:hAnsi="宋体" w:eastAsia="宋体" w:cs="仿宋_GB2312"/>
                <w:color w:val="auto"/>
                <w:sz w:val="21"/>
                <w:szCs w:val="21"/>
              </w:rPr>
            </w:pPr>
            <w:r>
              <w:rPr>
                <w:rFonts w:hint="eastAsia" w:ascii="宋体" w:hAnsi="宋体" w:eastAsia="宋体" w:cs="仿宋_GB2312"/>
                <w:color w:val="auto"/>
                <w:sz w:val="21"/>
                <w:szCs w:val="21"/>
              </w:rPr>
              <w:t>3、综合处理单元的建模及数据上传</w:t>
            </w:r>
          </w:p>
          <w:p w14:paraId="5114C836">
            <w:pPr>
              <w:widowControl/>
              <w:jc w:val="left"/>
              <w:rPr>
                <w:rFonts w:ascii="宋体" w:hAnsi="宋体" w:eastAsia="宋体" w:cs="仿宋_GB2312"/>
                <w:color w:val="auto"/>
                <w:sz w:val="21"/>
                <w:szCs w:val="21"/>
              </w:rPr>
            </w:pPr>
            <w:r>
              <w:rPr>
                <w:rFonts w:hint="eastAsia" w:ascii="宋体" w:hAnsi="宋体" w:eastAsia="宋体" w:cs="仿宋_GB2312"/>
                <w:color w:val="auto"/>
                <w:sz w:val="21"/>
                <w:szCs w:val="21"/>
              </w:rPr>
              <w:t>4、贵州电网主站的建模及数据接入</w:t>
            </w:r>
          </w:p>
        </w:tc>
      </w:tr>
    </w:tbl>
    <w:p w14:paraId="6232F6B6">
      <w:pPr>
        <w:spacing w:line="360" w:lineRule="auto"/>
        <w:ind w:firstLine="480" w:firstLineChars="200"/>
        <w:rPr>
          <w:rFonts w:ascii="宋体" w:hAnsi="宋体" w:eastAsia="宋体" w:cs="仿宋_GB2312"/>
          <w:color w:val="auto"/>
          <w:sz w:val="24"/>
          <w:szCs w:val="24"/>
        </w:rPr>
      </w:pPr>
      <w:r>
        <w:rPr>
          <w:rFonts w:hint="eastAsia" w:ascii="宋体" w:hAnsi="宋体" w:eastAsia="宋体" w:cs="仿宋_GB2312"/>
          <w:color w:val="auto"/>
          <w:sz w:val="24"/>
          <w:szCs w:val="24"/>
        </w:rPr>
        <w:t>除本技术规范特殊规定外，投标方所提供的技术服务均按规定的标准和规程的最新版本进行。如果这些标准内容有矛盾时，应按技术要求最高的条款执行或按双方商定的标准执行。</w:t>
      </w:r>
    </w:p>
    <w:p w14:paraId="2358E3D2">
      <w:pPr>
        <w:spacing w:line="360" w:lineRule="auto"/>
        <w:ind w:firstLine="480" w:firstLineChars="200"/>
        <w:rPr>
          <w:rFonts w:ascii="宋体" w:hAnsi="宋体" w:eastAsia="宋体" w:cs="仿宋_GB2312"/>
          <w:color w:val="auto"/>
          <w:sz w:val="24"/>
          <w:szCs w:val="24"/>
        </w:rPr>
      </w:pPr>
      <w:bookmarkStart w:id="24" w:name="_Toc28134"/>
      <w:bookmarkStart w:id="25" w:name="_Toc39063959"/>
      <w:bookmarkStart w:id="26" w:name="_Toc2815"/>
      <w:bookmarkStart w:id="27" w:name="_Toc21045"/>
      <w:bookmarkStart w:id="28" w:name="_Toc30855"/>
      <w:bookmarkStart w:id="29" w:name="_Toc11702"/>
      <w:bookmarkStart w:id="30" w:name="_Toc5654"/>
      <w:bookmarkStart w:id="31" w:name="_Toc15403"/>
      <w:r>
        <w:rPr>
          <w:rFonts w:hint="eastAsia" w:ascii="宋体" w:hAnsi="宋体" w:eastAsia="宋体" w:cs="仿宋_GB2312"/>
          <w:color w:val="auto"/>
          <w:sz w:val="24"/>
          <w:szCs w:val="24"/>
        </w:rPr>
        <w:t>2.2★技术指标要求</w:t>
      </w:r>
    </w:p>
    <w:p w14:paraId="4E2075AE">
      <w:pPr>
        <w:spacing w:line="360" w:lineRule="auto"/>
        <w:ind w:firstLine="480" w:firstLineChars="200"/>
        <w:rPr>
          <w:rFonts w:ascii="宋体" w:hAnsi="宋体" w:eastAsia="宋体" w:cs="仿宋_GB2312"/>
          <w:color w:val="auto"/>
          <w:sz w:val="24"/>
          <w:szCs w:val="24"/>
        </w:rPr>
      </w:pPr>
      <w:r>
        <w:rPr>
          <w:rFonts w:hint="eastAsia" w:ascii="宋体" w:hAnsi="宋体" w:eastAsia="宋体" w:cs="仿宋_GB2312"/>
          <w:color w:val="auto"/>
          <w:sz w:val="24"/>
          <w:szCs w:val="24"/>
        </w:rPr>
        <w:t>投标人应认真逐项填写技术参数表中投标人保证值，不能空格，也不能以“响应”两字代替，不允许改动招标人要求值。如有差异，请填写投标方技术偏差表。</w:t>
      </w:r>
    </w:p>
    <w:p w14:paraId="2EFBF27D">
      <w:pPr>
        <w:spacing w:line="600" w:lineRule="exact"/>
        <w:ind w:firstLine="480" w:firstLineChars="200"/>
        <w:jc w:val="center"/>
        <w:rPr>
          <w:rFonts w:ascii="宋体" w:hAnsi="宋体" w:eastAsia="宋体" w:cs="仿宋_GB2312"/>
          <w:color w:val="auto"/>
          <w:sz w:val="24"/>
          <w:szCs w:val="24"/>
        </w:rPr>
      </w:pPr>
      <w:r>
        <w:rPr>
          <w:rFonts w:hint="eastAsia" w:ascii="宋体" w:hAnsi="宋体" w:eastAsia="宋体" w:cs="仿宋_GB2312"/>
          <w:color w:val="auto"/>
          <w:sz w:val="24"/>
          <w:szCs w:val="24"/>
        </w:rPr>
        <w:t>表2.1标准技术特性参数表</w:t>
      </w:r>
    </w:p>
    <w:tbl>
      <w:tblPr>
        <w:tblStyle w:val="9"/>
        <w:tblW w:w="0" w:type="auto"/>
        <w:jc w:val="center"/>
        <w:tblLayout w:type="fixed"/>
        <w:tblCellMar>
          <w:top w:w="0" w:type="dxa"/>
          <w:left w:w="108" w:type="dxa"/>
          <w:bottom w:w="0" w:type="dxa"/>
          <w:right w:w="108" w:type="dxa"/>
        </w:tblCellMar>
      </w:tblPr>
      <w:tblGrid>
        <w:gridCol w:w="711"/>
        <w:gridCol w:w="1596"/>
        <w:gridCol w:w="2410"/>
        <w:gridCol w:w="2409"/>
        <w:gridCol w:w="1663"/>
      </w:tblGrid>
      <w:tr w14:paraId="37535C28">
        <w:tblPrEx>
          <w:tblCellMar>
            <w:top w:w="0" w:type="dxa"/>
            <w:left w:w="108" w:type="dxa"/>
            <w:bottom w:w="0" w:type="dxa"/>
            <w:right w:w="108" w:type="dxa"/>
          </w:tblCellMar>
        </w:tblPrEx>
        <w:trPr>
          <w:trHeight w:val="570" w:hRule="atLeast"/>
          <w:tblHeader/>
          <w:jc w:val="center"/>
        </w:trPr>
        <w:tc>
          <w:tcPr>
            <w:tcW w:w="711" w:type="dxa"/>
            <w:tcBorders>
              <w:top w:val="single" w:color="auto" w:sz="4" w:space="0"/>
              <w:left w:val="single" w:color="auto" w:sz="4" w:space="0"/>
              <w:bottom w:val="single" w:color="auto" w:sz="4" w:space="0"/>
              <w:right w:val="single" w:color="auto" w:sz="4" w:space="0"/>
            </w:tcBorders>
            <w:shd w:val="clear" w:color="auto" w:fill="auto"/>
            <w:vAlign w:val="center"/>
          </w:tcPr>
          <w:p w14:paraId="5E943965">
            <w:pPr>
              <w:widowControl/>
              <w:jc w:val="center"/>
              <w:rPr>
                <w:rFonts w:ascii="宋体" w:hAnsi="宋体" w:eastAsia="宋体" w:cs="宋体"/>
                <w:b/>
                <w:color w:val="auto"/>
                <w:kern w:val="0"/>
                <w:sz w:val="21"/>
              </w:rPr>
            </w:pPr>
            <w:r>
              <w:rPr>
                <w:rFonts w:hint="eastAsia" w:ascii="宋体" w:hAnsi="宋体" w:eastAsia="宋体" w:cs="宋体"/>
                <w:b/>
                <w:color w:val="auto"/>
                <w:kern w:val="0"/>
                <w:sz w:val="21"/>
              </w:rPr>
              <w:t>序号</w:t>
            </w:r>
          </w:p>
        </w:tc>
        <w:tc>
          <w:tcPr>
            <w:tcW w:w="1596" w:type="dxa"/>
            <w:tcBorders>
              <w:top w:val="single" w:color="auto" w:sz="4" w:space="0"/>
              <w:left w:val="nil"/>
              <w:bottom w:val="single" w:color="auto" w:sz="4" w:space="0"/>
              <w:right w:val="single" w:color="auto" w:sz="4" w:space="0"/>
            </w:tcBorders>
            <w:shd w:val="clear" w:color="auto" w:fill="auto"/>
            <w:vAlign w:val="center"/>
          </w:tcPr>
          <w:p w14:paraId="465BECAD">
            <w:pPr>
              <w:widowControl/>
              <w:jc w:val="center"/>
              <w:rPr>
                <w:rFonts w:ascii="宋体" w:hAnsi="宋体" w:eastAsia="宋体" w:cs="宋体"/>
                <w:b/>
                <w:color w:val="auto"/>
                <w:kern w:val="0"/>
                <w:sz w:val="21"/>
              </w:rPr>
            </w:pPr>
            <w:r>
              <w:rPr>
                <w:rFonts w:hint="eastAsia" w:ascii="宋体" w:hAnsi="宋体" w:eastAsia="宋体" w:cs="宋体"/>
                <w:b/>
                <w:color w:val="auto"/>
                <w:kern w:val="0"/>
                <w:sz w:val="21"/>
              </w:rPr>
              <w:t>接入系统名称</w:t>
            </w:r>
          </w:p>
        </w:tc>
        <w:tc>
          <w:tcPr>
            <w:tcW w:w="2410" w:type="dxa"/>
            <w:tcBorders>
              <w:top w:val="single" w:color="auto" w:sz="4" w:space="0"/>
              <w:left w:val="nil"/>
              <w:bottom w:val="single" w:color="auto" w:sz="4" w:space="0"/>
              <w:right w:val="single" w:color="auto" w:sz="4" w:space="0"/>
            </w:tcBorders>
            <w:shd w:val="clear" w:color="auto" w:fill="auto"/>
            <w:vAlign w:val="center"/>
          </w:tcPr>
          <w:p w14:paraId="1373EC3B">
            <w:pPr>
              <w:widowControl/>
              <w:jc w:val="center"/>
              <w:rPr>
                <w:rFonts w:ascii="宋体" w:hAnsi="宋体" w:eastAsia="宋体" w:cs="宋体"/>
                <w:b/>
                <w:color w:val="auto"/>
                <w:kern w:val="0"/>
                <w:sz w:val="21"/>
              </w:rPr>
            </w:pPr>
            <w:r>
              <w:rPr>
                <w:rFonts w:hint="eastAsia" w:ascii="宋体" w:hAnsi="宋体" w:eastAsia="宋体" w:cs="宋体"/>
                <w:b/>
                <w:color w:val="auto"/>
                <w:kern w:val="0"/>
                <w:sz w:val="21"/>
              </w:rPr>
              <w:t>服务要求</w:t>
            </w:r>
          </w:p>
        </w:tc>
        <w:tc>
          <w:tcPr>
            <w:tcW w:w="2409" w:type="dxa"/>
            <w:tcBorders>
              <w:top w:val="single" w:color="auto" w:sz="4" w:space="0"/>
              <w:left w:val="nil"/>
              <w:bottom w:val="single" w:color="auto" w:sz="4" w:space="0"/>
              <w:right w:val="single" w:color="auto" w:sz="4" w:space="0"/>
            </w:tcBorders>
            <w:shd w:val="clear" w:color="auto" w:fill="auto"/>
            <w:vAlign w:val="center"/>
          </w:tcPr>
          <w:p w14:paraId="2DC1A98F">
            <w:pPr>
              <w:widowControl/>
              <w:jc w:val="center"/>
              <w:rPr>
                <w:rFonts w:ascii="宋体" w:hAnsi="宋体" w:eastAsia="宋体" w:cs="宋体"/>
                <w:b/>
                <w:color w:val="auto"/>
                <w:kern w:val="0"/>
                <w:sz w:val="21"/>
              </w:rPr>
            </w:pPr>
            <w:r>
              <w:rPr>
                <w:rFonts w:hint="eastAsia" w:ascii="宋体" w:hAnsi="宋体" w:eastAsia="宋体" w:cs="宋体"/>
                <w:b/>
                <w:color w:val="auto"/>
                <w:kern w:val="0"/>
                <w:sz w:val="21"/>
              </w:rPr>
              <w:t>服务内容</w:t>
            </w:r>
          </w:p>
        </w:tc>
        <w:tc>
          <w:tcPr>
            <w:tcW w:w="1663" w:type="dxa"/>
            <w:tcBorders>
              <w:top w:val="single" w:color="auto" w:sz="4" w:space="0"/>
              <w:left w:val="nil"/>
              <w:bottom w:val="single" w:color="auto" w:sz="4" w:space="0"/>
              <w:right w:val="single" w:color="auto" w:sz="4" w:space="0"/>
            </w:tcBorders>
            <w:shd w:val="clear" w:color="auto" w:fill="auto"/>
            <w:vAlign w:val="center"/>
          </w:tcPr>
          <w:p w14:paraId="28486F3E">
            <w:pPr>
              <w:widowControl/>
              <w:jc w:val="center"/>
              <w:rPr>
                <w:rFonts w:ascii="宋体" w:hAnsi="宋体" w:eastAsia="宋体" w:cs="宋体"/>
                <w:b/>
                <w:color w:val="auto"/>
                <w:kern w:val="0"/>
                <w:sz w:val="21"/>
              </w:rPr>
            </w:pPr>
            <w:r>
              <w:rPr>
                <w:rFonts w:hint="eastAsia" w:ascii="宋体" w:hAnsi="宋体" w:eastAsia="宋体" w:cs="宋体"/>
                <w:b/>
                <w:color w:val="auto"/>
                <w:kern w:val="0"/>
                <w:sz w:val="21"/>
              </w:rPr>
              <w:t>服务标准</w:t>
            </w:r>
          </w:p>
        </w:tc>
      </w:tr>
      <w:tr w14:paraId="26E53579">
        <w:tblPrEx>
          <w:tblCellMar>
            <w:top w:w="0" w:type="dxa"/>
            <w:left w:w="108" w:type="dxa"/>
            <w:bottom w:w="0" w:type="dxa"/>
            <w:right w:w="108" w:type="dxa"/>
          </w:tblCellMar>
        </w:tblPrEx>
        <w:trPr>
          <w:trHeight w:val="1179" w:hRule="atLeast"/>
          <w:jc w:val="center"/>
        </w:trPr>
        <w:tc>
          <w:tcPr>
            <w:tcW w:w="711" w:type="dxa"/>
            <w:tcBorders>
              <w:top w:val="nil"/>
              <w:left w:val="single" w:color="auto" w:sz="4" w:space="0"/>
              <w:bottom w:val="single" w:color="auto" w:sz="4" w:space="0"/>
              <w:right w:val="single" w:color="auto" w:sz="4" w:space="0"/>
            </w:tcBorders>
            <w:shd w:val="clear" w:color="auto" w:fill="auto"/>
            <w:vAlign w:val="center"/>
          </w:tcPr>
          <w:p w14:paraId="13630262">
            <w:pPr>
              <w:widowControl/>
              <w:jc w:val="center"/>
              <w:rPr>
                <w:rFonts w:ascii="宋体" w:hAnsi="宋体" w:eastAsia="宋体" w:cs="宋体"/>
                <w:color w:val="auto"/>
                <w:kern w:val="0"/>
                <w:sz w:val="21"/>
              </w:rPr>
            </w:pPr>
            <w:r>
              <w:rPr>
                <w:rFonts w:hint="eastAsia" w:ascii="宋体" w:hAnsi="宋体" w:eastAsia="宋体" w:cs="宋体"/>
                <w:color w:val="auto"/>
                <w:kern w:val="0"/>
                <w:sz w:val="21"/>
              </w:rPr>
              <w:t>1</w:t>
            </w:r>
          </w:p>
        </w:tc>
        <w:tc>
          <w:tcPr>
            <w:tcW w:w="1596" w:type="dxa"/>
            <w:tcBorders>
              <w:top w:val="nil"/>
              <w:left w:val="nil"/>
              <w:bottom w:val="single" w:color="auto" w:sz="4" w:space="0"/>
              <w:right w:val="single" w:color="auto" w:sz="4" w:space="0"/>
            </w:tcBorders>
            <w:shd w:val="clear" w:color="auto" w:fill="auto"/>
            <w:vAlign w:val="center"/>
          </w:tcPr>
          <w:p w14:paraId="0F918628">
            <w:pPr>
              <w:widowControl/>
              <w:jc w:val="center"/>
              <w:rPr>
                <w:rFonts w:ascii="宋体" w:hAnsi="宋体" w:eastAsia="宋体"/>
                <w:color w:val="auto"/>
                <w:kern w:val="0"/>
                <w:sz w:val="21"/>
              </w:rPr>
            </w:pPr>
            <w:r>
              <w:rPr>
                <w:rFonts w:hint="eastAsia" w:ascii="宋体" w:hAnsi="宋体" w:eastAsia="宋体" w:cs="宋体"/>
                <w:color w:val="auto"/>
                <w:kern w:val="0"/>
                <w:sz w:val="21"/>
              </w:rPr>
              <w:t>综合处理单元</w:t>
            </w:r>
          </w:p>
        </w:tc>
        <w:tc>
          <w:tcPr>
            <w:tcW w:w="2410" w:type="dxa"/>
            <w:tcBorders>
              <w:top w:val="nil"/>
              <w:left w:val="single" w:color="auto" w:sz="4" w:space="0"/>
              <w:bottom w:val="single" w:color="000000" w:sz="4" w:space="0"/>
              <w:right w:val="single" w:color="auto" w:sz="4" w:space="0"/>
            </w:tcBorders>
            <w:shd w:val="clear" w:color="auto" w:fill="auto"/>
            <w:vAlign w:val="center"/>
          </w:tcPr>
          <w:p w14:paraId="5BDC5BB0">
            <w:pPr>
              <w:widowControl/>
              <w:jc w:val="center"/>
              <w:rPr>
                <w:rFonts w:ascii="宋体" w:hAnsi="宋体" w:eastAsia="宋体" w:cs="宋体"/>
                <w:color w:val="auto"/>
                <w:kern w:val="0"/>
                <w:sz w:val="21"/>
              </w:rPr>
            </w:pPr>
            <w:r>
              <w:rPr>
                <w:rFonts w:hint="eastAsia" w:ascii="宋体" w:hAnsi="宋体" w:eastAsia="宋体" w:cs="宋体"/>
                <w:color w:val="auto"/>
                <w:kern w:val="0"/>
                <w:sz w:val="21"/>
              </w:rPr>
              <w:t>遵循相关标准、设计图、施工合同要求，确保改造项目新增设备接入原系统、设备，对原系统或设备进行软件升级、配置修改、配合接入其他系统、配合验收等工作。</w:t>
            </w:r>
          </w:p>
        </w:tc>
        <w:tc>
          <w:tcPr>
            <w:tcW w:w="2409" w:type="dxa"/>
            <w:tcBorders>
              <w:top w:val="nil"/>
              <w:left w:val="nil"/>
              <w:bottom w:val="single" w:color="auto" w:sz="4" w:space="0"/>
              <w:right w:val="single" w:color="auto" w:sz="4" w:space="0"/>
            </w:tcBorders>
            <w:shd w:val="clear" w:color="auto" w:fill="auto"/>
            <w:vAlign w:val="center"/>
          </w:tcPr>
          <w:p w14:paraId="76323E32">
            <w:pPr>
              <w:widowControl/>
              <w:jc w:val="left"/>
              <w:rPr>
                <w:rFonts w:hint="eastAsia" w:ascii="宋体" w:hAnsi="宋体" w:eastAsia="宋体"/>
                <w:color w:val="auto"/>
                <w:sz w:val="21"/>
              </w:rPr>
            </w:pPr>
            <w:r>
              <w:rPr>
                <w:rFonts w:hint="eastAsia" w:ascii="宋体" w:hAnsi="宋体" w:eastAsia="宋体"/>
                <w:color w:val="auto"/>
                <w:sz w:val="21"/>
              </w:rPr>
              <w:t>1、监测装置的模型文件内容校核；</w:t>
            </w:r>
            <w:r>
              <w:rPr>
                <w:rFonts w:hint="eastAsia" w:ascii="宋体" w:hAnsi="宋体" w:eastAsia="宋体"/>
                <w:color w:val="auto"/>
                <w:sz w:val="21"/>
              </w:rPr>
              <w:br w:type="textWrapping"/>
            </w:r>
            <w:r>
              <w:rPr>
                <w:rFonts w:hint="eastAsia" w:ascii="宋体" w:hAnsi="宋体" w:eastAsia="宋体"/>
                <w:color w:val="auto"/>
                <w:sz w:val="21"/>
              </w:rPr>
              <w:t>2、综合处理单元的建模及数据接入</w:t>
            </w:r>
          </w:p>
          <w:p w14:paraId="12D6AB2F">
            <w:pPr>
              <w:widowControl/>
              <w:jc w:val="left"/>
              <w:rPr>
                <w:rFonts w:hint="eastAsia" w:ascii="宋体" w:hAnsi="宋体" w:eastAsia="宋体"/>
                <w:color w:val="auto"/>
                <w:sz w:val="21"/>
              </w:rPr>
            </w:pPr>
            <w:r>
              <w:rPr>
                <w:rFonts w:hint="eastAsia" w:ascii="宋体" w:hAnsi="宋体" w:eastAsia="宋体"/>
                <w:color w:val="auto"/>
                <w:sz w:val="21"/>
              </w:rPr>
              <w:t>3、综合处理单元的建模及数据上传</w:t>
            </w:r>
          </w:p>
          <w:p w14:paraId="03A76712">
            <w:pPr>
              <w:widowControl/>
              <w:jc w:val="left"/>
              <w:rPr>
                <w:rFonts w:ascii="宋体" w:hAnsi="宋体" w:eastAsia="宋体"/>
                <w:color w:val="auto"/>
                <w:kern w:val="0"/>
                <w:sz w:val="21"/>
              </w:rPr>
            </w:pPr>
            <w:r>
              <w:rPr>
                <w:rFonts w:hint="eastAsia" w:ascii="宋体" w:hAnsi="宋体" w:eastAsia="宋体"/>
                <w:color w:val="auto"/>
                <w:sz w:val="21"/>
              </w:rPr>
              <w:t>4、贵州电网主站的建模及数据接入</w:t>
            </w:r>
          </w:p>
        </w:tc>
        <w:tc>
          <w:tcPr>
            <w:tcW w:w="1663" w:type="dxa"/>
            <w:tcBorders>
              <w:top w:val="nil"/>
              <w:left w:val="single" w:color="auto" w:sz="4" w:space="0"/>
              <w:bottom w:val="single" w:color="000000" w:sz="4" w:space="0"/>
              <w:right w:val="single" w:color="auto" w:sz="4" w:space="0"/>
            </w:tcBorders>
            <w:shd w:val="clear" w:color="auto" w:fill="auto"/>
            <w:vAlign w:val="center"/>
          </w:tcPr>
          <w:p w14:paraId="217711B5">
            <w:pPr>
              <w:widowControl/>
              <w:rPr>
                <w:rFonts w:ascii="宋体" w:hAnsi="宋体" w:eastAsia="宋体" w:cs="宋体"/>
                <w:color w:val="auto"/>
                <w:kern w:val="0"/>
                <w:sz w:val="21"/>
              </w:rPr>
            </w:pPr>
            <w:r>
              <w:rPr>
                <w:rFonts w:hint="eastAsia" w:ascii="宋体" w:hAnsi="宋体" w:eastAsia="宋体" w:cs="仿宋_GB2312"/>
                <w:color w:val="auto"/>
                <w:sz w:val="24"/>
                <w:szCs w:val="24"/>
              </w:rPr>
              <w:t>《</w:t>
            </w:r>
            <w:r>
              <w:rPr>
                <w:rFonts w:ascii="宋体" w:hAnsi="宋体" w:eastAsia="宋体" w:cs="仿宋_GB2312"/>
                <w:color w:val="auto"/>
                <w:sz w:val="24"/>
                <w:szCs w:val="24"/>
              </w:rPr>
              <w:t>南方电网公司变电设备在线监测装置通用技术规范</w:t>
            </w:r>
            <w:r>
              <w:rPr>
                <w:rFonts w:hint="eastAsia" w:ascii="宋体" w:hAnsi="宋体" w:eastAsia="宋体" w:cs="仿宋_GB2312"/>
                <w:color w:val="auto"/>
                <w:sz w:val="24"/>
                <w:szCs w:val="24"/>
              </w:rPr>
              <w:t>》</w:t>
            </w:r>
          </w:p>
        </w:tc>
      </w:tr>
    </w:tbl>
    <w:p w14:paraId="7A4E8F42">
      <w:pPr>
        <w:spacing w:line="360" w:lineRule="auto"/>
        <w:ind w:firstLine="480" w:firstLineChars="200"/>
        <w:rPr>
          <w:rFonts w:ascii="宋体" w:hAnsi="宋体" w:eastAsia="宋体" w:cs="仿宋_GB2312"/>
          <w:sz w:val="24"/>
          <w:szCs w:val="24"/>
        </w:rPr>
      </w:pPr>
      <w:r>
        <w:rPr>
          <w:rFonts w:hint="eastAsia" w:ascii="宋体" w:hAnsi="宋体" w:eastAsia="宋体" w:cs="仿宋_GB2312"/>
          <w:sz w:val="24"/>
          <w:szCs w:val="24"/>
        </w:rPr>
        <w:t>2.3★技术服务要求</w:t>
      </w:r>
    </w:p>
    <w:p w14:paraId="691BC270">
      <w:pPr>
        <w:spacing w:line="360" w:lineRule="auto"/>
        <w:ind w:firstLine="480" w:firstLineChars="200"/>
        <w:rPr>
          <w:rFonts w:ascii="宋体" w:hAnsi="宋体" w:eastAsia="宋体" w:cs="仿宋_GB2312"/>
          <w:sz w:val="24"/>
          <w:szCs w:val="24"/>
        </w:rPr>
      </w:pPr>
      <w:r>
        <w:rPr>
          <w:rFonts w:hint="eastAsia" w:ascii="宋体" w:hAnsi="宋体" w:eastAsia="宋体" w:cs="仿宋_GB2312"/>
          <w:sz w:val="24"/>
          <w:szCs w:val="24"/>
        </w:rPr>
        <w:t>2.3.</w:t>
      </w:r>
      <w:r>
        <w:rPr>
          <w:rFonts w:ascii="宋体" w:hAnsi="宋体" w:eastAsia="宋体" w:cs="仿宋_GB2312"/>
          <w:sz w:val="24"/>
          <w:szCs w:val="24"/>
        </w:rPr>
        <w:t>1</w:t>
      </w:r>
      <w:r>
        <w:rPr>
          <w:rFonts w:hint="eastAsia" w:ascii="宋体" w:hAnsi="宋体" w:eastAsia="宋体" w:cs="仿宋_GB2312"/>
          <w:sz w:val="24"/>
          <w:szCs w:val="24"/>
        </w:rPr>
        <w:t xml:space="preserve"> 现场服务一次指的是投标单位安排相应技术人员到达变电站现场后按照上述技术要求开展技术服务工作一次。一次服务不规定具体服务时长，直至达到招标方本次服务要求即可。</w:t>
      </w:r>
    </w:p>
    <w:p w14:paraId="47C95E32">
      <w:pPr>
        <w:spacing w:line="360" w:lineRule="auto"/>
        <w:ind w:firstLine="480" w:firstLineChars="200"/>
        <w:rPr>
          <w:rFonts w:ascii="宋体" w:hAnsi="宋体" w:eastAsia="宋体" w:cs="仿宋_GB2312"/>
          <w:sz w:val="24"/>
          <w:szCs w:val="24"/>
        </w:rPr>
      </w:pPr>
      <w:r>
        <w:rPr>
          <w:rFonts w:hint="eastAsia" w:ascii="宋体" w:hAnsi="宋体" w:eastAsia="宋体" w:cs="仿宋_GB2312"/>
          <w:sz w:val="24"/>
          <w:szCs w:val="24"/>
        </w:rPr>
        <w:t>2.3.</w:t>
      </w:r>
      <w:r>
        <w:rPr>
          <w:rFonts w:ascii="宋体" w:hAnsi="宋体" w:eastAsia="宋体" w:cs="仿宋_GB2312"/>
          <w:sz w:val="24"/>
          <w:szCs w:val="24"/>
        </w:rPr>
        <w:t>2</w:t>
      </w:r>
      <w:r>
        <w:rPr>
          <w:rFonts w:hint="eastAsia" w:ascii="宋体" w:hAnsi="宋体" w:eastAsia="宋体"/>
          <w:sz w:val="24"/>
          <w:szCs w:val="24"/>
        </w:rPr>
        <w:t>在一项改扩建项目中，乙方提供接入技术服务次数的约定如下：1类装置或设备接入1种类型的接入系统，计1次接入技术服务；同类装置或设备分布在不同间隔，同时具备接入条件的，多台同类装置或设备接入1种类型的接入系统，计1次接入技术服务；同类装置或设备分布在不同间隔，因客观原因需要分时段改造的，不能达到同时具备接入条件的，按照改造现场实际情况分次数进行，计多次接入技术服务，但最多不超过三次。</w:t>
      </w:r>
    </w:p>
    <w:p w14:paraId="31E3B1F1">
      <w:pPr>
        <w:spacing w:line="360" w:lineRule="auto"/>
        <w:ind w:firstLine="480" w:firstLineChars="200"/>
        <w:rPr>
          <w:rFonts w:ascii="宋体" w:hAnsi="宋体" w:eastAsia="宋体" w:cs="仿宋_GB2312"/>
          <w:sz w:val="24"/>
          <w:szCs w:val="24"/>
        </w:rPr>
      </w:pPr>
      <w:r>
        <w:rPr>
          <w:rFonts w:hint="eastAsia" w:ascii="宋体" w:hAnsi="宋体" w:eastAsia="宋体" w:cs="仿宋_GB2312"/>
          <w:sz w:val="24"/>
          <w:szCs w:val="24"/>
        </w:rPr>
        <w:t>2.3.</w:t>
      </w:r>
      <w:r>
        <w:rPr>
          <w:rFonts w:ascii="宋体" w:hAnsi="宋体" w:eastAsia="宋体" w:cs="仿宋_GB2312"/>
          <w:sz w:val="24"/>
          <w:szCs w:val="24"/>
        </w:rPr>
        <w:t>3</w:t>
      </w:r>
      <w:r>
        <w:rPr>
          <w:rFonts w:hint="eastAsia" w:ascii="宋体" w:hAnsi="宋体" w:eastAsia="宋体" w:cs="仿宋_GB2312"/>
          <w:sz w:val="24"/>
          <w:szCs w:val="24"/>
        </w:rPr>
        <w:t xml:space="preserve"> 现场服务人员需持有《特种作业操作证》（准操项目：高压电工作业/低压电工作业）。</w:t>
      </w:r>
    </w:p>
    <w:p w14:paraId="694F847D">
      <w:pPr>
        <w:spacing w:line="360" w:lineRule="auto"/>
        <w:ind w:firstLine="480" w:firstLineChars="200"/>
        <w:rPr>
          <w:rFonts w:ascii="宋体" w:hAnsi="宋体" w:eastAsia="宋体" w:cs="仿宋_GB2312"/>
          <w:sz w:val="24"/>
          <w:szCs w:val="24"/>
        </w:rPr>
      </w:pPr>
      <w:r>
        <w:rPr>
          <w:rFonts w:hint="eastAsia" w:ascii="宋体" w:hAnsi="宋体" w:eastAsia="宋体" w:cs="仿宋_GB2312"/>
          <w:sz w:val="24"/>
          <w:szCs w:val="24"/>
        </w:rPr>
        <w:t>2.3.</w:t>
      </w:r>
      <w:r>
        <w:rPr>
          <w:rFonts w:ascii="宋体" w:hAnsi="宋体" w:eastAsia="宋体" w:cs="仿宋_GB2312"/>
          <w:sz w:val="24"/>
          <w:szCs w:val="24"/>
        </w:rPr>
        <w:t>4</w:t>
      </w:r>
      <w:r>
        <w:rPr>
          <w:rFonts w:hint="eastAsia" w:ascii="宋体" w:hAnsi="宋体" w:eastAsia="宋体" w:cs="仿宋_GB2312"/>
          <w:sz w:val="24"/>
          <w:szCs w:val="24"/>
        </w:rPr>
        <w:t xml:space="preserve"> 现场服务人员须在进入施工现场前通过安规考试，协调施工项目部办理相关人员进场手续。</w:t>
      </w:r>
    </w:p>
    <w:p w14:paraId="1CF86480">
      <w:pPr>
        <w:pStyle w:val="2"/>
        <w:numPr>
          <w:ilvl w:val="0"/>
          <w:numId w:val="0"/>
        </w:numPr>
        <w:spacing w:line="360" w:lineRule="auto"/>
        <w:rPr>
          <w:rFonts w:ascii="宋体" w:hAnsi="宋体" w:eastAsia="宋体"/>
          <w:b/>
          <w:sz w:val="24"/>
          <w:szCs w:val="24"/>
        </w:rPr>
      </w:pPr>
      <w:bookmarkStart w:id="32" w:name="_Toc910"/>
      <w:r>
        <w:rPr>
          <w:rFonts w:hint="eastAsia" w:ascii="宋体" w:hAnsi="宋体" w:eastAsia="宋体"/>
          <w:b/>
          <w:sz w:val="24"/>
          <w:szCs w:val="24"/>
        </w:rPr>
        <w:t>三、服务期要求</w:t>
      </w:r>
      <w:bookmarkEnd w:id="32"/>
    </w:p>
    <w:p w14:paraId="06714CB3">
      <w:pPr>
        <w:spacing w:line="360" w:lineRule="auto"/>
        <w:ind w:firstLine="480" w:firstLineChars="200"/>
        <w:rPr>
          <w:rFonts w:ascii="宋体" w:hAnsi="宋体" w:eastAsia="宋体" w:cs="仿宋_GB2312"/>
          <w:sz w:val="24"/>
          <w:szCs w:val="24"/>
        </w:rPr>
      </w:pPr>
      <w:r>
        <w:rPr>
          <w:rFonts w:hint="eastAsia" w:ascii="宋体" w:hAnsi="宋体" w:eastAsia="宋体" w:cs="仿宋_GB2312"/>
          <w:sz w:val="24"/>
          <w:szCs w:val="24"/>
        </w:rPr>
        <w:t>技术服务期限为合同签订之日起1年止。</w:t>
      </w:r>
    </w:p>
    <w:p w14:paraId="1A67A2D7">
      <w:pPr>
        <w:pStyle w:val="2"/>
        <w:numPr>
          <w:ilvl w:val="0"/>
          <w:numId w:val="0"/>
        </w:numPr>
        <w:spacing w:line="360" w:lineRule="auto"/>
        <w:rPr>
          <w:rFonts w:ascii="宋体" w:hAnsi="宋体" w:eastAsia="宋体"/>
          <w:b/>
          <w:sz w:val="24"/>
          <w:szCs w:val="24"/>
        </w:rPr>
      </w:pPr>
      <w:bookmarkStart w:id="33" w:name="_Toc30853"/>
      <w:r>
        <w:rPr>
          <w:rFonts w:hint="eastAsia" w:ascii="宋体" w:hAnsi="宋体" w:eastAsia="宋体"/>
          <w:b/>
          <w:sz w:val="24"/>
          <w:szCs w:val="24"/>
        </w:rPr>
        <w:t>四、现场服务要求</w:t>
      </w:r>
      <w:bookmarkEnd w:id="24"/>
      <w:bookmarkEnd w:id="25"/>
      <w:bookmarkEnd w:id="26"/>
      <w:bookmarkEnd w:id="27"/>
      <w:bookmarkEnd w:id="28"/>
      <w:bookmarkEnd w:id="29"/>
      <w:bookmarkEnd w:id="30"/>
      <w:bookmarkEnd w:id="31"/>
      <w:bookmarkEnd w:id="33"/>
    </w:p>
    <w:p w14:paraId="2439C89D">
      <w:pPr>
        <w:spacing w:line="360" w:lineRule="auto"/>
        <w:rPr>
          <w:rFonts w:ascii="宋体" w:hAnsi="宋体" w:eastAsia="宋体" w:cs="仿宋_GB2312"/>
          <w:color w:val="auto"/>
          <w:spacing w:val="-2"/>
          <w:sz w:val="24"/>
          <w:szCs w:val="24"/>
        </w:rPr>
      </w:pPr>
      <w:bookmarkStart w:id="52" w:name="_GoBack"/>
      <w:bookmarkStart w:id="34" w:name="_Toc31358"/>
      <w:bookmarkStart w:id="35" w:name="_Toc30446"/>
      <w:bookmarkStart w:id="36" w:name="_Toc8706"/>
      <w:bookmarkStart w:id="37" w:name="_Toc8341"/>
      <w:bookmarkStart w:id="38" w:name="_Toc20085"/>
      <w:bookmarkStart w:id="39" w:name="_Toc15261"/>
      <w:bookmarkStart w:id="40" w:name="_Toc30869"/>
      <w:bookmarkStart w:id="41" w:name="_Toc39063961"/>
      <w:r>
        <w:rPr>
          <w:rFonts w:hint="eastAsia" w:ascii="宋体" w:hAnsi="宋体" w:eastAsia="宋体" w:cs="仿宋_GB2312"/>
          <w:color w:val="auto"/>
          <w:spacing w:val="-2"/>
          <w:sz w:val="24"/>
          <w:szCs w:val="24"/>
        </w:rPr>
        <w:t>1.本技术规范书为</w:t>
      </w:r>
      <w:r>
        <w:rPr>
          <w:rFonts w:hint="eastAsia" w:ascii="宋体" w:hAnsi="宋体" w:eastAsia="宋体" w:cs="仿宋_GB2312"/>
          <w:color w:val="auto"/>
          <w:sz w:val="24"/>
          <w:szCs w:val="24"/>
        </w:rPr>
        <w:t>贵州送变电有限责任公司林卡~青岩220kV线路工程(林卡220kV变220kV出线间隔扩建工程)</w:t>
      </w:r>
      <w:r>
        <w:rPr>
          <w:rFonts w:hint="eastAsia" w:ascii="宋体" w:hAnsi="宋体" w:eastAsia="宋体" w:cs="仿宋_GB2312"/>
          <w:color w:val="auto"/>
          <w:spacing w:val="-2"/>
          <w:sz w:val="24"/>
          <w:szCs w:val="24"/>
        </w:rPr>
        <w:t>配套技术服务的招标文件。</w:t>
      </w:r>
    </w:p>
    <w:p w14:paraId="1B3F906A">
      <w:pPr>
        <w:spacing w:line="360" w:lineRule="auto"/>
        <w:jc w:val="left"/>
        <w:rPr>
          <w:rFonts w:ascii="宋体" w:hAnsi="宋体" w:eastAsia="宋体" w:cs="仿宋_GB2312"/>
          <w:color w:val="auto"/>
          <w:spacing w:val="-2"/>
          <w:sz w:val="24"/>
          <w:szCs w:val="24"/>
        </w:rPr>
      </w:pPr>
      <w:r>
        <w:rPr>
          <w:rFonts w:hint="eastAsia" w:ascii="宋体" w:hAnsi="宋体" w:eastAsia="宋体" w:cs="仿宋_GB2312"/>
          <w:color w:val="auto"/>
          <w:spacing w:val="-2"/>
          <w:sz w:val="24"/>
          <w:szCs w:val="24"/>
        </w:rPr>
        <w:t>1）技术服务成果应满足相关的行业标准、国家标准、IEC标准、相关反措要求中有规定的规范条文，乙方应按相应标准的条文进行。对国家有关安全、环保等强制性标准，必须满足其要求；</w:t>
      </w:r>
    </w:p>
    <w:p w14:paraId="508A1332">
      <w:pPr>
        <w:spacing w:line="360" w:lineRule="auto"/>
        <w:jc w:val="left"/>
        <w:rPr>
          <w:rFonts w:ascii="宋体" w:hAnsi="宋体" w:eastAsia="宋体" w:cs="仿宋_GB2312"/>
          <w:color w:val="auto"/>
          <w:spacing w:val="-2"/>
          <w:sz w:val="24"/>
          <w:szCs w:val="24"/>
        </w:rPr>
      </w:pPr>
      <w:r>
        <w:rPr>
          <w:rFonts w:hint="eastAsia" w:ascii="宋体" w:hAnsi="宋体" w:eastAsia="宋体" w:cs="仿宋_GB2312"/>
          <w:color w:val="auto"/>
          <w:spacing w:val="-2"/>
          <w:sz w:val="24"/>
          <w:szCs w:val="24"/>
        </w:rPr>
        <w:t>2）本技术规范书所使用的标准如遇与乙方所执行的标准不一致时，按较高标准执行；</w:t>
      </w:r>
    </w:p>
    <w:p w14:paraId="6357192E">
      <w:pPr>
        <w:spacing w:line="360" w:lineRule="auto"/>
        <w:jc w:val="left"/>
        <w:rPr>
          <w:rFonts w:ascii="宋体" w:hAnsi="宋体" w:eastAsia="宋体" w:cs="仿宋_GB2312"/>
          <w:color w:val="auto"/>
          <w:spacing w:val="-2"/>
          <w:sz w:val="24"/>
          <w:szCs w:val="24"/>
        </w:rPr>
      </w:pPr>
      <w:r>
        <w:rPr>
          <w:rFonts w:hint="eastAsia" w:ascii="宋体" w:hAnsi="宋体" w:eastAsia="宋体" w:cs="仿宋_GB2312"/>
          <w:color w:val="auto"/>
          <w:spacing w:val="-2"/>
          <w:sz w:val="24"/>
          <w:szCs w:val="24"/>
        </w:rPr>
        <w:t>3）本招标项目为</w:t>
      </w:r>
      <w:r>
        <w:rPr>
          <w:rFonts w:hint="eastAsia" w:ascii="宋体" w:hAnsi="宋体" w:eastAsia="宋体" w:cs="仿宋_GB2312"/>
          <w:color w:val="auto"/>
          <w:sz w:val="24"/>
          <w:szCs w:val="24"/>
        </w:rPr>
        <w:t>贵州送变电有限责任公司林卡~青岩220kV线路工程(林卡220kV变220kV出线间隔扩建工程)项目</w:t>
      </w:r>
      <w:r>
        <w:rPr>
          <w:rFonts w:hint="eastAsia" w:ascii="宋体" w:hAnsi="宋体" w:eastAsia="宋体" w:cs="仿宋_GB2312"/>
          <w:color w:val="auto"/>
          <w:spacing w:val="-2"/>
          <w:sz w:val="24"/>
          <w:szCs w:val="24"/>
        </w:rPr>
        <w:t>变电站内所涉及厂家相关产品的修改名称、增加配置、等技术服务工作。</w:t>
      </w:r>
    </w:p>
    <w:bookmarkEnd w:id="52"/>
    <w:p w14:paraId="39128283">
      <w:pPr>
        <w:spacing w:line="360" w:lineRule="auto"/>
        <w:jc w:val="left"/>
        <w:rPr>
          <w:rFonts w:ascii="宋体" w:hAnsi="宋体" w:eastAsia="宋体" w:cs="仿宋_GB2312"/>
          <w:color w:val="000000"/>
          <w:spacing w:val="-2"/>
          <w:sz w:val="24"/>
          <w:szCs w:val="24"/>
        </w:rPr>
      </w:pPr>
      <w:r>
        <w:rPr>
          <w:rFonts w:hint="eastAsia" w:ascii="宋体" w:hAnsi="宋体" w:eastAsia="宋体" w:cs="仿宋_GB2312"/>
          <w:color w:val="000000"/>
          <w:spacing w:val="-2"/>
          <w:sz w:val="24"/>
          <w:szCs w:val="24"/>
        </w:rPr>
        <w:t>2.现场技术服务人员应熟悉本公司产品，有相同或相近的现场工作经验，能够正确进行现场指导，遇到问题能应时、正确、有效处理。有较强的责任感和事业心，按时到位。身体健康，适应现场工作的条件。遵守法纪，遵守现场的各项规章和制度。</w:t>
      </w:r>
    </w:p>
    <w:p w14:paraId="6ECD50A1">
      <w:pPr>
        <w:spacing w:line="360" w:lineRule="auto"/>
        <w:jc w:val="left"/>
        <w:rPr>
          <w:rFonts w:ascii="宋体" w:hAnsi="宋体" w:eastAsia="宋体" w:cs="仿宋_GB2312"/>
          <w:color w:val="000000"/>
          <w:spacing w:val="-2"/>
          <w:sz w:val="24"/>
          <w:szCs w:val="24"/>
        </w:rPr>
      </w:pPr>
      <w:r>
        <w:rPr>
          <w:rFonts w:hint="eastAsia" w:ascii="宋体" w:hAnsi="宋体" w:eastAsia="宋体" w:cs="仿宋_GB2312"/>
          <w:color w:val="000000"/>
          <w:spacing w:val="-2"/>
          <w:sz w:val="24"/>
          <w:szCs w:val="24"/>
        </w:rPr>
        <w:t>3.投标方负责选派符合本技术服务工作要求的电气技术人员，加强对现场技术服务人员的安全教育与安全培训，并提供必要的劳动保护产品。</w:t>
      </w:r>
    </w:p>
    <w:p w14:paraId="551B617F">
      <w:pPr>
        <w:spacing w:line="360" w:lineRule="auto"/>
        <w:jc w:val="left"/>
        <w:rPr>
          <w:rFonts w:ascii="宋体" w:hAnsi="宋体" w:eastAsia="宋体" w:cs="仿宋_GB2312"/>
          <w:color w:val="000000"/>
          <w:spacing w:val="-2"/>
          <w:sz w:val="24"/>
          <w:szCs w:val="24"/>
        </w:rPr>
      </w:pPr>
      <w:r>
        <w:rPr>
          <w:rFonts w:hint="eastAsia" w:ascii="宋体" w:hAnsi="宋体" w:eastAsia="宋体" w:cs="仿宋_GB2312"/>
          <w:color w:val="000000"/>
          <w:spacing w:val="-2"/>
          <w:sz w:val="24"/>
          <w:szCs w:val="24"/>
        </w:rPr>
        <w:t>4.投标方必须建立健全切实可行的安全管理规章制度，并认真实施，工作进程中配备专门的安全管理人员，安全文明施工并采取积极有效的安全措施，服从招标方的现场安全管理，招标方有权对投标方违反安全管理的情况进行处罚。</w:t>
      </w:r>
    </w:p>
    <w:p w14:paraId="411CF0C5">
      <w:pPr>
        <w:spacing w:line="360" w:lineRule="auto"/>
        <w:rPr>
          <w:rFonts w:ascii="宋体" w:hAnsi="宋体" w:eastAsia="宋体"/>
          <w:sz w:val="24"/>
          <w:szCs w:val="24"/>
        </w:rPr>
      </w:pPr>
      <w:r>
        <w:rPr>
          <w:rFonts w:hint="eastAsia" w:ascii="宋体" w:hAnsi="宋体" w:eastAsia="宋体" w:cs="仿宋_GB2312"/>
          <w:color w:val="000000"/>
          <w:spacing w:val="-2"/>
          <w:sz w:val="24"/>
          <w:szCs w:val="24"/>
        </w:rPr>
        <w:t>5.投标方负责进行</w:t>
      </w:r>
      <w:r>
        <w:rPr>
          <w:rFonts w:hint="eastAsia" w:ascii="宋体" w:hAnsi="宋体" w:eastAsia="宋体"/>
          <w:sz w:val="24"/>
          <w:szCs w:val="24"/>
        </w:rPr>
        <w:t>技术服务所需的电脑、网线、光纤跳线、测试仪表、工器具等。</w:t>
      </w:r>
    </w:p>
    <w:p w14:paraId="61E457D2">
      <w:pPr>
        <w:spacing w:line="360" w:lineRule="auto"/>
        <w:rPr>
          <w:rFonts w:ascii="宋体" w:hAnsi="宋体" w:eastAsia="宋体"/>
          <w:sz w:val="24"/>
          <w:szCs w:val="24"/>
        </w:rPr>
      </w:pPr>
      <w:r>
        <w:rPr>
          <w:rFonts w:hint="eastAsia" w:ascii="宋体" w:hAnsi="宋体" w:eastAsia="宋体"/>
          <w:sz w:val="24"/>
          <w:szCs w:val="24"/>
        </w:rPr>
        <w:t>6.在运行设备上工作应按招标方的安全要求开展。不得在未经现场工作负责人许可的情况下私自开展工作。</w:t>
      </w:r>
    </w:p>
    <w:p w14:paraId="088BBE80">
      <w:pPr>
        <w:spacing w:line="360" w:lineRule="auto"/>
        <w:rPr>
          <w:rFonts w:ascii="宋体" w:hAnsi="宋体" w:eastAsia="宋体"/>
          <w:sz w:val="24"/>
          <w:szCs w:val="24"/>
        </w:rPr>
      </w:pPr>
      <w:r>
        <w:rPr>
          <w:rFonts w:hint="eastAsia" w:ascii="宋体" w:hAnsi="宋体" w:eastAsia="宋体"/>
          <w:sz w:val="24"/>
          <w:szCs w:val="24"/>
        </w:rPr>
        <w:t>7.投标方对招标方所提供资料有保守秘密的义务。</w:t>
      </w:r>
    </w:p>
    <w:p w14:paraId="0EAE5E9F">
      <w:pPr>
        <w:spacing w:line="360" w:lineRule="auto"/>
        <w:rPr>
          <w:rFonts w:ascii="宋体" w:hAnsi="宋体" w:eastAsia="宋体"/>
          <w:sz w:val="24"/>
          <w:szCs w:val="24"/>
        </w:rPr>
      </w:pPr>
      <w:r>
        <w:rPr>
          <w:rFonts w:hint="eastAsia" w:ascii="宋体" w:hAnsi="宋体" w:eastAsia="宋体"/>
          <w:sz w:val="24"/>
          <w:szCs w:val="24"/>
        </w:rPr>
        <w:t>8.技术服务过程中，试验做到数据准确、不超期、不漏项目。</w:t>
      </w:r>
    </w:p>
    <w:p w14:paraId="3ADAD21D">
      <w:pPr>
        <w:spacing w:line="360" w:lineRule="auto"/>
        <w:rPr>
          <w:rFonts w:ascii="宋体" w:hAnsi="宋体" w:eastAsia="宋体"/>
          <w:sz w:val="24"/>
          <w:szCs w:val="24"/>
        </w:rPr>
      </w:pPr>
      <w:r>
        <w:rPr>
          <w:rFonts w:hint="eastAsia" w:ascii="宋体" w:hAnsi="宋体" w:eastAsia="宋体"/>
          <w:sz w:val="24"/>
          <w:szCs w:val="24"/>
        </w:rPr>
        <w:t>9.技术服务人员在现场需配合招标方完成相关验收。</w:t>
      </w:r>
    </w:p>
    <w:p w14:paraId="6804324F">
      <w:pPr>
        <w:spacing w:line="360" w:lineRule="auto"/>
        <w:rPr>
          <w:rFonts w:ascii="宋体" w:hAnsi="宋体" w:eastAsia="宋体"/>
          <w:sz w:val="24"/>
          <w:szCs w:val="24"/>
        </w:rPr>
      </w:pPr>
      <w:r>
        <w:rPr>
          <w:rFonts w:hint="eastAsia" w:ascii="宋体" w:hAnsi="宋体" w:eastAsia="宋体"/>
          <w:sz w:val="24"/>
          <w:szCs w:val="24"/>
        </w:rPr>
        <w:t>10.现场技术服务人员工作时应保证变电站内设备的网络安全要求，不发生因外接电脑、移动存储设备等造成的网络安全事故、事件。</w:t>
      </w:r>
    </w:p>
    <w:p w14:paraId="169B947A">
      <w:pPr>
        <w:spacing w:line="360" w:lineRule="auto"/>
        <w:rPr>
          <w:rFonts w:ascii="宋体" w:hAnsi="宋体" w:eastAsia="宋体"/>
          <w:sz w:val="24"/>
          <w:szCs w:val="24"/>
        </w:rPr>
      </w:pPr>
      <w:r>
        <w:rPr>
          <w:rFonts w:hint="eastAsia" w:ascii="宋体" w:hAnsi="宋体" w:eastAsia="宋体"/>
          <w:sz w:val="24"/>
          <w:szCs w:val="24"/>
        </w:rPr>
        <w:t>11.如招标方、业主单位有需求时，可根据情况对运行人员进行必要的技术培训、操作指导等服务。</w:t>
      </w:r>
    </w:p>
    <w:p w14:paraId="68308F71">
      <w:pPr>
        <w:spacing w:line="360" w:lineRule="auto"/>
        <w:rPr>
          <w:rFonts w:ascii="宋体" w:hAnsi="宋体" w:eastAsia="宋体"/>
          <w:sz w:val="24"/>
          <w:szCs w:val="24"/>
        </w:rPr>
      </w:pPr>
      <w:r>
        <w:rPr>
          <w:rFonts w:hint="eastAsia" w:ascii="宋体" w:hAnsi="宋体" w:eastAsia="宋体"/>
          <w:sz w:val="24"/>
          <w:szCs w:val="24"/>
        </w:rPr>
        <w:t>12.技术服务工作完成后由招标方统一组织填写《现场技术服务报告》，投标方现场技术人员应积极、主动配合完成。《现场技术服务报告》主要需体现乙方开展接入技术服务的次数，并以此作为合同结算的依据。</w:t>
      </w:r>
    </w:p>
    <w:p w14:paraId="62A86042">
      <w:pPr>
        <w:spacing w:line="360" w:lineRule="auto"/>
        <w:rPr>
          <w:rFonts w:ascii="宋体" w:hAnsi="宋体" w:eastAsia="宋体"/>
          <w:sz w:val="24"/>
          <w:szCs w:val="24"/>
        </w:rPr>
      </w:pPr>
      <w:r>
        <w:rPr>
          <w:rFonts w:hint="eastAsia" w:ascii="宋体" w:hAnsi="宋体" w:eastAsia="宋体"/>
          <w:sz w:val="24"/>
          <w:szCs w:val="24"/>
        </w:rPr>
        <w:t>15.投标人现场服务人员的工作时间与现场要求一致。招标人不再因投标人现场服务人员的加班和节假日而另付费用。</w:t>
      </w:r>
    </w:p>
    <w:p w14:paraId="30589F45">
      <w:pPr>
        <w:spacing w:line="360" w:lineRule="auto"/>
        <w:rPr>
          <w:rFonts w:ascii="宋体" w:hAnsi="宋体" w:eastAsia="宋体"/>
          <w:sz w:val="24"/>
          <w:szCs w:val="24"/>
        </w:rPr>
      </w:pPr>
      <w:r>
        <w:rPr>
          <w:rFonts w:hint="eastAsia" w:ascii="宋体" w:hAnsi="宋体" w:eastAsia="宋体"/>
          <w:sz w:val="24"/>
          <w:szCs w:val="24"/>
        </w:rPr>
        <w:t>16.技术服务人员通常需要满足以下条件和资质：</w:t>
      </w:r>
    </w:p>
    <w:p w14:paraId="197F8367">
      <w:pPr>
        <w:pStyle w:val="15"/>
        <w:numPr>
          <w:ilvl w:val="0"/>
          <w:numId w:val="3"/>
        </w:numPr>
        <w:spacing w:line="360" w:lineRule="auto"/>
        <w:ind w:firstLineChars="0"/>
        <w:rPr>
          <w:rFonts w:ascii="宋体" w:hAnsi="宋体" w:eastAsia="宋体"/>
          <w:sz w:val="24"/>
          <w:szCs w:val="24"/>
        </w:rPr>
      </w:pPr>
      <w:r>
        <w:rPr>
          <w:rFonts w:hint="eastAsia" w:ascii="宋体" w:hAnsi="宋体" w:eastAsia="宋体"/>
          <w:sz w:val="24"/>
          <w:szCs w:val="24"/>
        </w:rPr>
        <w:t>教育背景：通常需要电气工程、自动化或相关工程专业的学历背景。</w:t>
      </w:r>
    </w:p>
    <w:p w14:paraId="4718EC8C">
      <w:pPr>
        <w:pStyle w:val="15"/>
        <w:numPr>
          <w:ilvl w:val="0"/>
          <w:numId w:val="3"/>
        </w:numPr>
        <w:spacing w:line="360" w:lineRule="auto"/>
        <w:ind w:firstLineChars="0"/>
        <w:rPr>
          <w:rFonts w:ascii="宋体" w:hAnsi="宋体" w:eastAsia="宋体"/>
          <w:sz w:val="24"/>
          <w:szCs w:val="24"/>
        </w:rPr>
      </w:pPr>
      <w:r>
        <w:rPr>
          <w:rFonts w:hint="eastAsia" w:ascii="宋体" w:hAnsi="宋体" w:eastAsia="宋体"/>
          <w:sz w:val="24"/>
          <w:szCs w:val="24"/>
        </w:rPr>
        <w:t>专业知识：对电力系统、在线监测设备技术有深入的了解和认识。</w:t>
      </w:r>
    </w:p>
    <w:p w14:paraId="36CF5ED4">
      <w:pPr>
        <w:pStyle w:val="15"/>
        <w:numPr>
          <w:ilvl w:val="0"/>
          <w:numId w:val="3"/>
        </w:numPr>
        <w:spacing w:line="360" w:lineRule="auto"/>
        <w:ind w:firstLineChars="0"/>
        <w:rPr>
          <w:rFonts w:ascii="宋体" w:hAnsi="宋体" w:eastAsia="宋体"/>
          <w:sz w:val="24"/>
          <w:szCs w:val="24"/>
        </w:rPr>
      </w:pPr>
      <w:r>
        <w:rPr>
          <w:rFonts w:hint="eastAsia" w:ascii="宋体" w:hAnsi="宋体" w:eastAsia="宋体"/>
          <w:sz w:val="24"/>
          <w:szCs w:val="24"/>
        </w:rPr>
        <w:t>工作经验：具有一定的电力系统在线监测设备相关的工作经验，能够熟练进行对应在线监测设备的安装、调试、维护和故障排除。</w:t>
      </w:r>
    </w:p>
    <w:p w14:paraId="730DA862">
      <w:pPr>
        <w:pStyle w:val="15"/>
        <w:numPr>
          <w:ilvl w:val="0"/>
          <w:numId w:val="3"/>
        </w:numPr>
        <w:spacing w:line="360" w:lineRule="auto"/>
        <w:ind w:firstLineChars="0"/>
        <w:rPr>
          <w:rFonts w:ascii="宋体" w:hAnsi="宋体" w:eastAsia="宋体"/>
          <w:sz w:val="24"/>
          <w:szCs w:val="24"/>
        </w:rPr>
      </w:pPr>
      <w:r>
        <w:rPr>
          <w:rFonts w:hint="eastAsia" w:ascii="宋体" w:hAnsi="宋体" w:eastAsia="宋体"/>
          <w:sz w:val="24"/>
          <w:szCs w:val="24"/>
        </w:rPr>
        <w:t>专业技能：</w:t>
      </w:r>
    </w:p>
    <w:p w14:paraId="1DB747BC">
      <w:pPr>
        <w:pStyle w:val="15"/>
        <w:numPr>
          <w:ilvl w:val="0"/>
          <w:numId w:val="3"/>
        </w:numPr>
        <w:spacing w:line="360" w:lineRule="auto"/>
        <w:ind w:firstLineChars="0"/>
        <w:rPr>
          <w:rFonts w:ascii="宋体" w:hAnsi="宋体" w:eastAsia="宋体"/>
          <w:sz w:val="24"/>
          <w:szCs w:val="24"/>
        </w:rPr>
      </w:pPr>
      <w:r>
        <w:rPr>
          <w:rFonts w:hint="eastAsia" w:ascii="宋体" w:hAnsi="宋体" w:eastAsia="宋体"/>
          <w:sz w:val="24"/>
          <w:szCs w:val="24"/>
        </w:rPr>
        <w:t>能够阅读和理解技术图纸和规范。</w:t>
      </w:r>
    </w:p>
    <w:p w14:paraId="4356046E">
      <w:pPr>
        <w:pStyle w:val="15"/>
        <w:numPr>
          <w:ilvl w:val="0"/>
          <w:numId w:val="3"/>
        </w:numPr>
        <w:spacing w:line="360" w:lineRule="auto"/>
        <w:ind w:firstLineChars="0"/>
        <w:rPr>
          <w:rFonts w:ascii="宋体" w:hAnsi="宋体" w:eastAsia="宋体"/>
          <w:sz w:val="24"/>
          <w:szCs w:val="24"/>
        </w:rPr>
      </w:pPr>
      <w:r>
        <w:rPr>
          <w:rFonts w:hint="eastAsia" w:ascii="宋体" w:hAnsi="宋体" w:eastAsia="宋体"/>
          <w:sz w:val="24"/>
          <w:szCs w:val="24"/>
        </w:rPr>
        <w:t>熟悉在线监测设备的操作和配置。</w:t>
      </w:r>
    </w:p>
    <w:p w14:paraId="11AAB0C6">
      <w:pPr>
        <w:pStyle w:val="15"/>
        <w:numPr>
          <w:ilvl w:val="0"/>
          <w:numId w:val="3"/>
        </w:numPr>
        <w:spacing w:line="360" w:lineRule="auto"/>
        <w:ind w:firstLineChars="0"/>
        <w:rPr>
          <w:rFonts w:ascii="宋体" w:hAnsi="宋体" w:eastAsia="宋体"/>
          <w:sz w:val="24"/>
          <w:szCs w:val="24"/>
        </w:rPr>
      </w:pPr>
      <w:r>
        <w:rPr>
          <w:rFonts w:hint="eastAsia" w:ascii="宋体" w:hAnsi="宋体" w:eastAsia="宋体"/>
          <w:sz w:val="24"/>
          <w:szCs w:val="24"/>
        </w:rPr>
        <w:t>能够进行在线监测设备的测试和校验。</w:t>
      </w:r>
    </w:p>
    <w:p w14:paraId="7D9C23DB">
      <w:pPr>
        <w:pStyle w:val="15"/>
        <w:numPr>
          <w:ilvl w:val="0"/>
          <w:numId w:val="3"/>
        </w:numPr>
        <w:spacing w:line="360" w:lineRule="auto"/>
        <w:ind w:firstLineChars="0"/>
        <w:rPr>
          <w:rFonts w:ascii="宋体" w:hAnsi="宋体" w:eastAsia="宋体"/>
          <w:sz w:val="24"/>
          <w:szCs w:val="24"/>
        </w:rPr>
      </w:pPr>
      <w:r>
        <w:rPr>
          <w:rFonts w:hint="eastAsia" w:ascii="宋体" w:hAnsi="宋体" w:eastAsia="宋体"/>
          <w:sz w:val="24"/>
          <w:szCs w:val="24"/>
        </w:rPr>
        <w:t>资质认证：持有相关的专业资格证书，</w:t>
      </w:r>
      <w:r>
        <w:rPr>
          <w:rFonts w:hint="eastAsia" w:ascii="宋体" w:hAnsi="宋体" w:eastAsia="宋体" w:cs="仿宋_GB2312"/>
          <w:sz w:val="24"/>
          <w:szCs w:val="24"/>
        </w:rPr>
        <w:t>《特种作业操作证》（准操项目：高压电工作业/低压电工作业）</w:t>
      </w:r>
      <w:r>
        <w:rPr>
          <w:rFonts w:hint="eastAsia" w:ascii="宋体" w:hAnsi="宋体" w:eastAsia="宋体"/>
          <w:sz w:val="24"/>
          <w:szCs w:val="24"/>
        </w:rPr>
        <w:t>。</w:t>
      </w:r>
    </w:p>
    <w:p w14:paraId="68CDD23D">
      <w:pPr>
        <w:pStyle w:val="15"/>
        <w:numPr>
          <w:ilvl w:val="0"/>
          <w:numId w:val="3"/>
        </w:numPr>
        <w:spacing w:line="360" w:lineRule="auto"/>
        <w:ind w:firstLineChars="0"/>
        <w:rPr>
          <w:rFonts w:ascii="宋体" w:hAnsi="宋体" w:eastAsia="宋体"/>
          <w:sz w:val="24"/>
          <w:szCs w:val="24"/>
        </w:rPr>
      </w:pPr>
      <w:r>
        <w:rPr>
          <w:rFonts w:hint="eastAsia" w:ascii="宋体" w:hAnsi="宋体" w:eastAsia="宋体"/>
          <w:sz w:val="24"/>
          <w:szCs w:val="24"/>
        </w:rPr>
        <w:t>遵守法规：了解并遵守国家及行业的相关标准和法规。</w:t>
      </w:r>
    </w:p>
    <w:p w14:paraId="2992BCE5">
      <w:pPr>
        <w:pStyle w:val="15"/>
        <w:numPr>
          <w:ilvl w:val="0"/>
          <w:numId w:val="3"/>
        </w:numPr>
        <w:spacing w:line="360" w:lineRule="auto"/>
        <w:ind w:firstLineChars="0"/>
        <w:rPr>
          <w:rFonts w:ascii="宋体" w:hAnsi="宋体" w:eastAsia="宋体"/>
          <w:sz w:val="24"/>
          <w:szCs w:val="24"/>
        </w:rPr>
      </w:pPr>
      <w:r>
        <w:rPr>
          <w:rFonts w:hint="eastAsia" w:ascii="宋体" w:hAnsi="宋体" w:eastAsia="宋体"/>
          <w:sz w:val="24"/>
          <w:szCs w:val="24"/>
        </w:rPr>
        <w:t>安全意识：具备良好的安全意识，能够确保在工作过程中遵守安全规程，防止事故的发生。</w:t>
      </w:r>
    </w:p>
    <w:p w14:paraId="5A9688B6">
      <w:pPr>
        <w:pStyle w:val="15"/>
        <w:numPr>
          <w:ilvl w:val="0"/>
          <w:numId w:val="3"/>
        </w:numPr>
        <w:spacing w:line="360" w:lineRule="auto"/>
        <w:ind w:firstLineChars="0"/>
        <w:rPr>
          <w:rFonts w:ascii="宋体" w:hAnsi="宋体" w:eastAsia="宋体"/>
          <w:sz w:val="24"/>
          <w:szCs w:val="24"/>
        </w:rPr>
      </w:pPr>
      <w:r>
        <w:rPr>
          <w:rFonts w:hint="eastAsia" w:ascii="宋体" w:hAnsi="宋体" w:eastAsia="宋体"/>
          <w:sz w:val="24"/>
          <w:szCs w:val="24"/>
        </w:rPr>
        <w:t>沟通能力：具有良好的沟通和协调能力，能够与团队成员、客户以及供应商有效沟通。</w:t>
      </w:r>
    </w:p>
    <w:p w14:paraId="4302B0E8">
      <w:pPr>
        <w:pStyle w:val="15"/>
        <w:numPr>
          <w:ilvl w:val="0"/>
          <w:numId w:val="3"/>
        </w:numPr>
        <w:spacing w:line="360" w:lineRule="auto"/>
        <w:ind w:firstLineChars="0"/>
        <w:rPr>
          <w:rFonts w:ascii="宋体" w:hAnsi="宋体" w:eastAsia="宋体"/>
          <w:sz w:val="24"/>
          <w:szCs w:val="24"/>
        </w:rPr>
      </w:pPr>
      <w:r>
        <w:rPr>
          <w:rFonts w:hint="eastAsia" w:ascii="宋体" w:hAnsi="宋体" w:eastAsia="宋体"/>
          <w:sz w:val="24"/>
          <w:szCs w:val="24"/>
        </w:rPr>
        <w:t>持续学习：电力行业技术更新迅速，技术人员需要有持续学习的意愿和能力，以跟上行业发展的步伐。</w:t>
      </w:r>
    </w:p>
    <w:p w14:paraId="45FF6C8B">
      <w:pPr>
        <w:pStyle w:val="15"/>
        <w:numPr>
          <w:ilvl w:val="0"/>
          <w:numId w:val="3"/>
        </w:numPr>
        <w:spacing w:line="360" w:lineRule="auto"/>
        <w:ind w:firstLineChars="0"/>
        <w:rPr>
          <w:rFonts w:ascii="宋体" w:hAnsi="宋体" w:eastAsia="宋体"/>
          <w:sz w:val="24"/>
          <w:szCs w:val="24"/>
        </w:rPr>
      </w:pPr>
      <w:r>
        <w:rPr>
          <w:rFonts w:hint="eastAsia" w:ascii="宋体" w:hAnsi="宋体" w:eastAsia="宋体"/>
          <w:sz w:val="24"/>
          <w:szCs w:val="24"/>
        </w:rPr>
        <w:t>身体素质：由于工作可能涉及现场作业，需要良好的身体素质以应对可能的物理劳动。</w:t>
      </w:r>
    </w:p>
    <w:p w14:paraId="672D246B">
      <w:pPr>
        <w:spacing w:line="360" w:lineRule="auto"/>
        <w:rPr>
          <w:rFonts w:ascii="宋体" w:hAnsi="宋体" w:eastAsia="宋体"/>
          <w:sz w:val="24"/>
          <w:szCs w:val="24"/>
        </w:rPr>
      </w:pPr>
      <w:r>
        <w:rPr>
          <w:rFonts w:hint="eastAsia" w:ascii="宋体" w:hAnsi="宋体" w:eastAsia="宋体"/>
          <w:sz w:val="24"/>
          <w:szCs w:val="24"/>
        </w:rPr>
        <w:t>17.未经招标人同意，投标人不随意更换现场服务人员。同时，投标人将及时更换招标人认为不合格的投标人现场服务人员。</w:t>
      </w:r>
    </w:p>
    <w:p w14:paraId="516B85EA">
      <w:pPr>
        <w:spacing w:line="360" w:lineRule="auto"/>
        <w:rPr>
          <w:rFonts w:ascii="宋体" w:hAnsi="宋体" w:eastAsia="宋体"/>
          <w:sz w:val="24"/>
          <w:szCs w:val="24"/>
        </w:rPr>
      </w:pPr>
      <w:r>
        <w:rPr>
          <w:rFonts w:hint="eastAsia" w:ascii="宋体" w:hAnsi="宋体" w:eastAsia="宋体"/>
          <w:sz w:val="24"/>
          <w:szCs w:val="24"/>
        </w:rPr>
        <w:t>18.投标方现场工作必须严格执行运行变电站相关安全规程、安全作业要求，不得发生违章。如因投标人原因发生的相关违章事件，招标方有权要求相关赔偿。</w:t>
      </w:r>
    </w:p>
    <w:p w14:paraId="08DCA608">
      <w:pPr>
        <w:spacing w:line="360" w:lineRule="auto"/>
        <w:rPr>
          <w:rFonts w:ascii="宋体" w:hAnsi="宋体" w:eastAsia="宋体"/>
          <w:sz w:val="24"/>
          <w:szCs w:val="24"/>
        </w:rPr>
      </w:pPr>
      <w:r>
        <w:rPr>
          <w:rFonts w:hint="eastAsia" w:ascii="宋体" w:hAnsi="宋体" w:eastAsia="宋体"/>
          <w:sz w:val="24"/>
          <w:szCs w:val="24"/>
        </w:rPr>
        <w:t>19.因投标方原因发生的现场安全事故、事件，招标方有权按贵州电网有限责任公司相关安全处理规定进行处罚，并保留相关赔偿的权力。</w:t>
      </w:r>
    </w:p>
    <w:p w14:paraId="02660820">
      <w:pPr>
        <w:pStyle w:val="2"/>
        <w:numPr>
          <w:ilvl w:val="0"/>
          <w:numId w:val="0"/>
        </w:numPr>
        <w:spacing w:line="360" w:lineRule="auto"/>
        <w:rPr>
          <w:rFonts w:ascii="宋体" w:hAnsi="宋体" w:eastAsia="宋体"/>
          <w:b/>
          <w:sz w:val="24"/>
          <w:szCs w:val="24"/>
        </w:rPr>
      </w:pPr>
      <w:bookmarkStart w:id="42" w:name="_Toc6107"/>
      <w:r>
        <w:rPr>
          <w:rFonts w:hint="eastAsia" w:ascii="宋体" w:hAnsi="宋体" w:eastAsia="宋体"/>
          <w:b/>
          <w:sz w:val="24"/>
          <w:szCs w:val="24"/>
        </w:rPr>
        <w:t>五、质量承诺及售后服务</w:t>
      </w:r>
      <w:bookmarkEnd w:id="34"/>
      <w:bookmarkEnd w:id="35"/>
      <w:bookmarkEnd w:id="36"/>
      <w:bookmarkEnd w:id="37"/>
      <w:bookmarkEnd w:id="38"/>
      <w:bookmarkEnd w:id="39"/>
      <w:bookmarkEnd w:id="40"/>
      <w:bookmarkEnd w:id="41"/>
      <w:bookmarkEnd w:id="42"/>
    </w:p>
    <w:p w14:paraId="31394690">
      <w:pPr>
        <w:spacing w:line="360" w:lineRule="auto"/>
        <w:ind w:firstLine="480" w:firstLineChars="200"/>
        <w:rPr>
          <w:rFonts w:ascii="宋体" w:hAnsi="宋体" w:eastAsia="宋体" w:cs="仿宋_GB2312"/>
          <w:sz w:val="24"/>
          <w:szCs w:val="24"/>
        </w:rPr>
      </w:pPr>
      <w:r>
        <w:rPr>
          <w:rFonts w:hint="eastAsia" w:ascii="宋体" w:hAnsi="宋体" w:eastAsia="宋体" w:cs="仿宋_GB2312"/>
          <w:sz w:val="24"/>
          <w:szCs w:val="24"/>
        </w:rPr>
        <w:t>技术服务成果满足规程、规范要求，经业主单位验收合格。</w:t>
      </w:r>
    </w:p>
    <w:p w14:paraId="3D46018C">
      <w:pPr>
        <w:pStyle w:val="2"/>
        <w:numPr>
          <w:ilvl w:val="0"/>
          <w:numId w:val="0"/>
        </w:numPr>
        <w:spacing w:line="360" w:lineRule="auto"/>
        <w:rPr>
          <w:rFonts w:ascii="宋体" w:hAnsi="宋体" w:eastAsia="宋体"/>
          <w:b/>
          <w:sz w:val="24"/>
          <w:szCs w:val="24"/>
        </w:rPr>
      </w:pPr>
      <w:bookmarkStart w:id="43" w:name="_Toc14741"/>
      <w:bookmarkStart w:id="44" w:name="_Toc39063962"/>
      <w:bookmarkStart w:id="45" w:name="_Toc2630"/>
      <w:bookmarkStart w:id="46" w:name="_Toc27933"/>
      <w:bookmarkStart w:id="47" w:name="_Toc22433"/>
      <w:bookmarkStart w:id="48" w:name="_Toc9393"/>
      <w:bookmarkStart w:id="49" w:name="_Toc26995"/>
      <w:bookmarkStart w:id="50" w:name="_Toc8905"/>
      <w:bookmarkStart w:id="51" w:name="_Toc11577"/>
      <w:r>
        <w:rPr>
          <w:rFonts w:hint="eastAsia" w:ascii="宋体" w:hAnsi="宋体" w:eastAsia="宋体"/>
          <w:b/>
          <w:sz w:val="24"/>
          <w:szCs w:val="24"/>
        </w:rPr>
        <w:t>六、项目交付成果</w:t>
      </w:r>
      <w:bookmarkEnd w:id="43"/>
      <w:bookmarkEnd w:id="44"/>
      <w:bookmarkEnd w:id="45"/>
      <w:bookmarkEnd w:id="46"/>
      <w:bookmarkEnd w:id="47"/>
      <w:bookmarkEnd w:id="48"/>
      <w:bookmarkEnd w:id="49"/>
      <w:bookmarkEnd w:id="50"/>
      <w:bookmarkEnd w:id="51"/>
    </w:p>
    <w:p w14:paraId="68E87A95">
      <w:pPr>
        <w:spacing w:line="360" w:lineRule="auto"/>
        <w:rPr>
          <w:rFonts w:ascii="宋体" w:hAnsi="宋体" w:eastAsia="宋体" w:cs="仿宋_GB2312"/>
          <w:sz w:val="24"/>
          <w:szCs w:val="24"/>
        </w:rPr>
      </w:pPr>
      <w:r>
        <w:rPr>
          <w:rFonts w:hint="eastAsia" w:ascii="宋体" w:hAnsi="宋体" w:eastAsia="宋体" w:cs="仿宋_GB2312"/>
          <w:sz w:val="24"/>
          <w:szCs w:val="24"/>
        </w:rPr>
        <w:t>1.技术服务成果相关规程规范要求。</w:t>
      </w:r>
    </w:p>
    <w:p w14:paraId="2397AA99">
      <w:pPr>
        <w:spacing w:line="360" w:lineRule="auto"/>
        <w:rPr>
          <w:rFonts w:ascii="宋体" w:hAnsi="宋体" w:eastAsia="宋体"/>
          <w:sz w:val="24"/>
          <w:szCs w:val="24"/>
        </w:rPr>
      </w:pPr>
      <w:r>
        <w:rPr>
          <w:rFonts w:hint="eastAsia" w:ascii="宋体" w:hAnsi="宋体" w:eastAsia="宋体" w:cs="仿宋_GB2312"/>
          <w:sz w:val="24"/>
          <w:szCs w:val="24"/>
        </w:rPr>
        <w:t>2.经招标方、业主单位、运行单位验收合格，可正常投入运行使用。</w:t>
      </w:r>
    </w:p>
    <w:p w14:paraId="59DD443A">
      <w:pPr>
        <w:spacing w:line="360" w:lineRule="auto"/>
        <w:rPr>
          <w:rFonts w:ascii="宋体" w:hAnsi="宋体" w:eastAsia="宋体"/>
          <w:sz w:val="24"/>
          <w:szCs w:val="24"/>
        </w:rPr>
      </w:pPr>
    </w:p>
    <w:p w14:paraId="22664958">
      <w:r>
        <w:rPr>
          <w:rFonts w:hint="eastAsia"/>
        </w:rPr>
        <w:br w:type="page"/>
      </w:r>
    </w:p>
    <w:p w14:paraId="51B0145D">
      <w:pPr>
        <w:pStyle w:val="3"/>
      </w:pPr>
      <w:r>
        <w:rPr>
          <w:rFonts w:hint="eastAsia"/>
        </w:rPr>
        <w:t>附表：现场技术服务报告</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9"/>
        <w:gridCol w:w="2376"/>
        <w:gridCol w:w="3165"/>
        <w:gridCol w:w="1050"/>
        <w:gridCol w:w="2116"/>
      </w:tblGrid>
      <w:tr w14:paraId="253FF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96" w:type="dxa"/>
            <w:gridSpan w:val="5"/>
          </w:tcPr>
          <w:p w14:paraId="08B52318">
            <w:pPr>
              <w:jc w:val="center"/>
            </w:pPr>
            <w:r>
              <w:rPr>
                <w:rFonts w:hint="eastAsia"/>
              </w:rPr>
              <w:t>现场技术服务报告</w:t>
            </w:r>
          </w:p>
        </w:tc>
      </w:tr>
      <w:tr w14:paraId="5679A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96" w:type="dxa"/>
            <w:gridSpan w:val="5"/>
          </w:tcPr>
          <w:p w14:paraId="44C2287F">
            <w:pPr>
              <w:rPr>
                <w:sz w:val="24"/>
                <w:szCs w:val="24"/>
              </w:rPr>
            </w:pPr>
            <w:r>
              <w:rPr>
                <w:rFonts w:hint="eastAsia"/>
                <w:sz w:val="24"/>
                <w:szCs w:val="24"/>
              </w:rPr>
              <w:t>厂站名称：</w:t>
            </w:r>
          </w:p>
        </w:tc>
      </w:tr>
      <w:tr w14:paraId="629C7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96" w:type="dxa"/>
            <w:gridSpan w:val="5"/>
          </w:tcPr>
          <w:p w14:paraId="0D24CC2A">
            <w:pPr>
              <w:rPr>
                <w:sz w:val="24"/>
                <w:szCs w:val="24"/>
              </w:rPr>
            </w:pPr>
            <w:r>
              <w:rPr>
                <w:rFonts w:hint="eastAsia"/>
                <w:sz w:val="24"/>
                <w:szCs w:val="24"/>
              </w:rPr>
              <w:t>技术服务人员：</w:t>
            </w:r>
          </w:p>
        </w:tc>
      </w:tr>
      <w:tr w14:paraId="45F82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96" w:type="dxa"/>
            <w:gridSpan w:val="5"/>
          </w:tcPr>
          <w:p w14:paraId="2220400E">
            <w:pPr>
              <w:rPr>
                <w:sz w:val="24"/>
                <w:szCs w:val="24"/>
              </w:rPr>
            </w:pPr>
            <w:r>
              <w:rPr>
                <w:rFonts w:hint="eastAsia"/>
                <w:sz w:val="24"/>
                <w:szCs w:val="24"/>
              </w:rPr>
              <w:t>服务日期：</w:t>
            </w:r>
          </w:p>
        </w:tc>
      </w:tr>
      <w:tr w14:paraId="5FC4D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96" w:type="dxa"/>
            <w:gridSpan w:val="5"/>
          </w:tcPr>
          <w:p w14:paraId="012F47B8">
            <w:r>
              <w:rPr>
                <w:rFonts w:hint="eastAsia"/>
                <w:sz w:val="24"/>
                <w:szCs w:val="24"/>
              </w:rPr>
              <w:t>系统/装置名称:</w:t>
            </w:r>
          </w:p>
        </w:tc>
      </w:tr>
      <w:tr w14:paraId="45368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96" w:type="dxa"/>
            <w:gridSpan w:val="5"/>
          </w:tcPr>
          <w:p w14:paraId="5BD48518">
            <w:pPr>
              <w:rPr>
                <w:sz w:val="24"/>
                <w:szCs w:val="24"/>
              </w:rPr>
            </w:pPr>
            <w:r>
              <w:rPr>
                <w:rFonts w:hint="eastAsia"/>
                <w:sz w:val="24"/>
                <w:szCs w:val="24"/>
              </w:rPr>
              <w:t>技术服务内容:</w:t>
            </w:r>
          </w:p>
        </w:tc>
      </w:tr>
      <w:tr w14:paraId="7FF5F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dxa"/>
          </w:tcPr>
          <w:p w14:paraId="44450270">
            <w:pPr>
              <w:rPr>
                <w:sz w:val="24"/>
                <w:szCs w:val="24"/>
              </w:rPr>
            </w:pPr>
            <w:r>
              <w:rPr>
                <w:rFonts w:hint="eastAsia"/>
                <w:sz w:val="24"/>
                <w:szCs w:val="24"/>
              </w:rPr>
              <w:t>序号</w:t>
            </w:r>
          </w:p>
        </w:tc>
        <w:tc>
          <w:tcPr>
            <w:tcW w:w="6591" w:type="dxa"/>
            <w:gridSpan w:val="3"/>
          </w:tcPr>
          <w:p w14:paraId="71DD595A">
            <w:pPr>
              <w:rPr>
                <w:sz w:val="24"/>
                <w:szCs w:val="24"/>
              </w:rPr>
            </w:pPr>
            <w:r>
              <w:rPr>
                <w:rFonts w:hint="eastAsia"/>
                <w:sz w:val="24"/>
                <w:szCs w:val="24"/>
              </w:rPr>
              <w:t>技术服务内容</w:t>
            </w:r>
          </w:p>
        </w:tc>
        <w:tc>
          <w:tcPr>
            <w:tcW w:w="2116" w:type="dxa"/>
          </w:tcPr>
          <w:p w14:paraId="39E68217">
            <w:pPr>
              <w:rPr>
                <w:sz w:val="24"/>
                <w:szCs w:val="24"/>
              </w:rPr>
            </w:pPr>
            <w:r>
              <w:rPr>
                <w:rFonts w:hint="eastAsia"/>
                <w:sz w:val="24"/>
                <w:szCs w:val="24"/>
              </w:rPr>
              <w:t>技术服务结果</w:t>
            </w:r>
          </w:p>
        </w:tc>
      </w:tr>
      <w:tr w14:paraId="490E0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dxa"/>
          </w:tcPr>
          <w:p w14:paraId="19456D1C">
            <w:pPr>
              <w:rPr>
                <w:sz w:val="24"/>
                <w:szCs w:val="24"/>
              </w:rPr>
            </w:pPr>
            <w:r>
              <w:rPr>
                <w:rFonts w:hint="eastAsia"/>
                <w:sz w:val="24"/>
                <w:szCs w:val="24"/>
              </w:rPr>
              <w:t>1</w:t>
            </w:r>
          </w:p>
        </w:tc>
        <w:tc>
          <w:tcPr>
            <w:tcW w:w="6591" w:type="dxa"/>
            <w:gridSpan w:val="3"/>
          </w:tcPr>
          <w:p w14:paraId="36AAFC9E">
            <w:pPr>
              <w:rPr>
                <w:color w:val="FF0000"/>
                <w:sz w:val="24"/>
                <w:szCs w:val="24"/>
              </w:rPr>
            </w:pPr>
          </w:p>
        </w:tc>
        <w:tc>
          <w:tcPr>
            <w:tcW w:w="2116" w:type="dxa"/>
          </w:tcPr>
          <w:p w14:paraId="6A37CE70">
            <w:pPr>
              <w:rPr>
                <w:sz w:val="24"/>
                <w:szCs w:val="24"/>
              </w:rPr>
            </w:pPr>
          </w:p>
        </w:tc>
      </w:tr>
      <w:tr w14:paraId="25995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dxa"/>
          </w:tcPr>
          <w:p w14:paraId="24D35CCB">
            <w:pPr>
              <w:rPr>
                <w:sz w:val="24"/>
                <w:szCs w:val="24"/>
              </w:rPr>
            </w:pPr>
            <w:r>
              <w:rPr>
                <w:rFonts w:hint="eastAsia"/>
                <w:sz w:val="24"/>
                <w:szCs w:val="24"/>
              </w:rPr>
              <w:t>2</w:t>
            </w:r>
          </w:p>
        </w:tc>
        <w:tc>
          <w:tcPr>
            <w:tcW w:w="6591" w:type="dxa"/>
            <w:gridSpan w:val="3"/>
          </w:tcPr>
          <w:p w14:paraId="14DC3FD3">
            <w:pPr>
              <w:rPr>
                <w:color w:val="FF0000"/>
                <w:sz w:val="24"/>
                <w:szCs w:val="24"/>
              </w:rPr>
            </w:pPr>
          </w:p>
        </w:tc>
        <w:tc>
          <w:tcPr>
            <w:tcW w:w="2116" w:type="dxa"/>
          </w:tcPr>
          <w:p w14:paraId="7718E1B7">
            <w:pPr>
              <w:rPr>
                <w:color w:val="FF0000"/>
                <w:sz w:val="24"/>
                <w:szCs w:val="24"/>
              </w:rPr>
            </w:pPr>
          </w:p>
        </w:tc>
      </w:tr>
      <w:tr w14:paraId="7B11F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dxa"/>
          </w:tcPr>
          <w:p w14:paraId="4781B142">
            <w:pPr>
              <w:rPr>
                <w:sz w:val="24"/>
                <w:szCs w:val="24"/>
              </w:rPr>
            </w:pPr>
            <w:r>
              <w:rPr>
                <w:rFonts w:hint="eastAsia"/>
                <w:sz w:val="24"/>
                <w:szCs w:val="24"/>
              </w:rPr>
              <w:t>3</w:t>
            </w:r>
          </w:p>
        </w:tc>
        <w:tc>
          <w:tcPr>
            <w:tcW w:w="6591" w:type="dxa"/>
            <w:gridSpan w:val="3"/>
          </w:tcPr>
          <w:p w14:paraId="3667111D">
            <w:pPr>
              <w:rPr>
                <w:sz w:val="24"/>
                <w:szCs w:val="24"/>
              </w:rPr>
            </w:pPr>
          </w:p>
        </w:tc>
        <w:tc>
          <w:tcPr>
            <w:tcW w:w="2116" w:type="dxa"/>
          </w:tcPr>
          <w:p w14:paraId="655B066E">
            <w:pPr>
              <w:rPr>
                <w:sz w:val="24"/>
                <w:szCs w:val="24"/>
              </w:rPr>
            </w:pPr>
          </w:p>
        </w:tc>
      </w:tr>
      <w:tr w14:paraId="330D5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dxa"/>
          </w:tcPr>
          <w:p w14:paraId="2F5EEB60">
            <w:pPr>
              <w:rPr>
                <w:sz w:val="24"/>
                <w:szCs w:val="24"/>
              </w:rPr>
            </w:pPr>
          </w:p>
        </w:tc>
        <w:tc>
          <w:tcPr>
            <w:tcW w:w="6591" w:type="dxa"/>
            <w:gridSpan w:val="3"/>
          </w:tcPr>
          <w:p w14:paraId="12314B61">
            <w:pPr>
              <w:rPr>
                <w:sz w:val="24"/>
                <w:szCs w:val="24"/>
              </w:rPr>
            </w:pPr>
          </w:p>
        </w:tc>
        <w:tc>
          <w:tcPr>
            <w:tcW w:w="2116" w:type="dxa"/>
          </w:tcPr>
          <w:p w14:paraId="29EBE031">
            <w:pPr>
              <w:rPr>
                <w:sz w:val="24"/>
                <w:szCs w:val="24"/>
              </w:rPr>
            </w:pPr>
          </w:p>
        </w:tc>
      </w:tr>
      <w:tr w14:paraId="3F416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dxa"/>
          </w:tcPr>
          <w:p w14:paraId="228705CB">
            <w:pPr>
              <w:rPr>
                <w:sz w:val="24"/>
                <w:szCs w:val="24"/>
              </w:rPr>
            </w:pPr>
          </w:p>
        </w:tc>
        <w:tc>
          <w:tcPr>
            <w:tcW w:w="6591" w:type="dxa"/>
            <w:gridSpan w:val="3"/>
          </w:tcPr>
          <w:p w14:paraId="5FCF3705">
            <w:pPr>
              <w:rPr>
                <w:sz w:val="24"/>
                <w:szCs w:val="24"/>
              </w:rPr>
            </w:pPr>
          </w:p>
        </w:tc>
        <w:tc>
          <w:tcPr>
            <w:tcW w:w="2116" w:type="dxa"/>
          </w:tcPr>
          <w:p w14:paraId="7DA76ECF">
            <w:pPr>
              <w:rPr>
                <w:sz w:val="24"/>
                <w:szCs w:val="24"/>
              </w:rPr>
            </w:pPr>
          </w:p>
        </w:tc>
      </w:tr>
      <w:tr w14:paraId="38E10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96" w:type="dxa"/>
            <w:gridSpan w:val="5"/>
          </w:tcPr>
          <w:p w14:paraId="7CB17B31">
            <w:pPr>
              <w:rPr>
                <w:sz w:val="24"/>
                <w:szCs w:val="24"/>
              </w:rPr>
            </w:pPr>
            <w:r>
              <w:rPr>
                <w:rFonts w:hint="eastAsia"/>
                <w:sz w:val="24"/>
                <w:szCs w:val="24"/>
              </w:rPr>
              <w:t>遗留问题、整改措施、解决办法：</w:t>
            </w:r>
          </w:p>
        </w:tc>
      </w:tr>
      <w:tr w14:paraId="6294B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96" w:type="dxa"/>
            <w:gridSpan w:val="5"/>
          </w:tcPr>
          <w:p w14:paraId="5756ED7B">
            <w:pPr>
              <w:rPr>
                <w:sz w:val="24"/>
                <w:szCs w:val="24"/>
              </w:rPr>
            </w:pPr>
          </w:p>
        </w:tc>
      </w:tr>
      <w:tr w14:paraId="6070F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96" w:type="dxa"/>
            <w:gridSpan w:val="5"/>
          </w:tcPr>
          <w:p w14:paraId="1388C1DB">
            <w:pPr>
              <w:rPr>
                <w:sz w:val="24"/>
                <w:szCs w:val="24"/>
              </w:rPr>
            </w:pPr>
          </w:p>
        </w:tc>
      </w:tr>
      <w:tr w14:paraId="7B77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96" w:type="dxa"/>
            <w:gridSpan w:val="5"/>
          </w:tcPr>
          <w:p w14:paraId="3EB95AD3">
            <w:pPr>
              <w:rPr>
                <w:sz w:val="24"/>
                <w:szCs w:val="24"/>
              </w:rPr>
            </w:pPr>
          </w:p>
        </w:tc>
      </w:tr>
      <w:tr w14:paraId="078BC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96" w:type="dxa"/>
            <w:gridSpan w:val="5"/>
          </w:tcPr>
          <w:p w14:paraId="66029768">
            <w:pPr>
              <w:rPr>
                <w:sz w:val="24"/>
                <w:szCs w:val="24"/>
              </w:rPr>
            </w:pPr>
          </w:p>
        </w:tc>
      </w:tr>
      <w:tr w14:paraId="55B2A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9" w:hRule="atLeast"/>
        </w:trPr>
        <w:tc>
          <w:tcPr>
            <w:tcW w:w="3165" w:type="dxa"/>
            <w:gridSpan w:val="2"/>
          </w:tcPr>
          <w:p w14:paraId="2BE816FA">
            <w:pPr>
              <w:rPr>
                <w:sz w:val="24"/>
                <w:szCs w:val="24"/>
              </w:rPr>
            </w:pPr>
            <w:r>
              <w:rPr>
                <w:rFonts w:hint="eastAsia"/>
                <w:sz w:val="24"/>
                <w:szCs w:val="24"/>
              </w:rPr>
              <w:t>技术服务厂家：</w:t>
            </w:r>
          </w:p>
        </w:tc>
        <w:tc>
          <w:tcPr>
            <w:tcW w:w="3165" w:type="dxa"/>
          </w:tcPr>
          <w:p w14:paraId="6D1C12F7">
            <w:pPr>
              <w:rPr>
                <w:sz w:val="24"/>
                <w:szCs w:val="24"/>
              </w:rPr>
            </w:pPr>
            <w:r>
              <w:rPr>
                <w:rFonts w:hint="eastAsia"/>
                <w:sz w:val="24"/>
                <w:szCs w:val="24"/>
              </w:rPr>
              <w:t>施工单位（总承包）：</w:t>
            </w:r>
          </w:p>
        </w:tc>
        <w:tc>
          <w:tcPr>
            <w:tcW w:w="3166" w:type="dxa"/>
            <w:gridSpan w:val="2"/>
          </w:tcPr>
          <w:p w14:paraId="4B0ABAD5">
            <w:pPr>
              <w:rPr>
                <w:sz w:val="24"/>
                <w:szCs w:val="24"/>
              </w:rPr>
            </w:pPr>
            <w:r>
              <w:rPr>
                <w:rFonts w:hint="eastAsia"/>
                <w:sz w:val="24"/>
                <w:szCs w:val="24"/>
              </w:rPr>
              <w:t>监理/业主（如有）：</w:t>
            </w:r>
          </w:p>
        </w:tc>
      </w:tr>
    </w:tbl>
    <w:p w14:paraId="47B27014"/>
    <w:sectPr>
      <w:footerReference r:id="rId5" w:type="first"/>
      <w:footerReference r:id="rId4" w:type="default"/>
      <w:pgSz w:w="11906" w:h="16838"/>
      <w:pgMar w:top="1440" w:right="1146" w:bottom="1440" w:left="1480"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方正小标宋_GBK">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PMingLiU">
    <w:panose1 w:val="02020500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3382A">
    <w:pPr>
      <w:pStyle w:val="7"/>
      <w:jc w:val="center"/>
    </w:pPr>
    <w:r>
      <w:fldChar w:fldCharType="begin"/>
    </w:r>
    <w:r>
      <w:instrText xml:space="preserve"> PAGE   \* MERGEFORMAT </w:instrText>
    </w:r>
    <w:r>
      <w:fldChar w:fldCharType="separate"/>
    </w:r>
    <w:r>
      <w:rPr>
        <w:lang w:val="zh-CN"/>
      </w:rPr>
      <w:t>1</w:t>
    </w:r>
    <w:r>
      <w:fldChar w:fldCharType="end"/>
    </w:r>
  </w:p>
  <w:p w14:paraId="00DDC912">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5D0FE4">
    <w:pPr>
      <w:pStyle w:val="7"/>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0E06CD">
                          <w:pPr>
                            <w:pStyle w:val="7"/>
                            <w:jc w:val="center"/>
                          </w:pPr>
                          <w:r>
                            <w:fldChar w:fldCharType="begin"/>
                          </w:r>
                          <w:r>
                            <w:instrText xml:space="preserve"> PAGE   \* MERGEFORMAT </w:instrText>
                          </w:r>
                          <w:r>
                            <w:fldChar w:fldCharType="separate"/>
                          </w:r>
                          <w:r>
                            <w:rPr>
                              <w:lang w:val="zh-CN"/>
                            </w:rPr>
                            <w:t>6</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710E06CD">
                    <w:pPr>
                      <w:pStyle w:val="7"/>
                      <w:jc w:val="center"/>
                    </w:pPr>
                    <w:r>
                      <w:fldChar w:fldCharType="begin"/>
                    </w:r>
                    <w:r>
                      <w:instrText xml:space="preserve"> PAGE   \* MERGEFORMAT </w:instrText>
                    </w:r>
                    <w:r>
                      <w:fldChar w:fldCharType="separate"/>
                    </w:r>
                    <w:r>
                      <w:rPr>
                        <w:lang w:val="zh-CN"/>
                      </w:rPr>
                      <w:t>6</w:t>
                    </w:r>
                    <w:r>
                      <w:fldChar w:fldCharType="end"/>
                    </w:r>
                  </w:p>
                </w:txbxContent>
              </v:textbox>
            </v:shape>
          </w:pict>
        </mc:Fallback>
      </mc:AlternateContent>
    </w:r>
  </w:p>
  <w:p w14:paraId="40AE4E46">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78039">
    <w:pPr>
      <w:pStyle w:val="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E5B638B">
                          <w:pPr>
                            <w:pStyle w:val="7"/>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P2/IisEBAACPAwAADgAAAAAAAAABACAAAAAeAQAAZHJzL2Uyb0RvYy54bWxQSwUG&#10;AAAAAAYABgBZAQAAUQUAAAAA&#10;">
              <v:fill on="f" focussize="0,0"/>
              <v:stroke on="f"/>
              <v:imagedata o:title=""/>
              <o:lock v:ext="edit" aspectratio="f"/>
              <v:textbox inset="0mm,0mm,0mm,0mm" style="mso-fit-shape-to-text:t;">
                <w:txbxContent>
                  <w:p w14:paraId="6E5B638B">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C"/>
    <w:multiLevelType w:val="multilevel"/>
    <w:tmpl w:val="0000001C"/>
    <w:lvl w:ilvl="0" w:tentative="0">
      <w:start w:val="1"/>
      <w:numFmt w:val="none"/>
      <w:pStyle w:val="2"/>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150A5613"/>
    <w:multiLevelType w:val="multilevel"/>
    <w:tmpl w:val="150A5613"/>
    <w:lvl w:ilvl="0" w:tentative="0">
      <w:start w:val="1"/>
      <w:numFmt w:val="decimal"/>
      <w:lvlText w:val="%1)"/>
      <w:lvlJc w:val="left"/>
      <w:pPr>
        <w:ind w:left="987" w:hanging="420"/>
      </w:pPr>
    </w:lvl>
    <w:lvl w:ilvl="1" w:tentative="0">
      <w:start w:val="1"/>
      <w:numFmt w:val="lowerLetter"/>
      <w:lvlText w:val="%2)"/>
      <w:lvlJc w:val="left"/>
      <w:pPr>
        <w:ind w:left="1407" w:hanging="420"/>
      </w:p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2">
    <w:nsid w:val="73AA0C1F"/>
    <w:multiLevelType w:val="multilevel"/>
    <w:tmpl w:val="73AA0C1F"/>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936"/>
        </w:tabs>
        <w:ind w:left="936" w:hanging="576"/>
      </w:pPr>
    </w:lvl>
    <w:lvl w:ilvl="2" w:tentative="0">
      <w:start w:val="1"/>
      <w:numFmt w:val="decimal"/>
      <w:pStyle w:val="4"/>
      <w:lvlText w:val="%1.%2.%3"/>
      <w:lvlJc w:val="left"/>
      <w:pPr>
        <w:tabs>
          <w:tab w:val="left" w:pos="1004"/>
        </w:tabs>
        <w:ind w:left="1004" w:hanging="720"/>
      </w:pPr>
      <w:rPr>
        <w:b w:val="0"/>
      </w:rPr>
    </w:lvl>
    <w:lvl w:ilvl="3" w:tentative="0">
      <w:start w:val="1"/>
      <w:numFmt w:val="decimal"/>
      <w:lvlText w:val="%1.%2.%3.%4"/>
      <w:lvlJc w:val="left"/>
      <w:pPr>
        <w:tabs>
          <w:tab w:val="left" w:pos="1006"/>
        </w:tabs>
        <w:ind w:left="1006" w:hanging="864"/>
      </w:pPr>
      <w:rPr>
        <w:rFonts w:hint="default" w:ascii="Times New Roman" w:hAnsi="Times New Roman" w:cs="Times New Roman"/>
      </w:r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g4Mjk3MTM4ZmY0ODc1NTBhMTcyNTA1YzJkZThiNjMifQ=="/>
  </w:docVars>
  <w:rsids>
    <w:rsidRoot w:val="49673346"/>
    <w:rsid w:val="001E6813"/>
    <w:rsid w:val="00202B32"/>
    <w:rsid w:val="00563DA8"/>
    <w:rsid w:val="007769A9"/>
    <w:rsid w:val="007F5A5D"/>
    <w:rsid w:val="00AE3D43"/>
    <w:rsid w:val="00CC5E1B"/>
    <w:rsid w:val="00D75852"/>
    <w:rsid w:val="00E17DA1"/>
    <w:rsid w:val="00F7003A"/>
    <w:rsid w:val="00FC0CF2"/>
    <w:rsid w:val="025F0B06"/>
    <w:rsid w:val="048C5040"/>
    <w:rsid w:val="048E122E"/>
    <w:rsid w:val="05836E85"/>
    <w:rsid w:val="07EA02D9"/>
    <w:rsid w:val="0B306872"/>
    <w:rsid w:val="0D4F5B0B"/>
    <w:rsid w:val="0F1A0E07"/>
    <w:rsid w:val="10497925"/>
    <w:rsid w:val="155E2E9F"/>
    <w:rsid w:val="15AB1248"/>
    <w:rsid w:val="1611781F"/>
    <w:rsid w:val="18B44480"/>
    <w:rsid w:val="1B146275"/>
    <w:rsid w:val="1D792624"/>
    <w:rsid w:val="1E6F14F2"/>
    <w:rsid w:val="1E962B0A"/>
    <w:rsid w:val="1EAC4240"/>
    <w:rsid w:val="1FE81CE3"/>
    <w:rsid w:val="20D91B6B"/>
    <w:rsid w:val="215A55ED"/>
    <w:rsid w:val="233B20CA"/>
    <w:rsid w:val="236218A8"/>
    <w:rsid w:val="257A222A"/>
    <w:rsid w:val="25C12DBA"/>
    <w:rsid w:val="27EC2A73"/>
    <w:rsid w:val="2B6C373D"/>
    <w:rsid w:val="2BE42D59"/>
    <w:rsid w:val="2CAA35E8"/>
    <w:rsid w:val="2EA95B2B"/>
    <w:rsid w:val="2EB129AF"/>
    <w:rsid w:val="2EF03E21"/>
    <w:rsid w:val="2F1403AD"/>
    <w:rsid w:val="2FA72C95"/>
    <w:rsid w:val="311A3CC6"/>
    <w:rsid w:val="31917CE0"/>
    <w:rsid w:val="319F4308"/>
    <w:rsid w:val="32C87D5D"/>
    <w:rsid w:val="331D53DB"/>
    <w:rsid w:val="335B2CF6"/>
    <w:rsid w:val="362E094E"/>
    <w:rsid w:val="36C56482"/>
    <w:rsid w:val="383D319D"/>
    <w:rsid w:val="39BF365D"/>
    <w:rsid w:val="3B447872"/>
    <w:rsid w:val="3C552056"/>
    <w:rsid w:val="3DD5527F"/>
    <w:rsid w:val="41D73FD3"/>
    <w:rsid w:val="43597BB1"/>
    <w:rsid w:val="4365559B"/>
    <w:rsid w:val="45F4643C"/>
    <w:rsid w:val="485B637D"/>
    <w:rsid w:val="49233333"/>
    <w:rsid w:val="49673346"/>
    <w:rsid w:val="4A0A6FCF"/>
    <w:rsid w:val="4C451738"/>
    <w:rsid w:val="4E2A3343"/>
    <w:rsid w:val="4F61663F"/>
    <w:rsid w:val="50EE4D17"/>
    <w:rsid w:val="571108B1"/>
    <w:rsid w:val="5BB43207"/>
    <w:rsid w:val="5BD731BA"/>
    <w:rsid w:val="5BDE677F"/>
    <w:rsid w:val="5D226E26"/>
    <w:rsid w:val="5F6A667B"/>
    <w:rsid w:val="61815057"/>
    <w:rsid w:val="645D6968"/>
    <w:rsid w:val="6C773AC4"/>
    <w:rsid w:val="6EC41959"/>
    <w:rsid w:val="70244CDE"/>
    <w:rsid w:val="736555C0"/>
    <w:rsid w:val="75396FB7"/>
    <w:rsid w:val="78FC0F91"/>
    <w:rsid w:val="7B931C78"/>
    <w:rsid w:val="7D0409DA"/>
    <w:rsid w:val="7D197B43"/>
    <w:rsid w:val="7D4D5E56"/>
    <w:rsid w:val="7F2442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1"/>
      <w:lang w:val="en-US" w:eastAsia="zh-CN" w:bidi="ar-SA"/>
    </w:rPr>
  </w:style>
  <w:style w:type="paragraph" w:styleId="2">
    <w:name w:val="heading 1"/>
    <w:basedOn w:val="1"/>
    <w:next w:val="1"/>
    <w:qFormat/>
    <w:uiPriority w:val="0"/>
    <w:pPr>
      <w:keepNext/>
      <w:keepLines/>
      <w:numPr>
        <w:ilvl w:val="0"/>
        <w:numId w:val="1"/>
      </w:numPr>
      <w:topLinePunct/>
      <w:spacing w:line="600" w:lineRule="exact"/>
      <w:jc w:val="left"/>
      <w:textAlignment w:val="baseline"/>
      <w:outlineLvl w:val="0"/>
    </w:pPr>
    <w:rPr>
      <w:rFonts w:eastAsia="黑体"/>
      <w:kern w:val="44"/>
      <w:sz w:val="44"/>
    </w:rPr>
  </w:style>
  <w:style w:type="paragraph" w:styleId="3">
    <w:name w:val="heading 2"/>
    <w:basedOn w:val="1"/>
    <w:next w:val="1"/>
    <w:qFormat/>
    <w:uiPriority w:val="99"/>
    <w:pPr>
      <w:keepNext/>
      <w:keepLines/>
      <w:spacing w:before="260" w:after="260" w:line="416" w:lineRule="auto"/>
      <w:outlineLvl w:val="1"/>
    </w:pPr>
    <w:rPr>
      <w:rFonts w:ascii="Cambria" w:hAnsi="Cambria"/>
      <w:b/>
      <w:bCs/>
      <w:kern w:val="0"/>
      <w:szCs w:val="32"/>
    </w:rPr>
  </w:style>
  <w:style w:type="paragraph" w:styleId="4">
    <w:name w:val="heading 3"/>
    <w:basedOn w:val="1"/>
    <w:next w:val="1"/>
    <w:qFormat/>
    <w:uiPriority w:val="0"/>
    <w:pPr>
      <w:numPr>
        <w:ilvl w:val="2"/>
        <w:numId w:val="2"/>
      </w:numPr>
      <w:spacing w:before="120" w:line="360" w:lineRule="auto"/>
      <w:outlineLvl w:val="2"/>
    </w:pPr>
    <w:rPr>
      <w:bCs/>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5">
    <w:name w:val="Body Text"/>
    <w:basedOn w:val="1"/>
    <w:semiHidden/>
    <w:qFormat/>
    <w:uiPriority w:val="0"/>
    <w:rPr>
      <w:rFonts w:ascii="宋体" w:hAnsi="宋体" w:eastAsia="宋体" w:cs="宋体"/>
      <w:sz w:val="24"/>
      <w:szCs w:val="24"/>
      <w:lang w:eastAsia="en-US"/>
    </w:rPr>
  </w:style>
  <w:style w:type="paragraph" w:styleId="6">
    <w:name w:val="Body Text Indent 2"/>
    <w:basedOn w:val="1"/>
    <w:link w:val="16"/>
    <w:qFormat/>
    <w:uiPriority w:val="0"/>
    <w:pPr>
      <w:spacing w:after="120" w:line="480" w:lineRule="auto"/>
      <w:ind w:left="420" w:leftChars="200"/>
    </w:pPr>
  </w:style>
  <w:style w:type="paragraph" w:styleId="7">
    <w:name w:val="footer"/>
    <w:basedOn w:val="1"/>
    <w:qFormat/>
    <w:uiPriority w:val="99"/>
    <w:pPr>
      <w:tabs>
        <w:tab w:val="center" w:pos="4153"/>
        <w:tab w:val="right" w:pos="8306"/>
      </w:tabs>
      <w:snapToGrid w:val="0"/>
      <w:jc w:val="left"/>
    </w:pPr>
    <w:rPr>
      <w:kern w:val="0"/>
      <w:sz w:val="18"/>
      <w:szCs w:val="18"/>
    </w:rPr>
  </w:style>
  <w:style w:type="paragraph" w:styleId="8">
    <w:name w:val="toc 1"/>
    <w:basedOn w:val="1"/>
    <w:next w:val="1"/>
    <w:qFormat/>
    <w:uiPriority w:val="39"/>
    <w:pPr>
      <w:tabs>
        <w:tab w:val="right" w:leader="dot" w:pos="8280"/>
      </w:tabs>
      <w:spacing w:line="360" w:lineRule="auto"/>
      <w:ind w:left="-2" w:leftChars="-1"/>
    </w:pPr>
    <w:rPr>
      <w:szCs w:val="20"/>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font41"/>
    <w:basedOn w:val="11"/>
    <w:qFormat/>
    <w:uiPriority w:val="0"/>
    <w:rPr>
      <w:rFonts w:hint="eastAsia" w:ascii="宋体" w:hAnsi="宋体" w:eastAsia="宋体" w:cs="宋体"/>
      <w:color w:val="FF0000"/>
      <w:sz w:val="22"/>
      <w:szCs w:val="22"/>
      <w:u w:val="none"/>
    </w:rPr>
  </w:style>
  <w:style w:type="character" w:customStyle="1" w:styleId="13">
    <w:name w:val="font01"/>
    <w:basedOn w:val="11"/>
    <w:qFormat/>
    <w:uiPriority w:val="0"/>
    <w:rPr>
      <w:rFonts w:hint="eastAsia" w:ascii="宋体" w:hAnsi="宋体" w:eastAsia="宋体" w:cs="宋体"/>
      <w:color w:val="000000"/>
      <w:sz w:val="22"/>
      <w:szCs w:val="22"/>
      <w:u w:val="none"/>
    </w:rPr>
  </w:style>
  <w:style w:type="table" w:customStyle="1" w:styleId="14">
    <w:name w:val="Table Normal"/>
    <w:semiHidden/>
    <w:unhideWhenUsed/>
    <w:qFormat/>
    <w:uiPriority w:val="0"/>
    <w:tblPr>
      <w:tblCellMar>
        <w:top w:w="0" w:type="dxa"/>
        <w:left w:w="0" w:type="dxa"/>
        <w:bottom w:w="0" w:type="dxa"/>
        <w:right w:w="0" w:type="dxa"/>
      </w:tblCellMar>
    </w:tblPr>
  </w:style>
  <w:style w:type="paragraph" w:styleId="15">
    <w:name w:val="List Paragraph"/>
    <w:basedOn w:val="1"/>
    <w:qFormat/>
    <w:uiPriority w:val="34"/>
    <w:pPr>
      <w:ind w:firstLine="420" w:firstLineChars="200"/>
    </w:pPr>
    <w:rPr>
      <w:rFonts w:asciiTheme="minorHAnsi" w:hAnsiTheme="minorHAnsi" w:eastAsiaTheme="minorEastAsia" w:cstheme="minorBidi"/>
      <w:sz w:val="21"/>
      <w:szCs w:val="22"/>
    </w:rPr>
  </w:style>
  <w:style w:type="character" w:customStyle="1" w:styleId="16">
    <w:name w:val="正文文本缩进 2 字符"/>
    <w:basedOn w:val="11"/>
    <w:link w:val="6"/>
    <w:qFormat/>
    <w:uiPriority w:val="0"/>
    <w:rPr>
      <w:rFonts w:eastAsia="仿宋_GB2312"/>
      <w:kern w:val="2"/>
      <w:sz w:val="32"/>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4357</Words>
  <Characters>4637</Characters>
  <Lines>37</Lines>
  <Paragraphs>10</Paragraphs>
  <TotalTime>11</TotalTime>
  <ScaleCrop>false</ScaleCrop>
  <LinksUpToDate>false</LinksUpToDate>
  <CharactersWithSpaces>4692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2026-05-25T03:46:00Z</dcterms:created>
  <dc:creator>wy</dc:creator>
  <cp:lastModifiedBy>HH</cp:lastModifiedBy>
  <cp:lastPrinted>2025-04-22T08:15:00Z</cp:lastPrinted>
  <dcterms:modified xsi:type="dcterms:W3CDTF">2026-05-25T06:17:50Z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257E17566F2D486785DB265E2F2B7E3C_13</vt:lpwstr>
  </property>
  <property fmtid="{D5CDD505-2E9C-101B-9397-08002B2CF9AE}" pid="4" name="KSOTemplateDocerSaveRecord">
    <vt:lpwstr>eyJoZGlkIjoiMmY4YzZkNmUzNDU4YzA5OGE5M2RmYTA0ZjEyMDA3MTIiLCJ1c2VySWQiOiI1MTQ0Nzc1MzMifQ==</vt:lpwstr>
  </property>
</Properties>
</file>