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附件A-项目信息清单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标的名称：肇庆供电局保障性租赁住房(宿舍楼)项目施工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标</w:t>
      </w: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段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名称：肇庆供电局保障性租赁住房(宿舍楼)项目施工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项目信息表</w:t>
      </w:r>
    </w:p>
    <w:tbl>
      <w:tblPr>
        <w:tblStyle w:val="15"/>
        <w:tblW w:w="47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2350"/>
        <w:gridCol w:w="4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2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46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条款名称</w:t>
            </w:r>
          </w:p>
        </w:tc>
        <w:tc>
          <w:tcPr>
            <w:tcW w:w="2829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肇庆供电局保障性租赁住房(宿舍楼)项目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62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46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2829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〕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153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2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46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项目核准备案文号</w:t>
            </w:r>
          </w:p>
        </w:tc>
        <w:tc>
          <w:tcPr>
            <w:tcW w:w="2829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2409-441202-04-01-306686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2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46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资金落实（投资计划）</w:t>
            </w:r>
          </w:p>
        </w:tc>
        <w:tc>
          <w:tcPr>
            <w:tcW w:w="2829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广电计财〔2024〕59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62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46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2829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广电建〔2025〕232号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62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546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初设批复总投资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282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5027.6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2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546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施工图设计批复文号</w:t>
            </w:r>
          </w:p>
        </w:tc>
        <w:tc>
          <w:tcPr>
            <w:tcW w:w="2829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广电建〔2026〕48号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62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546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招标类型</w:t>
            </w:r>
          </w:p>
        </w:tc>
        <w:tc>
          <w:tcPr>
            <w:tcW w:w="2829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施设招标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62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546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2829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广东电网有限责任公司肇庆供电局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62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546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2829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广东省肇庆市端州区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  <w:jc w:val="center"/>
        </w:trPr>
        <w:tc>
          <w:tcPr>
            <w:tcW w:w="62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546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工        期</w:t>
            </w:r>
          </w:p>
        </w:tc>
        <w:tc>
          <w:tcPr>
            <w:tcW w:w="2829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计划工期：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547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日历天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计划开工日期：202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计划竣工日期：202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2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546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项目可研单位</w:t>
            </w:r>
          </w:p>
        </w:tc>
        <w:tc>
          <w:tcPr>
            <w:tcW w:w="282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中城恒业设计集团有限公司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2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546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项目勘察设计单位</w:t>
            </w:r>
          </w:p>
        </w:tc>
        <w:tc>
          <w:tcPr>
            <w:tcW w:w="282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肇庆市城市规划设计院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62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1546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282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sectPr>
          <w:pgSz w:w="11906" w:h="16838"/>
          <w:pgMar w:top="1474" w:right="1984" w:bottom="1587" w:left="2098" w:header="851" w:footer="992" w:gutter="0"/>
          <w:cols w:space="425" w:num="1"/>
          <w:rtlGutter w:val="0"/>
          <w:docGrid w:type="lines" w:linePitch="312" w:charSpace="0"/>
        </w:sectPr>
      </w:pPr>
    </w:p>
    <w:bookmarkEnd w:id="0"/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（一）项目概况：</w:t>
      </w:r>
      <w:bookmarkStart w:id="1" w:name="_Toc4755"/>
      <w:bookmarkStart w:id="2" w:name="_Toc13498"/>
      <w:bookmarkStart w:id="3" w:name="_Toc28718"/>
    </w:p>
    <w:bookmarkEnd w:id="1"/>
    <w:bookmarkEnd w:id="2"/>
    <w:bookmarkEnd w:id="3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none"/>
          <w:lang w:val="en-US" w:eastAsia="zh-CN"/>
        </w:rPr>
        <w:t>肇庆供电局保障性租赁住房(宿舍楼)项目：项目拟建地址位于广东省肇庆市端州区工农北路 47号，新建保障性用房 1 栋，地块总面积 2627 平方米，总建筑面积 7987.09平方米，其中地上 8 层，建筑面积 6555.17 平方米，建筑规划高度为28.30 米，地下 1 层，建筑面积 1431.92 平方米，建筑采用钢筋混凝土框架结构，绿色建筑设计等级为一级。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u w:val="single"/>
        </w:rPr>
        <w:t>注：具体建设规模以施工图纸为准。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（二）采购范围：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施工图纸范围内大型土石方工程、基坑支护工程、桩基础工程、地下室基础工程、地下室结构工程、地下室内装饰工程、地上结构工程、地上室内装修工程、地上外立面装修工程、电气工程、室内给排水工程、通风、空调工程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消防工程、智能化工程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抗震支架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电梯工程、人防门工程、人防水暖电、道路、场地工程（含室外停车场）、围墙工程（含大门）、园林绿化工程、室外给排水工程、室外消防工程、室外电气工程、视频监控及安全警卫系统工程、VI标识系统工程、成品岗亭（门卫室）、拆除原旧建筑及商铺、通信线路旧迁改、给排水系统接入工程、供配电工程（配电房设备及线路）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、白蚁防治工程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等。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textAlignment w:val="auto"/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具体内容以图纸及工程量清单为准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</w:rPr>
        <w:t>承包方式：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</w:rPr>
        <w:t>包工包料、包税金、包辅材、包机械、包材料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设备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</w:rPr>
        <w:t>损耗、包工期、包质量、包安全、包文明施工、包场内运输，包工程验收质量达到“合格”标准、包安全保护用品，包社会医疗、养老、工伤保险和劳保福利、包物价上涨等方式承包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注：建设单位提供的设备、材料以合同附件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甲供设备材料明细表为准。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（四）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暂估价：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暂估价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705000.00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元，其中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溶洞处理工程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按暂估价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20000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0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.00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元计算，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机械双层停车位工程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按暂估价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75000.00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元计算，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VI标识系统工程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按暂估价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0000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.00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元计算，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通信线路迁改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工程按暂估价1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0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0000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.00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元计算，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给排水系统接入工程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按暂估价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00000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.00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 xml:space="preserve">元计算。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（五）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无甲供。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br w:type="page"/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sectPr>
          <w:pgSz w:w="11906" w:h="16838"/>
          <w:pgMar w:top="2098" w:right="1474" w:bottom="1984" w:left="1587" w:header="851" w:footer="992" w:gutter="0"/>
          <w:cols w:space="425" w:num="1"/>
          <w:rtlGutter w:val="0"/>
          <w:docGrid w:type="lines" w:linePitch="312" w:charSpace="0"/>
        </w:sect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（</w:t>
      </w: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）报价表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rPr>
          <w:rFonts w:hint="eastAsia" w:ascii="宋体" w:hAnsi="宋体" w:eastAsia="宋体" w:cs="宋体"/>
          <w:i w:val="0"/>
          <w:color w:val="auto"/>
          <w:sz w:val="21"/>
          <w:szCs w:val="21"/>
          <w:highlight w:val="none"/>
          <w:u w:val="none"/>
        </w:rPr>
      </w:pPr>
    </w:p>
    <w:tbl>
      <w:tblPr>
        <w:tblStyle w:val="14"/>
        <w:tblW w:w="4993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4"/>
        <w:gridCol w:w="1529"/>
        <w:gridCol w:w="1972"/>
        <w:gridCol w:w="1801"/>
        <w:gridCol w:w="1277"/>
        <w:gridCol w:w="1233"/>
        <w:gridCol w:w="1324"/>
        <w:gridCol w:w="1142"/>
        <w:gridCol w:w="1098"/>
        <w:gridCol w:w="16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031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　号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工程或费用名称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最高投标限价（元）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其中安全生产措施费（元）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其中暂估价（元）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投标费率（%）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投标报价（元）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其中安全生产措施费（元）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其中暂估价（元）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 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一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肇庆供电局保障性租赁住房(宿舍楼)项目施工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38409114.32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1183204.29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705000.00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after="0"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30890868.77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地下建筑结构工程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8968168.26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12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1.1.1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大型土石方工程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392405.05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1.1.2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基坑支护工程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4042310.88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1.1.3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桩基础工程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979907.33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1.1.4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地下室基础工程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1002401.15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1.1.5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地下室结构工程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2006017.49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1.1.6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地下室内装饰工程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545126.36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地上建筑结构工程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13401701.7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1.2.1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地上结构工程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6631417.08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1.2.2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地上室内装修工程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5669019.79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1.2.3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地上外立面装修工程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1101264.83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安装工程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5490483.03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1.3.1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电气工程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1709723.55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1.3.2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室内给排水工程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1038165.64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1.3.3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通风、空调工程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543077.5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1.3.4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消防工程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1006122.36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1.3.5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智能化工程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622955.52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1.3.6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抗震支架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35701.68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1.3.7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电梯工程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534736.78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人防工程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351080.56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1.4.1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人防门工程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191180.83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1.4.2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人防水暖电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159899.73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室外工程（红线以内）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1240093.98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1.5.1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道路、场地工程（含室外停车场）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338846.48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1.5.2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围墙工程（含大门）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248354.37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1.5.3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园林绿化工程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115987.87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1.5.4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室外给排水工程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301640.51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1.5.5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室外消防工程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57066.59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1.5.6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室外电气工程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101353.15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1.5.7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视频监控及安全警卫系统工程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76845.01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配套辅助工程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16000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1.6.1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成品岗亭（门卫室）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16000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场地费用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524719.17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1.7.1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拆除原旧建筑及商铺费用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524719.17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红线外市政管网配套接入费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898622.07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1.8.1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供配电工程（配电房设备及线路）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898622.07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措施项目费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3523177.99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1183204.29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安全生产措施费为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  <w:t>不可竞争费用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其他项目费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881883.81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705000.00</w:t>
            </w: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其中：专业工程暂估价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705000.00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705000.00</w:t>
            </w: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  <w:t>不可竞争费用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3.1.1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溶洞处理工程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200000.00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200000.00</w:t>
            </w: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  <w:t>不可竞争费用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3.1.2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机械双层停车位工程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75000.00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75000.00</w:t>
            </w: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  <w:t>不可竞争费用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3.1.3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VI标识系统工程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30000.00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30000.00</w:t>
            </w: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  <w:t>不可竞争费用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3.1.4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通信线路迁改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100000.00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100000.00</w:t>
            </w: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  <w:t>不可竞争费用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3.1.5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给排水系统接入工程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300000.00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300000.00</w:t>
            </w: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  <w:t>不可竞争费用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其中：白蚁防治费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23961.27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其中：消纳费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152922.54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税前工程造价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35295930.57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增值税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3113183.75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8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合计（小写）：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38409114.32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1183204.29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705000.00</w:t>
            </w:r>
          </w:p>
        </w:tc>
        <w:tc>
          <w:tcPr>
            <w:tcW w:w="44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0"/>
              <w:spacing w:before="50" w:line="226" w:lineRule="auto"/>
              <w:ind w:left="21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szCs w:val="24"/>
              </w:rPr>
              <w:t>报价要求：</w:t>
            </w:r>
          </w:p>
          <w:p>
            <w:pPr>
              <w:pStyle w:val="20"/>
              <w:spacing w:before="26" w:line="243" w:lineRule="auto"/>
              <w:ind w:left="22" w:right="15" w:firstLine="1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4"/>
                <w:szCs w:val="24"/>
              </w:rPr>
              <w:t>（1）金额报价，同时填报投标费率。投标费率＝</w:t>
            </w:r>
            <w:r>
              <w:rPr>
                <w:rFonts w:hint="eastAsia" w:ascii="宋体" w:hAnsi="宋体" w:eastAsia="宋体" w:cs="宋体"/>
                <w:color w:val="auto"/>
                <w:spacing w:val="-5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4"/>
                <w:szCs w:val="24"/>
              </w:rPr>
              <w:t>[(投标报价-安全生产措施费-暂估价）/（最高投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</w:rPr>
              <w:t>标限价-安</w:t>
            </w:r>
            <w:r>
              <w:rPr>
                <w:rFonts w:hint="eastAsia" w:ascii="宋体" w:hAnsi="宋体" w:eastAsia="宋体" w:cs="宋体"/>
                <w:color w:val="auto"/>
                <w:spacing w:val="9"/>
                <w:sz w:val="24"/>
                <w:szCs w:val="24"/>
              </w:rPr>
              <w:t>全生产措施费-暂估价)]×</w:t>
            </w:r>
            <w:r>
              <w:rPr>
                <w:rFonts w:hint="eastAsia" w:ascii="宋体" w:hAnsi="宋体" w:eastAsia="宋体" w:cs="宋体"/>
                <w:color w:val="auto"/>
                <w:spacing w:val="-7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9"/>
                <w:sz w:val="24"/>
                <w:szCs w:val="24"/>
              </w:rPr>
              <w:t>100%（保留两位小数）。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4"/>
                <w:szCs w:val="24"/>
              </w:rPr>
              <w:t>当投标金额报价与投标费率计算结果不一致时，以投标金额报价为准，按公式修订投标费率。</w:t>
            </w:r>
          </w:p>
          <w:p>
            <w:pPr>
              <w:pStyle w:val="20"/>
              <w:spacing w:before="29" w:line="238" w:lineRule="auto"/>
              <w:ind w:left="37" w:right="15" w:hanging="4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9"/>
                <w:sz w:val="24"/>
                <w:szCs w:val="24"/>
              </w:rPr>
              <w:t>（2）投标人所报的金额≤最高投标限价的为有效报价，为避免恶意竞争，低于成本价报价，投标报价＜最高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4"/>
                <w:szCs w:val="24"/>
              </w:rPr>
              <w:t>限价的85%时应在投标文件中附成本分析报告。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spacing w:val="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4"/>
                <w:szCs w:val="24"/>
              </w:rPr>
              <w:t>（3）安全生产措施费、暂估价（如有）需按照公布的金额固定报价，不得自行变更，否则视为原则性不响应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4"/>
                <w:szCs w:val="24"/>
              </w:rPr>
              <w:t>招标文件要求，作否决投标处理。</w:t>
            </w:r>
          </w:p>
          <w:p>
            <w:pPr>
              <w:pStyle w:val="2"/>
              <w:rPr>
                <w:rFonts w:hint="eastAsia" w:ascii="宋体" w:hAnsi="宋体" w:cs="宋体"/>
                <w:color w:val="auto"/>
                <w:spacing w:val="9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kern w:val="2"/>
                <w:sz w:val="24"/>
                <w:szCs w:val="24"/>
                <w:lang w:val="en-US" w:eastAsia="zh-CN" w:bidi="ar-SA"/>
              </w:rPr>
              <w:t>（4）专业工程暂估价为已含税价格，在计算增值税</w:t>
            </w:r>
            <w:r>
              <w:rPr>
                <w:rFonts w:hint="eastAsia" w:ascii="宋体" w:hAnsi="宋体" w:cs="宋体"/>
                <w:color w:val="auto"/>
                <w:spacing w:val="9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eastAsia="宋体" w:cs="宋体"/>
                <w:color w:val="auto"/>
                <w:spacing w:val="9"/>
                <w:kern w:val="2"/>
                <w:sz w:val="24"/>
                <w:szCs w:val="24"/>
                <w:lang w:val="en-US" w:eastAsia="zh-CN" w:bidi="ar-SA"/>
              </w:rPr>
              <w:t>计算基</w:t>
            </w:r>
            <w:r>
              <w:rPr>
                <w:rFonts w:hint="eastAsia" w:ascii="宋体" w:hAnsi="宋体" w:cs="宋体"/>
                <w:color w:val="auto"/>
                <w:spacing w:val="9"/>
                <w:kern w:val="2"/>
                <w:sz w:val="24"/>
                <w:szCs w:val="24"/>
                <w:lang w:val="en-US" w:eastAsia="zh-CN" w:bidi="ar-SA"/>
              </w:rPr>
              <w:t>数</w:t>
            </w:r>
            <w:r>
              <w:rPr>
                <w:rFonts w:hint="eastAsia" w:ascii="宋体" w:hAnsi="宋体" w:eastAsia="宋体" w:cs="宋体"/>
                <w:color w:val="auto"/>
                <w:spacing w:val="9"/>
                <w:kern w:val="2"/>
                <w:sz w:val="24"/>
                <w:szCs w:val="24"/>
                <w:lang w:val="en-US" w:eastAsia="zh-CN" w:bidi="ar-SA"/>
              </w:rPr>
              <w:t>时不应包含专业工程暂估价金额</w:t>
            </w:r>
            <w:r>
              <w:rPr>
                <w:rFonts w:hint="eastAsia" w:ascii="宋体" w:hAnsi="宋体" w:cs="宋体"/>
                <w:color w:val="auto"/>
                <w:spacing w:val="9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rPr>
          <w:rFonts w:hint="eastAsia" w:ascii="宋体" w:hAnsi="宋体" w:eastAsia="宋体" w:cs="宋体"/>
          <w:i w:val="0"/>
          <w:color w:val="auto"/>
          <w:sz w:val="21"/>
          <w:szCs w:val="21"/>
          <w:highlight w:val="none"/>
          <w:u w:val="none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i w:val="0"/>
          <w:color w:val="auto"/>
          <w:sz w:val="21"/>
          <w:szCs w:val="21"/>
          <w:highlight w:val="none"/>
          <w:u w:val="none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i w:val="0"/>
          <w:color w:val="auto"/>
          <w:sz w:val="21"/>
          <w:szCs w:val="21"/>
          <w:highlight w:val="none"/>
          <w:u w:val="none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i w:val="0"/>
          <w:color w:val="auto"/>
          <w:sz w:val="21"/>
          <w:szCs w:val="21"/>
          <w:highlight w:val="none"/>
          <w:u w:val="none"/>
          <w:lang w:val="en-US" w:eastAsia="zh-CN"/>
        </w:rPr>
      </w:pPr>
      <w:bookmarkStart w:id="4" w:name="_GoBack"/>
      <w:bookmarkEnd w:id="4"/>
    </w:p>
    <w:sectPr>
      <w:pgSz w:w="16838" w:h="11906" w:orient="landscape"/>
      <w:pgMar w:top="2098" w:right="1474" w:bottom="1984" w:left="1587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0032C5E"/>
    <w:rsid w:val="00675492"/>
    <w:rsid w:val="00B87EA2"/>
    <w:rsid w:val="00C073B0"/>
    <w:rsid w:val="01000F1F"/>
    <w:rsid w:val="01046ED1"/>
    <w:rsid w:val="012104EA"/>
    <w:rsid w:val="01844D0B"/>
    <w:rsid w:val="0270337E"/>
    <w:rsid w:val="028C0F47"/>
    <w:rsid w:val="029C1F55"/>
    <w:rsid w:val="02B415D2"/>
    <w:rsid w:val="03243133"/>
    <w:rsid w:val="050E07AE"/>
    <w:rsid w:val="05B87515"/>
    <w:rsid w:val="06033F60"/>
    <w:rsid w:val="06770ACE"/>
    <w:rsid w:val="068D71D9"/>
    <w:rsid w:val="07326280"/>
    <w:rsid w:val="07D14A60"/>
    <w:rsid w:val="09D409AD"/>
    <w:rsid w:val="0BC07002"/>
    <w:rsid w:val="0CB91C03"/>
    <w:rsid w:val="0D0758F3"/>
    <w:rsid w:val="0D083DF0"/>
    <w:rsid w:val="0E370B89"/>
    <w:rsid w:val="0E562899"/>
    <w:rsid w:val="0E995783"/>
    <w:rsid w:val="0FF42C61"/>
    <w:rsid w:val="0FF57DBF"/>
    <w:rsid w:val="10430334"/>
    <w:rsid w:val="10966FCE"/>
    <w:rsid w:val="10A919C2"/>
    <w:rsid w:val="10C30F9C"/>
    <w:rsid w:val="11337646"/>
    <w:rsid w:val="11551D24"/>
    <w:rsid w:val="116419AD"/>
    <w:rsid w:val="11DF6CFE"/>
    <w:rsid w:val="11FC1228"/>
    <w:rsid w:val="120950C4"/>
    <w:rsid w:val="1221206F"/>
    <w:rsid w:val="12617BA5"/>
    <w:rsid w:val="13065220"/>
    <w:rsid w:val="1352362B"/>
    <w:rsid w:val="13C71878"/>
    <w:rsid w:val="142923F2"/>
    <w:rsid w:val="14440D4B"/>
    <w:rsid w:val="15056A61"/>
    <w:rsid w:val="15701FEA"/>
    <w:rsid w:val="16120F54"/>
    <w:rsid w:val="16FB4065"/>
    <w:rsid w:val="17241016"/>
    <w:rsid w:val="17311749"/>
    <w:rsid w:val="18E57496"/>
    <w:rsid w:val="19014CC5"/>
    <w:rsid w:val="193066EB"/>
    <w:rsid w:val="193844ED"/>
    <w:rsid w:val="196B23E3"/>
    <w:rsid w:val="199031ED"/>
    <w:rsid w:val="19C344D3"/>
    <w:rsid w:val="1A1409D8"/>
    <w:rsid w:val="1A2A3F4A"/>
    <w:rsid w:val="1A2F2F81"/>
    <w:rsid w:val="1A3776A7"/>
    <w:rsid w:val="1B1435D1"/>
    <w:rsid w:val="1B663F82"/>
    <w:rsid w:val="1BA9108A"/>
    <w:rsid w:val="1CC10410"/>
    <w:rsid w:val="1D615A5F"/>
    <w:rsid w:val="1DC10CA8"/>
    <w:rsid w:val="1EA379B5"/>
    <w:rsid w:val="1F712B71"/>
    <w:rsid w:val="1FBE1481"/>
    <w:rsid w:val="20957CD4"/>
    <w:rsid w:val="214E5B76"/>
    <w:rsid w:val="216F4D5B"/>
    <w:rsid w:val="21913218"/>
    <w:rsid w:val="22D01CE9"/>
    <w:rsid w:val="23EE0974"/>
    <w:rsid w:val="240A43F3"/>
    <w:rsid w:val="244C26BE"/>
    <w:rsid w:val="24E46BF4"/>
    <w:rsid w:val="24F737D8"/>
    <w:rsid w:val="25260286"/>
    <w:rsid w:val="26523E26"/>
    <w:rsid w:val="26F863F9"/>
    <w:rsid w:val="274170EE"/>
    <w:rsid w:val="2785030E"/>
    <w:rsid w:val="278F57AD"/>
    <w:rsid w:val="27E47C4B"/>
    <w:rsid w:val="28F46A2A"/>
    <w:rsid w:val="296555D1"/>
    <w:rsid w:val="2BED7EC0"/>
    <w:rsid w:val="2D8E3667"/>
    <w:rsid w:val="2DFE6AFA"/>
    <w:rsid w:val="2E9A5E18"/>
    <w:rsid w:val="2F362DFB"/>
    <w:rsid w:val="2FF65FF8"/>
    <w:rsid w:val="300D195C"/>
    <w:rsid w:val="3044134F"/>
    <w:rsid w:val="306C7E8C"/>
    <w:rsid w:val="308E6ECB"/>
    <w:rsid w:val="30BF37B5"/>
    <w:rsid w:val="31F44502"/>
    <w:rsid w:val="32E72810"/>
    <w:rsid w:val="33431B08"/>
    <w:rsid w:val="34574244"/>
    <w:rsid w:val="361736AD"/>
    <w:rsid w:val="36905D28"/>
    <w:rsid w:val="36D200CF"/>
    <w:rsid w:val="38382DC3"/>
    <w:rsid w:val="386C091E"/>
    <w:rsid w:val="389844B8"/>
    <w:rsid w:val="39A31C9F"/>
    <w:rsid w:val="3A49242D"/>
    <w:rsid w:val="3AAA73EE"/>
    <w:rsid w:val="3AF56BC2"/>
    <w:rsid w:val="3B2A0F67"/>
    <w:rsid w:val="3BCA27B8"/>
    <w:rsid w:val="3C1E17EA"/>
    <w:rsid w:val="3C4A35F1"/>
    <w:rsid w:val="3CC06C31"/>
    <w:rsid w:val="3D6C6E26"/>
    <w:rsid w:val="3F773980"/>
    <w:rsid w:val="3F9B7EF1"/>
    <w:rsid w:val="4047281E"/>
    <w:rsid w:val="406311E6"/>
    <w:rsid w:val="406C4BC1"/>
    <w:rsid w:val="415A7E63"/>
    <w:rsid w:val="42E701E3"/>
    <w:rsid w:val="431E77B5"/>
    <w:rsid w:val="434B6929"/>
    <w:rsid w:val="44D414C9"/>
    <w:rsid w:val="44F22C57"/>
    <w:rsid w:val="4510235C"/>
    <w:rsid w:val="45E177CC"/>
    <w:rsid w:val="460D1423"/>
    <w:rsid w:val="462D484D"/>
    <w:rsid w:val="46383F13"/>
    <w:rsid w:val="46472D5E"/>
    <w:rsid w:val="469B4709"/>
    <w:rsid w:val="46A85B41"/>
    <w:rsid w:val="47CB2C71"/>
    <w:rsid w:val="48EC6B0B"/>
    <w:rsid w:val="49332FB5"/>
    <w:rsid w:val="49C22F33"/>
    <w:rsid w:val="49C557A0"/>
    <w:rsid w:val="49F017C7"/>
    <w:rsid w:val="4B3A1BDA"/>
    <w:rsid w:val="4D0B2DF1"/>
    <w:rsid w:val="4D392B7F"/>
    <w:rsid w:val="4DB378BE"/>
    <w:rsid w:val="4DC759F3"/>
    <w:rsid w:val="4E040B17"/>
    <w:rsid w:val="4EA560D6"/>
    <w:rsid w:val="4F6A7BA3"/>
    <w:rsid w:val="4FE00704"/>
    <w:rsid w:val="50667F11"/>
    <w:rsid w:val="50993EB6"/>
    <w:rsid w:val="532E1471"/>
    <w:rsid w:val="538064E4"/>
    <w:rsid w:val="53A7670B"/>
    <w:rsid w:val="53C27A44"/>
    <w:rsid w:val="545B07F5"/>
    <w:rsid w:val="5466218C"/>
    <w:rsid w:val="546F308A"/>
    <w:rsid w:val="552E444C"/>
    <w:rsid w:val="55734D49"/>
    <w:rsid w:val="55C3156A"/>
    <w:rsid w:val="5614299F"/>
    <w:rsid w:val="56677483"/>
    <w:rsid w:val="57092F8E"/>
    <w:rsid w:val="58925F63"/>
    <w:rsid w:val="58993C22"/>
    <w:rsid w:val="599017B7"/>
    <w:rsid w:val="5A9164F8"/>
    <w:rsid w:val="5BF73AAD"/>
    <w:rsid w:val="5CB42BA8"/>
    <w:rsid w:val="5D893E85"/>
    <w:rsid w:val="5E685A72"/>
    <w:rsid w:val="5EF552A7"/>
    <w:rsid w:val="5F8E0C51"/>
    <w:rsid w:val="5FE707F3"/>
    <w:rsid w:val="5FE724D4"/>
    <w:rsid w:val="608606DE"/>
    <w:rsid w:val="610168C9"/>
    <w:rsid w:val="613C540F"/>
    <w:rsid w:val="623E51B7"/>
    <w:rsid w:val="64AC073A"/>
    <w:rsid w:val="64DE058B"/>
    <w:rsid w:val="651A69F2"/>
    <w:rsid w:val="65246AB6"/>
    <w:rsid w:val="65BE3A7A"/>
    <w:rsid w:val="66C35559"/>
    <w:rsid w:val="66D91A76"/>
    <w:rsid w:val="66EB74C7"/>
    <w:rsid w:val="68B337CC"/>
    <w:rsid w:val="69311D38"/>
    <w:rsid w:val="6A287B5E"/>
    <w:rsid w:val="6A2C45BE"/>
    <w:rsid w:val="6A6B37FA"/>
    <w:rsid w:val="6B303A1A"/>
    <w:rsid w:val="6CBA529D"/>
    <w:rsid w:val="6D897695"/>
    <w:rsid w:val="6DAA2FDF"/>
    <w:rsid w:val="6DB86FC0"/>
    <w:rsid w:val="6DEC46E8"/>
    <w:rsid w:val="6E121228"/>
    <w:rsid w:val="6E290AC9"/>
    <w:rsid w:val="6EA27F90"/>
    <w:rsid w:val="6F2444CE"/>
    <w:rsid w:val="6FEE7FB2"/>
    <w:rsid w:val="70457711"/>
    <w:rsid w:val="70873960"/>
    <w:rsid w:val="70B81233"/>
    <w:rsid w:val="70D1495F"/>
    <w:rsid w:val="71FE7D99"/>
    <w:rsid w:val="720C252B"/>
    <w:rsid w:val="7317045F"/>
    <w:rsid w:val="734050D8"/>
    <w:rsid w:val="73641402"/>
    <w:rsid w:val="74216491"/>
    <w:rsid w:val="74E73186"/>
    <w:rsid w:val="756A12C2"/>
    <w:rsid w:val="76015DEA"/>
    <w:rsid w:val="763B2CF0"/>
    <w:rsid w:val="764E470D"/>
    <w:rsid w:val="76850D49"/>
    <w:rsid w:val="779B4AAB"/>
    <w:rsid w:val="7842124A"/>
    <w:rsid w:val="79435213"/>
    <w:rsid w:val="796F764D"/>
    <w:rsid w:val="7A205476"/>
    <w:rsid w:val="7BC40A13"/>
    <w:rsid w:val="7C6A3EAA"/>
    <w:rsid w:val="7C766170"/>
    <w:rsid w:val="7D26550D"/>
    <w:rsid w:val="7D2D6A7C"/>
    <w:rsid w:val="7D8D303A"/>
    <w:rsid w:val="7DED4CF4"/>
    <w:rsid w:val="7E3420E0"/>
    <w:rsid w:val="7E405052"/>
    <w:rsid w:val="7E7974BE"/>
    <w:rsid w:val="7F9C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5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</w:style>
  <w:style w:type="paragraph" w:styleId="8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3">
    <w:name w:val="Body Text First Indent"/>
    <w:basedOn w:val="2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8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9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  <w:style w:type="paragraph" w:customStyle="1" w:styleId="20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1059</Words>
  <Characters>1210</Characters>
  <Lines>0</Lines>
  <Paragraphs>0</Paragraphs>
  <TotalTime>0</TotalTime>
  <ScaleCrop>false</ScaleCrop>
  <LinksUpToDate>false</LinksUpToDate>
  <CharactersWithSpaces>1232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B90BBC264D8A4D679F4C3A5818AC6CA3</cp:lastModifiedBy>
  <cp:lastPrinted>2022-02-11T02:00:00Z</cp:lastPrinted>
  <dcterms:modified xsi:type="dcterms:W3CDTF">2026-04-20T02:47:39Z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7C3CE12BB8954E25B60328968434832A</vt:lpwstr>
  </property>
  <property fmtid="{D5CDD505-2E9C-101B-9397-08002B2CF9AE}" pid="4" name="KSOTemplateDocerSaveRecord">
    <vt:lpwstr>eyJoZGlkIjoiMGU1NTY0NTI2ZDY5ZjNkOGZkNzBmM2ZhMWU2NWJmYTciLCJ1c2VySWQiOiI0MDIxNTQ0MjEifQ==</vt:lpwstr>
  </property>
</Properties>
</file>