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 w:after="156" w:afterLines="50" w:line="560" w:lineRule="atLeast"/>
        <w:jc w:val="center"/>
        <w:rPr>
          <w:rFonts w:hint="default" w:ascii="Times New Roman" w:hAnsi="Times New Roman" w:eastAsia="宋体" w:cs="Times New Roman"/>
          <w:b/>
          <w:color w:val="000000"/>
          <w:position w:val="16"/>
          <w:sz w:val="56"/>
          <w:szCs w:val="72"/>
        </w:rPr>
      </w:pPr>
    </w:p>
    <w:p>
      <w:pPr>
        <w:widowControl/>
        <w:spacing w:before="156" w:beforeLines="50" w:after="156" w:afterLines="50" w:line="560" w:lineRule="atLeast"/>
        <w:jc w:val="center"/>
        <w:rPr>
          <w:rFonts w:hint="default" w:ascii="Times New Roman" w:hAnsi="Times New Roman" w:eastAsia="宋体" w:cs="Times New Roman"/>
          <w:b/>
          <w:color w:val="000000"/>
          <w:position w:val="16"/>
          <w:sz w:val="56"/>
          <w:szCs w:val="72"/>
        </w:rPr>
      </w:pPr>
    </w:p>
    <w:p>
      <w:pPr>
        <w:widowControl/>
        <w:spacing w:before="156" w:beforeLines="50" w:after="156" w:afterLines="50" w:line="560" w:lineRule="atLeast"/>
        <w:jc w:val="center"/>
        <w:rPr>
          <w:rFonts w:hint="eastAsia" w:ascii="方正小标宋_GBK" w:hAnsi="方正小标宋_GBK" w:eastAsia="方正小标宋_GBK" w:cs="方正小标宋_GBK"/>
          <w:b w:val="0"/>
          <w:bCs/>
          <w:color w:val="000000"/>
          <w:position w:val="16"/>
          <w:sz w:val="52"/>
          <w:szCs w:val="5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color w:val="000000"/>
          <w:position w:val="16"/>
          <w:sz w:val="52"/>
          <w:szCs w:val="52"/>
          <w:lang w:val="en-US" w:eastAsia="zh-CN"/>
        </w:rPr>
        <w:t>海蓄公司2026年研学旅游基地创建及研学产品设计咨询服务项目</w:t>
      </w:r>
    </w:p>
    <w:p>
      <w:pPr>
        <w:widowControl/>
        <w:spacing w:before="156" w:beforeLines="50" w:after="156" w:afterLines="50" w:line="560" w:lineRule="atLeast"/>
        <w:jc w:val="center"/>
        <w:rPr>
          <w:rFonts w:hint="eastAsia" w:ascii="方正小标宋_GBK" w:hAnsi="方正小标宋_GBK" w:eastAsia="方正小标宋_GBK" w:cs="方正小标宋_GBK"/>
          <w:b w:val="0"/>
          <w:bCs/>
          <w:color w:val="000000"/>
          <w:position w:val="16"/>
          <w:sz w:val="52"/>
          <w:szCs w:val="5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color w:val="000000"/>
          <w:position w:val="16"/>
          <w:sz w:val="52"/>
          <w:szCs w:val="52"/>
          <w:lang w:val="en-US" w:eastAsia="zh-CN"/>
        </w:rPr>
        <w:t>技术规范书</w:t>
      </w:r>
    </w:p>
    <w:p>
      <w:pPr>
        <w:widowControl/>
        <w:spacing w:before="156" w:beforeLines="50" w:after="156" w:afterLines="50" w:line="560" w:lineRule="atLeast"/>
        <w:jc w:val="center"/>
        <w:rPr>
          <w:rFonts w:hint="default" w:ascii="Times New Roman" w:hAnsi="Times New Roman" w:eastAsia="宋体" w:cs="Times New Roman"/>
          <w:b/>
          <w:color w:val="000000"/>
          <w:position w:val="16"/>
          <w:sz w:val="56"/>
          <w:szCs w:val="72"/>
        </w:rPr>
      </w:pPr>
    </w:p>
    <w:p>
      <w:pPr>
        <w:ind w:firstLine="3614" w:firstLineChars="1000"/>
        <w:rPr>
          <w:rFonts w:hint="default" w:ascii="Times New Roman" w:hAnsi="Times New Roman" w:eastAsia="宋体" w:cs="Times New Roman"/>
          <w:b/>
          <w:color w:val="000000"/>
          <w:position w:val="16"/>
          <w:sz w:val="36"/>
          <w:szCs w:val="44"/>
        </w:rPr>
      </w:pPr>
    </w:p>
    <w:p>
      <w:pPr>
        <w:snapToGrid w:val="0"/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snapToGrid w:val="0"/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snapToGrid w:val="0"/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snapToGrid w:val="0"/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snapToGrid w:val="0"/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snapToGrid w:val="0"/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snapToGrid w:val="0"/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pStyle w:val="15"/>
        <w:keepLines w:val="0"/>
        <w:pageBreakBefore w:val="0"/>
        <w:tabs>
          <w:tab w:val="left" w:pos="284"/>
        </w:tabs>
        <w:topLinePunct w:val="0"/>
        <w:bidi w:val="0"/>
        <w:spacing w:before="0" w:beforeAutospacing="0" w:after="0" w:afterAutospacing="0" w:line="240" w:lineRule="auto"/>
        <w:ind w:left="0" w:leftChars="0" w:right="0" w:firstLine="0" w:firstLineChars="0"/>
        <w:jc w:val="center"/>
        <w:rPr>
          <w:rFonts w:hint="default" w:ascii="Times New Roman" w:hAnsi="Times New Roman" w:eastAsia="宋体" w:cs="Times New Roman"/>
          <w:b/>
          <w:bCs/>
          <w:color w:val="auto"/>
          <w:sz w:val="21"/>
          <w:szCs w:val="21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default" w:ascii="Times New Roman" w:hAnsi="Times New Roman" w:eastAsia="宋体" w:cs="Times New Roman"/>
          <w:b/>
          <w:color w:val="000000"/>
          <w:position w:val="16"/>
          <w:sz w:val="36"/>
        </w:rPr>
        <w:t>二〇</w:t>
      </w:r>
      <w:r>
        <w:rPr>
          <w:rFonts w:hint="default" w:ascii="Times New Roman" w:hAnsi="Times New Roman" w:eastAsia="宋体" w:cs="Times New Roman"/>
          <w:b/>
          <w:color w:val="000000"/>
          <w:position w:val="16"/>
          <w:sz w:val="36"/>
          <w:lang w:val="en-US" w:eastAsia="zh-CN"/>
        </w:rPr>
        <w:t>二</w:t>
      </w:r>
      <w:r>
        <w:rPr>
          <w:rFonts w:hint="eastAsia" w:ascii="Times New Roman" w:cs="Times New Roman"/>
          <w:b/>
          <w:color w:val="000000"/>
          <w:position w:val="16"/>
          <w:sz w:val="36"/>
          <w:lang w:val="en-US" w:eastAsia="zh-CN"/>
        </w:rPr>
        <w:t>六</w:t>
      </w:r>
      <w:r>
        <w:rPr>
          <w:rFonts w:hint="default" w:ascii="Times New Roman" w:hAnsi="Times New Roman" w:eastAsia="宋体" w:cs="Times New Roman"/>
          <w:b/>
          <w:color w:val="000000"/>
          <w:position w:val="16"/>
          <w:sz w:val="36"/>
        </w:rPr>
        <w:t>年</w:t>
      </w:r>
      <w:r>
        <w:rPr>
          <w:rFonts w:hint="eastAsia" w:ascii="Times New Roman" w:cs="Times New Roman"/>
          <w:b/>
          <w:color w:val="000000"/>
          <w:position w:val="16"/>
          <w:sz w:val="36"/>
          <w:lang w:val="en-US" w:eastAsia="zh-CN"/>
        </w:rPr>
        <w:t>五</w:t>
      </w:r>
      <w:r>
        <w:rPr>
          <w:rFonts w:hint="default" w:ascii="Times New Roman" w:hAnsi="Times New Roman" w:eastAsia="宋体" w:cs="Times New Roman"/>
          <w:b/>
          <w:color w:val="000000"/>
          <w:position w:val="16"/>
          <w:sz w:val="36"/>
        </w:rPr>
        <w:t>月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_GBK" w:hAnsi="方正小标宋_GBK" w:eastAsia="方正小标宋_GBK" w:cs="方正小标宋_GBK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方正小标宋_GBK" w:hAnsi="方正小标宋_GBK" w:eastAsia="方正小标宋_GBK" w:cs="方正小标宋_GBK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海蓄公司2026年</w:t>
      </w:r>
      <w:r>
        <w:rPr>
          <w:rFonts w:hint="eastAsia" w:ascii="方正小标宋_GBK" w:hAnsi="方正小标宋_GBK" w:eastAsia="方正小标宋_GBK" w:cs="方正小标宋_GBK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研学旅游</w:t>
      </w:r>
      <w:r>
        <w:rPr>
          <w:rFonts w:hint="default" w:ascii="方正小标宋_GBK" w:hAnsi="方正小标宋_GBK" w:eastAsia="方正小标宋_GBK" w:cs="方正小标宋_GBK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基地创建</w:t>
      </w:r>
      <w:r>
        <w:rPr>
          <w:rFonts w:hint="eastAsia" w:ascii="方正小标宋_GBK" w:hAnsi="方正小标宋_GBK" w:eastAsia="方正小标宋_GBK" w:cs="方正小标宋_GBK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及研学产品设计</w:t>
      </w:r>
      <w:r>
        <w:rPr>
          <w:rFonts w:hint="default" w:ascii="方正小标宋_GBK" w:hAnsi="方正小标宋_GBK" w:eastAsia="方正小标宋_GBK" w:cs="方正小标宋_GBK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咨询服务项目技术规范书</w:t>
      </w:r>
    </w:p>
    <w:p>
      <w:pPr>
        <w:jc w:val="left"/>
        <w:rPr>
          <w:rFonts w:hint="default" w:ascii="Times New Roman" w:hAnsi="Times New Roman" w:eastAsia="宋体" w:cs="Times New Roman"/>
          <w:b/>
          <w:sz w:val="28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rPr>
          <w:rFonts w:hint="default" w:ascii="Times New Roman" w:hAnsi="Times New Roman" w:eastAsia="宋体" w:cs="Times New Roman"/>
          <w:b/>
          <w:sz w:val="28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sz w:val="28"/>
          <w:szCs w:val="24"/>
        </w:rPr>
        <w:t>一、</w:t>
      </w:r>
      <w:r>
        <w:rPr>
          <w:rFonts w:hint="eastAsia" w:ascii="Times New Roman" w:hAnsi="Times New Roman" w:cs="Times New Roman"/>
          <w:b/>
          <w:sz w:val="28"/>
          <w:szCs w:val="24"/>
          <w:lang w:val="en-US" w:eastAsia="zh-CN"/>
        </w:rPr>
        <w:t>引用标准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项目研究过程及成果须满足IEC标准、国家行业标准。若已颁布的相关技术标准或规范被修订，使用本技术规范书的各方应探讨使用最新版本的可能性。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“</w:t>
      </w:r>
      <w:bookmarkStart w:id="0" w:name="OLE_LINK2"/>
      <w:r>
        <w:rPr>
          <w:rFonts w:hint="eastAsia" w:ascii="宋体" w:hAnsi="宋体" w:cs="宋体"/>
          <w:sz w:val="24"/>
          <w:szCs w:val="24"/>
          <w:lang w:val="en-US" w:eastAsia="zh-CN"/>
        </w:rPr>
        <w:t>海蓄公司</w:t>
      </w:r>
      <w:bookmarkEnd w:id="0"/>
      <w:r>
        <w:rPr>
          <w:rFonts w:hint="eastAsia" w:ascii="宋体" w:hAnsi="宋体" w:cs="宋体"/>
          <w:sz w:val="24"/>
          <w:szCs w:val="24"/>
          <w:lang w:val="en-US" w:eastAsia="zh-CN"/>
        </w:rPr>
        <w:t>研学旅游基地创建及研学产品设计咨询服务</w:t>
      </w:r>
      <w:r>
        <w:rPr>
          <w:rFonts w:hint="eastAsia" w:ascii="宋体" w:hAnsi="宋体" w:cs="宋体"/>
          <w:sz w:val="24"/>
          <w:szCs w:val="24"/>
        </w:rPr>
        <w:t>”项目采用的主要技术规范和文件依据如下：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rPr>
          <w:rFonts w:hint="eastAsia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《研学旅游服务要求》</w:t>
      </w:r>
      <w:r>
        <w:rPr>
          <w:rFonts w:hint="eastAsia" w:cs="宋体"/>
          <w:sz w:val="24"/>
          <w:szCs w:val="24"/>
          <w:lang w:val="en-US" w:eastAsia="zh-CN"/>
        </w:rPr>
        <w:t>LB/T054-2025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rPr>
          <w:rFonts w:hint="eastAsia" w:cs="宋体"/>
          <w:sz w:val="24"/>
          <w:szCs w:val="24"/>
          <w:lang w:val="en-US" w:eastAsia="zh-CN"/>
        </w:rPr>
      </w:pPr>
      <w:r>
        <w:rPr>
          <w:rFonts w:hint="eastAsia" w:cs="宋体"/>
          <w:sz w:val="24"/>
          <w:szCs w:val="24"/>
          <w:lang w:val="en-US" w:eastAsia="zh-CN"/>
        </w:rPr>
        <w:t>《研学旅游课程与线路设计指南》LB/ T092-2025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rPr>
          <w:rFonts w:hint="eastAsia" w:cs="宋体"/>
          <w:sz w:val="24"/>
          <w:szCs w:val="24"/>
          <w:lang w:val="en-US" w:eastAsia="zh-CN"/>
        </w:rPr>
      </w:pPr>
      <w:r>
        <w:rPr>
          <w:rFonts w:hint="eastAsia" w:cs="宋体"/>
          <w:sz w:val="24"/>
          <w:szCs w:val="24"/>
          <w:lang w:val="en-US" w:eastAsia="zh-CN"/>
        </w:rPr>
        <w:t>《研学旅行（实践）安全管理指南》T/HNTA0003-2025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rPr>
          <w:rFonts w:hint="eastAsia" w:cs="宋体"/>
          <w:sz w:val="24"/>
          <w:szCs w:val="24"/>
          <w:lang w:val="en-US" w:eastAsia="zh-CN"/>
        </w:rPr>
      </w:pPr>
      <w:r>
        <w:rPr>
          <w:rFonts w:hint="eastAsia" w:cs="宋体"/>
          <w:sz w:val="24"/>
          <w:szCs w:val="24"/>
          <w:lang w:val="en-US" w:eastAsia="zh-CN"/>
        </w:rPr>
        <w:t>《研学旅行（实践）课程设计指南》T/HNTA0004-2025</w:t>
      </w:r>
    </w:p>
    <w:p>
      <w:pPr>
        <w:keepNext w:val="0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0" w:firstLineChars="0"/>
        <w:rPr>
          <w:rFonts w:hint="default" w:ascii="Times New Roman" w:hAnsi="Times New Roman" w:eastAsia="宋体" w:cs="Times New Roman"/>
          <w:b/>
          <w:sz w:val="28"/>
          <w:szCs w:val="24"/>
        </w:rPr>
      </w:pPr>
      <w:r>
        <w:rPr>
          <w:rFonts w:hint="eastAsia" w:ascii="Times New Roman" w:hAnsi="Times New Roman" w:cs="Times New Roman"/>
          <w:b/>
          <w:sz w:val="28"/>
          <w:szCs w:val="24"/>
          <w:lang w:val="en-US" w:eastAsia="zh-CN"/>
        </w:rPr>
        <w:t>项目技术要求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color w:val="auto"/>
          <w:sz w:val="24"/>
          <w:szCs w:val="24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  <w:t>.1项目概况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rPr>
          <w:rFonts w:hint="eastAsia" w:ascii="Times New Roman" w:hAnsi="Times New Roman" w:cs="Times New Roman"/>
          <w:kern w:val="0"/>
          <w:sz w:val="24"/>
          <w:lang w:val="en-US" w:eastAsia="zh-CN"/>
        </w:rPr>
      </w:pP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为充分发挥琼中电站水电、电力、能源科普教育基地作用，合理利用电站良好的资源禀赋，有力推进研学旅行工作落到实处，在增加非股东收入的同时，彰显公司社会责任担当，积极响应国家及海南省高度重视研学旅游、科普教育、绿色低碳与清洁能源产业融合发展要求。现拟委托一家服务机构对标</w:t>
      </w:r>
      <w:r>
        <w:rPr>
          <w:rFonts w:hint="eastAsia" w:cs="宋体"/>
          <w:sz w:val="24"/>
          <w:szCs w:val="24"/>
          <w:lang w:val="en-US" w:eastAsia="zh-CN"/>
        </w:rPr>
        <w:t>海南省旅游与文化广电体体育厅发布的《海南省研学旅游基地指标对照自测量表》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五大维度（资源与空间、教育服务、人力资源、运营管理、安全保障），提供全流程申报材料编制服务，并深度整合海蓄公司琼中抽水蓄能电站现有蓄能科技、电网安全、生态保护、智慧能源等四大核心资源，指导开发一套适合中小学生的研学课程、研学路线和研学产品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left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eastAsia" w:ascii="Times New Roman" w:hAnsi="Times New Roman" w:cs="Times New Roman"/>
          <w:b/>
          <w:color w:val="auto"/>
          <w:sz w:val="24"/>
          <w:szCs w:val="24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  <w:t xml:space="preserve">.2 </w:t>
      </w: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eastAsia="zh-CN"/>
        </w:rPr>
        <w:t>项目</w:t>
      </w:r>
      <w:r>
        <w:rPr>
          <w:rFonts w:hint="eastAsia" w:ascii="Times New Roman" w:hAnsi="Times New Roman" w:cs="Times New Roman"/>
          <w:b/>
          <w:color w:val="auto"/>
          <w:sz w:val="24"/>
          <w:szCs w:val="24"/>
          <w:lang w:val="en-US" w:eastAsia="zh-CN"/>
        </w:rPr>
        <w:t>技术要求</w:t>
      </w:r>
    </w:p>
    <w:p>
      <w:pPr>
        <w:pStyle w:val="2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主要项目内容按照以下工作内容及要求开展</w:t>
      </w:r>
      <w:r>
        <w:rPr>
          <w:rFonts w:hint="eastAsia" w:ascii="宋体" w:hAnsi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sz w:val="24"/>
          <w:szCs w:val="24"/>
        </w:rPr>
        <w:t>并通过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甲</w:t>
      </w:r>
      <w:r>
        <w:rPr>
          <w:rFonts w:hint="eastAsia" w:ascii="宋体" w:hAnsi="宋体" w:cs="宋体"/>
          <w:sz w:val="24"/>
          <w:szCs w:val="24"/>
        </w:rPr>
        <w:t>方认可验收后，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将交付物</w:t>
      </w:r>
      <w:r>
        <w:rPr>
          <w:rFonts w:hint="eastAsia" w:ascii="宋体" w:hAnsi="宋体" w:cs="宋体"/>
          <w:sz w:val="24"/>
          <w:szCs w:val="24"/>
        </w:rPr>
        <w:t>交付给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甲</w:t>
      </w:r>
      <w:r>
        <w:rPr>
          <w:rFonts w:hint="eastAsia" w:ascii="宋体" w:hAnsi="宋体" w:cs="宋体"/>
          <w:sz w:val="24"/>
          <w:szCs w:val="24"/>
        </w:rPr>
        <w:t>方：</w:t>
      </w:r>
    </w:p>
    <w:tbl>
      <w:tblPr>
        <w:tblStyle w:val="11"/>
        <w:tblW w:w="91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9"/>
        <w:gridCol w:w="1404"/>
        <w:gridCol w:w="1469"/>
        <w:gridCol w:w="55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tblHeader/>
          <w:jc w:val="center"/>
        </w:trPr>
        <w:tc>
          <w:tcPr>
            <w:tcW w:w="67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Cs w:val="21"/>
                <w:lang w:val="en-US" w:eastAsia="zh-CN"/>
              </w:rPr>
              <w:t>序号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szCs w:val="21"/>
                <w:lang w:val="en-US" w:eastAsia="zh-CN"/>
              </w:rPr>
              <w:t>服务内容</w:t>
            </w:r>
          </w:p>
        </w:tc>
        <w:tc>
          <w:tcPr>
            <w:tcW w:w="14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时间要求</w:t>
            </w:r>
          </w:p>
        </w:tc>
        <w:tc>
          <w:tcPr>
            <w:tcW w:w="558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宋体" w:hAnsi="宋体" w:eastAsia="宋体" w:cs="宋体"/>
                <w:b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主要内容</w:t>
            </w:r>
            <w:r>
              <w:rPr>
                <w:rFonts w:hint="eastAsia" w:ascii="宋体" w:hAnsi="宋体" w:cs="宋体"/>
                <w:b/>
                <w:szCs w:val="21"/>
                <w:lang w:val="en-US" w:eastAsia="zh-CN"/>
              </w:rPr>
              <w:t>及预期成果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4" w:hRule="atLeast"/>
          <w:jc w:val="center"/>
        </w:trPr>
        <w:tc>
          <w:tcPr>
            <w:tcW w:w="67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1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研学旅游点申报材料编制服务</w:t>
            </w:r>
          </w:p>
        </w:tc>
        <w:tc>
          <w:tcPr>
            <w:tcW w:w="14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自中标通知书发布之日起</w:t>
            </w:r>
            <w:r>
              <w:rPr>
                <w:rFonts w:hint="eastAsia" w:cs="宋体"/>
                <w:szCs w:val="21"/>
                <w:lang w:val="en-US" w:eastAsia="zh-CN"/>
              </w:rPr>
              <w:t>至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60</w:t>
            </w:r>
            <w:r>
              <w:rPr>
                <w:rFonts w:hint="eastAsia" w:cs="宋体"/>
                <w:szCs w:val="21"/>
                <w:lang w:val="en-US" w:eastAsia="zh-CN"/>
              </w:rPr>
              <w:t>个自然日止</w:t>
            </w:r>
          </w:p>
        </w:tc>
        <w:tc>
          <w:tcPr>
            <w:tcW w:w="558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1.主要内容：</w:t>
            </w:r>
            <w:r>
              <w:rPr>
                <w:rFonts w:hint="eastAsia"/>
                <w:lang w:val="en-US" w:eastAsia="zh-CN"/>
              </w:rPr>
              <w:t>对标海南省研学旅游基地五大维度（资源与空间、教育服务、人力资源、运营管理、安全保障），提供全流程申报材料编制服务。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（1）填写申报表、自评表、情况说明；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（2）编制申报申请报告、资源优势说明、运营方案；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（3）制定安全保障体系、应急预案、管理制度；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（4）整理资质荣誉、场地设施、人员队伍等佐证材料；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（5）完成全套申报材料汇编（纸质版+电子版）。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2.预期成果：</w:t>
            </w:r>
            <w:r>
              <w:rPr>
                <w:rFonts w:hint="eastAsia"/>
                <w:lang w:val="en-US" w:eastAsia="zh-CN"/>
              </w:rPr>
              <w:t>标准化申报材料全套1套，可直接提交评审单位主管部门。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0" w:hRule="atLeast"/>
          <w:jc w:val="center"/>
        </w:trPr>
        <w:tc>
          <w:tcPr>
            <w:tcW w:w="67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2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研学课程开发服务</w:t>
            </w:r>
          </w:p>
        </w:tc>
        <w:tc>
          <w:tcPr>
            <w:tcW w:w="14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自中标通知书发布之日起</w:t>
            </w:r>
            <w:r>
              <w:rPr>
                <w:rFonts w:hint="eastAsia" w:cs="宋体"/>
                <w:szCs w:val="21"/>
                <w:lang w:val="en-US" w:eastAsia="zh-CN"/>
              </w:rPr>
              <w:t>至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60</w:t>
            </w:r>
            <w:r>
              <w:rPr>
                <w:rFonts w:hint="eastAsia" w:cs="宋体"/>
                <w:szCs w:val="21"/>
                <w:lang w:val="en-US" w:eastAsia="zh-CN"/>
              </w:rPr>
              <w:t>个自然日止</w:t>
            </w:r>
          </w:p>
        </w:tc>
        <w:tc>
          <w:tcPr>
            <w:tcW w:w="558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1.</w:t>
            </w:r>
            <w:r>
              <w:rPr>
                <w:rFonts w:hint="eastAsia"/>
                <w:b/>
                <w:bCs/>
              </w:rPr>
              <w:t>主要内容：</w:t>
            </w:r>
            <w:r>
              <w:rPr>
                <w:rFonts w:hint="eastAsia"/>
              </w:rPr>
              <w:t>围绕三大主题开发6门标准化、分学段研学课程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  <w:lang w:eastAsia="zh-CN"/>
              </w:rPr>
              <w:t>）</w:t>
            </w:r>
            <w:r>
              <w:rPr>
                <w:rFonts w:hint="eastAsia"/>
              </w:rPr>
              <w:t>抽水蓄能科技主题：抽水蓄能原理、机组结构、发电流程、电网调节作用；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  <w:lang w:eastAsia="zh-CN"/>
              </w:rPr>
              <w:t>）</w:t>
            </w:r>
            <w:r>
              <w:rPr>
                <w:rFonts w:hint="eastAsia"/>
              </w:rPr>
              <w:t>清洁能源与双碳主题：新能源消纳、储能价值、低碳环保、生态效益；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  <w:lang w:eastAsia="zh-CN"/>
              </w:rPr>
              <w:t>）</w:t>
            </w:r>
            <w:r>
              <w:rPr>
                <w:rFonts w:hint="eastAsia"/>
              </w:rPr>
              <w:t>生态工程与安全主题：水土保持、植被修复、工程安全、绿色电站建设。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</w:rPr>
              <w:t>每门课程配套：教案、教学PPT、学生任务单、安全须知、评价量表。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2.预期成果</w:t>
            </w:r>
            <w:r>
              <w:rPr>
                <w:rFonts w:hint="eastAsia"/>
                <w:b/>
                <w:bCs/>
              </w:rPr>
              <w:t>：</w:t>
            </w:r>
            <w:r>
              <w:rPr>
                <w:rFonts w:hint="eastAsia"/>
                <w:lang w:eastAsia="zh-CN"/>
              </w:rPr>
              <w:t>3大主题、6门标准化课程及教学资料包。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5" w:hRule="atLeast"/>
          <w:jc w:val="center"/>
        </w:trPr>
        <w:tc>
          <w:tcPr>
            <w:tcW w:w="67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3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研学运营与辅导服务</w:t>
            </w:r>
          </w:p>
        </w:tc>
        <w:tc>
          <w:tcPr>
            <w:tcW w:w="14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default" w:ascii="宋体" w:hAnsi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自中标通知书发布之日起</w:t>
            </w:r>
            <w:r>
              <w:rPr>
                <w:rFonts w:hint="eastAsia" w:cs="宋体"/>
                <w:szCs w:val="21"/>
                <w:lang w:val="en-US" w:eastAsia="zh-CN"/>
              </w:rPr>
              <w:t>至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60</w:t>
            </w:r>
            <w:r>
              <w:rPr>
                <w:rFonts w:hint="eastAsia" w:cs="宋体"/>
                <w:szCs w:val="21"/>
                <w:lang w:val="en-US" w:eastAsia="zh-CN"/>
              </w:rPr>
              <w:t>个自然日止</w:t>
            </w:r>
          </w:p>
        </w:tc>
        <w:tc>
          <w:tcPr>
            <w:tcW w:w="558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1.主要内容：</w:t>
            </w:r>
            <w:r>
              <w:rPr>
                <w:rFonts w:hint="eastAsia"/>
                <w:lang w:val="en-US" w:eastAsia="zh-CN"/>
              </w:rPr>
              <w:t>对标海南省研学旅游基地五大维度（资源与空间、教育服务、人力资源、运营管理、安全保障），提供全流程材料编制服务。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（1）制定研学接待流程、讲解规范、现场组织要点；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（2）编制安全应急预案、风险防控清单、研学导师提纲；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（3）提供申报材料修改、迎评指导、答疑咨询。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 w:ascii="宋体" w:hAnsi="宋体" w:eastAsia="宋体" w:cs="宋体"/>
                <w:szCs w:val="21"/>
                <w:highlight w:val="none"/>
                <w:lang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2.预期成果：</w:t>
            </w:r>
            <w:r>
              <w:rPr>
                <w:rFonts w:hint="eastAsia"/>
                <w:lang w:val="en-US" w:eastAsia="zh-CN"/>
              </w:rPr>
              <w:t>运营管理手册、安全预案、导师资料各1套。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baseline"/>
        <w:rPr>
          <w:rFonts w:hint="eastAsia" w:ascii="Times New Roman" w:hAnsi="Times New Roman" w:cs="Times New Roman"/>
          <w:b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baseline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color w:val="auto"/>
          <w:sz w:val="24"/>
          <w:szCs w:val="24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  <w:t xml:space="preserve">.3 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项目服务质量要求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及目标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baseline"/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1.在项目执行期间，能保证咨询团队有充足的人力投入到项目中，保证至少有2人定期跟随项目。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baseline"/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2.在项目执行期间，项目负责人至少2次到现场就项目开展情况向招标人进行汇报和交流，一次安排在交付成果初稿编制完成后，一次安排在项目后期对各项交付成果进行汇报，期间若有需要由双方沟通商议。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3.打造海南首个“抽水蓄能+绿色能源”特色研学IP，助力海蓄公司琼中电厂成功获评海南省研学旅游基地，成为海南科技研学与清洁能源教育标志性项目。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rPr>
          <w:rFonts w:hint="default" w:ascii="Times New Roman" w:hAnsi="Times New Roman" w:eastAsia="宋体" w:cs="Times New Roman"/>
          <w:b/>
          <w:sz w:val="28"/>
          <w:szCs w:val="24"/>
        </w:rPr>
      </w:pPr>
      <w:r>
        <w:rPr>
          <w:rFonts w:hint="default" w:ascii="Times New Roman" w:hAnsi="Times New Roman" w:eastAsia="宋体" w:cs="Times New Roman"/>
          <w:b/>
          <w:sz w:val="28"/>
          <w:szCs w:val="24"/>
        </w:rPr>
        <w:t>四、</w:t>
      </w:r>
      <w:r>
        <w:rPr>
          <w:rFonts w:hint="default" w:ascii="Times New Roman" w:hAnsi="Times New Roman" w:eastAsia="宋体" w:cs="Times New Roman"/>
          <w:b/>
          <w:sz w:val="28"/>
          <w:szCs w:val="24"/>
          <w:lang w:val="en-US" w:eastAsia="zh-CN"/>
        </w:rPr>
        <w:t>项目支付</w:t>
      </w:r>
      <w:r>
        <w:rPr>
          <w:rFonts w:hint="default" w:ascii="Times New Roman" w:hAnsi="Times New Roman" w:eastAsia="宋体" w:cs="Times New Roman"/>
          <w:b/>
          <w:sz w:val="28"/>
          <w:szCs w:val="24"/>
        </w:rPr>
        <w:t>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baseline"/>
        <w:rPr>
          <w:rFonts w:hint="default" w:ascii="Times New Roman" w:hAnsi="Times New Roman" w:cs="Times New Roman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kern w:val="0"/>
          <w:sz w:val="24"/>
          <w:szCs w:val="24"/>
          <w:lang w:val="en-US" w:eastAsia="zh-CN"/>
        </w:rPr>
        <w:t>咨询服务工作全部完成后，</w:t>
      </w:r>
      <w:r>
        <w:rPr>
          <w:rFonts w:hint="default" w:ascii="Times New Roman" w:hAnsi="Times New Roman" w:cs="Times New Roman"/>
          <w:kern w:val="0"/>
          <w:sz w:val="24"/>
          <w:szCs w:val="24"/>
          <w:lang w:val="en-US" w:eastAsia="zh-CN"/>
        </w:rPr>
        <w:t>乙方提交</w:t>
      </w:r>
      <w:r>
        <w:rPr>
          <w:rFonts w:hint="eastAsia" w:ascii="Times New Roman" w:hAnsi="Times New Roman" w:cs="Times New Roman"/>
          <w:kern w:val="0"/>
          <w:sz w:val="24"/>
          <w:szCs w:val="24"/>
          <w:lang w:val="en-US" w:eastAsia="zh-CN"/>
        </w:rPr>
        <w:t>经甲方验收通过交付物，并出具验收合格的书面意见后，</w:t>
      </w:r>
      <w:r>
        <w:rPr>
          <w:rFonts w:hint="default" w:ascii="Times New Roman" w:hAnsi="Times New Roman" w:cs="Times New Roman"/>
          <w:kern w:val="0"/>
          <w:sz w:val="24"/>
          <w:szCs w:val="24"/>
          <w:lang w:val="en-US" w:eastAsia="zh-CN"/>
        </w:rPr>
        <w:t>乙方提供增值税专用发票，甲方在30个工作日内完成支付。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4"/>
        </w:rPr>
      </w:pPr>
      <w:r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4"/>
          <w:lang w:val="en-US" w:eastAsia="zh-CN"/>
        </w:rPr>
        <w:t>五</w:t>
      </w:r>
      <w:r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4"/>
        </w:rPr>
        <w:t>、其他要求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baseline"/>
        <w:rPr>
          <w:rFonts w:hint="default" w:ascii="Times New Roman" w:hAnsi="Times New Roman" w:cs="Times New Roman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kern w:val="0"/>
          <w:sz w:val="24"/>
          <w:szCs w:val="24"/>
          <w:lang w:val="en-US" w:eastAsia="zh-CN"/>
        </w:rPr>
        <w:t>1.</w:t>
      </w:r>
      <w:bookmarkStart w:id="1" w:name="_GoBack"/>
      <w:bookmarkEnd w:id="1"/>
      <w:r>
        <w:rPr>
          <w:rFonts w:hint="eastAsia" w:ascii="Times New Roman" w:hAnsi="Times New Roman" w:cs="Times New Roman"/>
          <w:kern w:val="0"/>
          <w:sz w:val="24"/>
          <w:szCs w:val="24"/>
          <w:lang w:val="en-US" w:eastAsia="zh-CN"/>
        </w:rPr>
        <w:t>为确保项目落地实施效果，投标人须根据要求提供相应的课程开发培训和现场辅导服务，配合推进项目成果的顺利应用。调研期间发生的费用（如交通费、住宿费等）由投标人自行承担。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BE08DA"/>
    <w:multiLevelType w:val="multilevel"/>
    <w:tmpl w:val="22BE08DA"/>
    <w:lvl w:ilvl="0" w:tentative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ind w:left="992" w:hanging="992"/>
      </w:pPr>
      <w:rPr>
        <w:rFonts w:hint="eastAsia" w:ascii="黑体" w:hAnsi="黑体" w:eastAsia="黑体"/>
        <w:b w:val="0"/>
        <w:color w:val="auto"/>
      </w:rPr>
    </w:lvl>
    <w:lvl w:ilvl="2" w:tentative="0">
      <w:start w:val="1"/>
      <w:numFmt w:val="decimal"/>
      <w:suff w:val="space"/>
      <w:lvlText w:val="%1.%2.%3"/>
      <w:lvlJc w:val="left"/>
      <w:pPr>
        <w:ind w:left="851" w:hanging="851"/>
      </w:pPr>
      <w:rPr>
        <w:rFonts w:hint="eastAsia" w:ascii="黑体" w:hAnsi="黑体" w:eastAsia="黑体"/>
        <w:b w:val="0"/>
        <w:color w:val="auto"/>
      </w:rPr>
    </w:lvl>
    <w:lvl w:ilvl="3" w:tentative="0">
      <w:start w:val="1"/>
      <w:numFmt w:val="decimal"/>
      <w:pStyle w:val="21"/>
      <w:suff w:val="space"/>
      <w:lvlText w:val="%1.%2.%3.%4"/>
      <w:lvlJc w:val="left"/>
      <w:pPr>
        <w:ind w:left="1984" w:hanging="1984"/>
      </w:pPr>
      <w:rPr>
        <w:rFonts w:hint="eastAsia" w:eastAsia="宋体" w:asciiTheme="minorEastAsia" w:hAnsiTheme="minorEastAsia"/>
        <w:color w:val="auto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">
    <w:nsid w:val="5E8FCFBB"/>
    <w:multiLevelType w:val="multilevel"/>
    <w:tmpl w:val="5E8FCFBB"/>
    <w:lvl w:ilvl="0" w:tentative="0">
      <w:start w:val="1"/>
      <w:numFmt w:val="decimal"/>
      <w:pStyle w:val="18"/>
      <w:lvlText w:val="%1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</w:rPr>
    </w:lvl>
    <w:lvl w:ilvl="1" w:tentative="0">
      <w:start w:val="1"/>
      <w:numFmt w:val="decimal"/>
      <w:pStyle w:val="17"/>
      <w:lvlText w:val="%1.%2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</w:rPr>
    </w:lvl>
    <w:lvl w:ilvl="2" w:tentative="0">
      <w:start w:val="1"/>
      <w:numFmt w:val="decimal"/>
      <w:pStyle w:val="16"/>
      <w:suff w:val="space"/>
      <w:lvlText w:val="%1.%2.%3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</w:rPr>
    </w:lvl>
    <w:lvl w:ilvl="3" w:tentative="0">
      <w:start w:val="1"/>
      <w:numFmt w:val="decimal"/>
      <w:lvlText w:val="%1.%2.%3.%4"/>
      <w:lvlJc w:val="left"/>
      <w:pPr>
        <w:ind w:left="850" w:hanging="850"/>
      </w:pPr>
      <w:rPr>
        <w:rFonts w:hint="default" w:ascii="宋体" w:hAnsi="宋体" w:eastAsia="宋体" w:cs="宋体"/>
      </w:rPr>
    </w:lvl>
    <w:lvl w:ilvl="4" w:tentative="0">
      <w:start w:val="1"/>
      <w:numFmt w:val="decimal"/>
      <w:lvlText w:val="%1.%2.%3.%4.%5"/>
      <w:lvlJc w:val="left"/>
      <w:pPr>
        <w:ind w:left="991" w:hanging="991"/>
      </w:pPr>
      <w:rPr>
        <w:rFonts w:hint="default" w:ascii="宋体" w:hAnsi="宋体" w:eastAsia="宋体" w:cs="宋体"/>
      </w:rPr>
    </w:lvl>
    <w:lvl w:ilvl="5" w:tentative="0">
      <w:start w:val="1"/>
      <w:numFmt w:val="decimal"/>
      <w:lvlText w:val="%1.%2.%3.%4.%5.%6"/>
      <w:lvlJc w:val="left"/>
      <w:pPr>
        <w:ind w:left="1134" w:hanging="1134"/>
      </w:pPr>
      <w:rPr>
        <w:rFonts w:hint="default" w:ascii="宋体" w:hAnsi="宋体" w:eastAsia="宋体" w:cs="宋体"/>
      </w:rPr>
    </w:lvl>
    <w:lvl w:ilvl="6" w:tentative="0">
      <w:start w:val="1"/>
      <w:numFmt w:val="decimal"/>
      <w:lvlText w:val="%1.%2.%3.%4.%5.%6.%7"/>
      <w:lvlJc w:val="left"/>
      <w:pPr>
        <w:ind w:left="1275" w:hanging="1275"/>
      </w:pPr>
      <w:rPr>
        <w:rFonts w:hint="default" w:ascii="宋体" w:hAnsi="宋体" w:eastAsia="宋体" w:cs="宋体"/>
      </w:rPr>
    </w:lvl>
    <w:lvl w:ilvl="7" w:tentative="0">
      <w:start w:val="1"/>
      <w:numFmt w:val="decimal"/>
      <w:lvlText w:val="%1.%2.%3.%4.%5.%6.%7.%8"/>
      <w:lvlJc w:val="left"/>
      <w:pPr>
        <w:ind w:left="1418" w:hanging="1418"/>
      </w:pPr>
      <w:rPr>
        <w:rFonts w:hint="default" w:ascii="宋体" w:hAnsi="宋体" w:eastAsia="宋体" w:cs="宋体"/>
      </w:rPr>
    </w:lvl>
    <w:lvl w:ilvl="8" w:tentative="0">
      <w:start w:val="1"/>
      <w:numFmt w:val="decimal"/>
      <w:lvlText w:val="%1.%2.%3.%4.%5.%6.%7.%8.%9"/>
      <w:lvlJc w:val="left"/>
      <w:pPr>
        <w:ind w:left="1558" w:hanging="1558"/>
      </w:pPr>
      <w:rPr>
        <w:rFonts w:hint="default" w:ascii="宋体" w:hAnsi="宋体" w:eastAsia="宋体" w:cs="宋体"/>
      </w:rPr>
    </w:lvl>
  </w:abstractNum>
  <w:abstractNum w:abstractNumId="2">
    <w:nsid w:val="6754FDA5"/>
    <w:multiLevelType w:val="singleLevel"/>
    <w:tmpl w:val="6754FDA5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76933334"/>
    <w:multiLevelType w:val="multilevel"/>
    <w:tmpl w:val="76933334"/>
    <w:lvl w:ilvl="0" w:tentative="0">
      <w:start w:val="1"/>
      <w:numFmt w:val="upperLetter"/>
      <w:pStyle w:val="22"/>
      <w:suff w:val="nothing"/>
      <w:lvlText w:val="附  录  %1 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  <w:szCs w:val="21"/>
      </w:rPr>
    </w:lvl>
    <w:lvl w:ilvl="1" w:tentative="0">
      <w:start w:val="1"/>
      <w:numFmt w:val="decimal"/>
      <w:suff w:val="nothing"/>
      <w:lvlText w:val="%1%2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suff w:val="nothing"/>
      <w:lvlText w:val="%1%2.%3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suff w:val="nothing"/>
      <w:lvlText w:val="%1%2.%3.%4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771"/>
        </w:tabs>
        <w:ind w:left="438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97"/>
        </w:tabs>
        <w:ind w:left="5097" w:hanging="1700"/>
      </w:pPr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zNjhjZjkxMjg2OGJjOTQ0NThhNzBhOGI4YTVmYWYifQ=="/>
  </w:docVars>
  <w:rsids>
    <w:rsidRoot w:val="00000000"/>
    <w:rsid w:val="011145B6"/>
    <w:rsid w:val="02105673"/>
    <w:rsid w:val="02A46BB1"/>
    <w:rsid w:val="037A40C6"/>
    <w:rsid w:val="03DC68B4"/>
    <w:rsid w:val="04AA7AB6"/>
    <w:rsid w:val="04AF0093"/>
    <w:rsid w:val="05085485"/>
    <w:rsid w:val="054D3B3F"/>
    <w:rsid w:val="05BE255A"/>
    <w:rsid w:val="05CA273A"/>
    <w:rsid w:val="05E86A71"/>
    <w:rsid w:val="05FC3BE0"/>
    <w:rsid w:val="06247323"/>
    <w:rsid w:val="06856633"/>
    <w:rsid w:val="073C31C4"/>
    <w:rsid w:val="078F0773"/>
    <w:rsid w:val="090773F4"/>
    <w:rsid w:val="0AA9475C"/>
    <w:rsid w:val="0AE05343"/>
    <w:rsid w:val="0AEF0200"/>
    <w:rsid w:val="0B614CBE"/>
    <w:rsid w:val="0C6322E0"/>
    <w:rsid w:val="0CCA2F89"/>
    <w:rsid w:val="0D443A40"/>
    <w:rsid w:val="0E8A02B9"/>
    <w:rsid w:val="0F042940"/>
    <w:rsid w:val="0FB97DD9"/>
    <w:rsid w:val="10227809"/>
    <w:rsid w:val="105E23FD"/>
    <w:rsid w:val="11572E8D"/>
    <w:rsid w:val="11D70154"/>
    <w:rsid w:val="12573F25"/>
    <w:rsid w:val="1290604A"/>
    <w:rsid w:val="133832E8"/>
    <w:rsid w:val="14170683"/>
    <w:rsid w:val="14EF0366"/>
    <w:rsid w:val="150F60AF"/>
    <w:rsid w:val="151D59B2"/>
    <w:rsid w:val="152704C0"/>
    <w:rsid w:val="15C67B3E"/>
    <w:rsid w:val="15ED3701"/>
    <w:rsid w:val="167D1693"/>
    <w:rsid w:val="16D76A65"/>
    <w:rsid w:val="17CD20C5"/>
    <w:rsid w:val="18D4004A"/>
    <w:rsid w:val="1C08210D"/>
    <w:rsid w:val="1C502501"/>
    <w:rsid w:val="1D7D76F0"/>
    <w:rsid w:val="1DAC27BE"/>
    <w:rsid w:val="1E2E49FA"/>
    <w:rsid w:val="1E564F90"/>
    <w:rsid w:val="1E745A2C"/>
    <w:rsid w:val="1F3518C1"/>
    <w:rsid w:val="1F3C5F27"/>
    <w:rsid w:val="1F445FB7"/>
    <w:rsid w:val="1F9A55BB"/>
    <w:rsid w:val="20AA2164"/>
    <w:rsid w:val="215F79F8"/>
    <w:rsid w:val="2223653E"/>
    <w:rsid w:val="22B06E96"/>
    <w:rsid w:val="2317411E"/>
    <w:rsid w:val="233660B1"/>
    <w:rsid w:val="237F09E4"/>
    <w:rsid w:val="23876F54"/>
    <w:rsid w:val="24462612"/>
    <w:rsid w:val="246C1FEE"/>
    <w:rsid w:val="24892425"/>
    <w:rsid w:val="268A1F04"/>
    <w:rsid w:val="26937E0C"/>
    <w:rsid w:val="26A947C0"/>
    <w:rsid w:val="26B64AE2"/>
    <w:rsid w:val="2776485E"/>
    <w:rsid w:val="27E34FFB"/>
    <w:rsid w:val="2A412D91"/>
    <w:rsid w:val="2A8E3CE0"/>
    <w:rsid w:val="2B4A5EB5"/>
    <w:rsid w:val="2B762831"/>
    <w:rsid w:val="2C706946"/>
    <w:rsid w:val="2C87397F"/>
    <w:rsid w:val="2D894E77"/>
    <w:rsid w:val="2EA84D9A"/>
    <w:rsid w:val="2F354F9E"/>
    <w:rsid w:val="2FBD57BC"/>
    <w:rsid w:val="2FC949E6"/>
    <w:rsid w:val="310F5189"/>
    <w:rsid w:val="31734EAD"/>
    <w:rsid w:val="31994BEB"/>
    <w:rsid w:val="31AE0582"/>
    <w:rsid w:val="31C11945"/>
    <w:rsid w:val="33736984"/>
    <w:rsid w:val="348A4CBF"/>
    <w:rsid w:val="34D128B0"/>
    <w:rsid w:val="34EB1FE1"/>
    <w:rsid w:val="35424BEE"/>
    <w:rsid w:val="35547ED1"/>
    <w:rsid w:val="36F10F1D"/>
    <w:rsid w:val="37155195"/>
    <w:rsid w:val="3775168B"/>
    <w:rsid w:val="39BF40A5"/>
    <w:rsid w:val="39CC20BE"/>
    <w:rsid w:val="39D97BC0"/>
    <w:rsid w:val="3A4B6BF0"/>
    <w:rsid w:val="3A617939"/>
    <w:rsid w:val="3ABA4A7C"/>
    <w:rsid w:val="3B3B6F3E"/>
    <w:rsid w:val="3CA04220"/>
    <w:rsid w:val="3CFC4E99"/>
    <w:rsid w:val="3DD81385"/>
    <w:rsid w:val="3E804094"/>
    <w:rsid w:val="3F4304D7"/>
    <w:rsid w:val="3FCD54F2"/>
    <w:rsid w:val="412C0E2D"/>
    <w:rsid w:val="444C0EE3"/>
    <w:rsid w:val="44E911B7"/>
    <w:rsid w:val="45926949"/>
    <w:rsid w:val="45A06EFF"/>
    <w:rsid w:val="46282E28"/>
    <w:rsid w:val="47407698"/>
    <w:rsid w:val="475E2EA5"/>
    <w:rsid w:val="48927A1F"/>
    <w:rsid w:val="496C16BA"/>
    <w:rsid w:val="49E223DA"/>
    <w:rsid w:val="4A3F0CA6"/>
    <w:rsid w:val="4B3E7B46"/>
    <w:rsid w:val="4B663FE5"/>
    <w:rsid w:val="4C2D252F"/>
    <w:rsid w:val="4C5D5FF1"/>
    <w:rsid w:val="4DA41071"/>
    <w:rsid w:val="4DE81F80"/>
    <w:rsid w:val="4E0503FA"/>
    <w:rsid w:val="4E614CA7"/>
    <w:rsid w:val="4E9E4ABB"/>
    <w:rsid w:val="4FFA6FC7"/>
    <w:rsid w:val="502C723E"/>
    <w:rsid w:val="505025CD"/>
    <w:rsid w:val="51143B9C"/>
    <w:rsid w:val="512D13DF"/>
    <w:rsid w:val="51A26E98"/>
    <w:rsid w:val="526F1F4E"/>
    <w:rsid w:val="5283536B"/>
    <w:rsid w:val="52D24131"/>
    <w:rsid w:val="53195188"/>
    <w:rsid w:val="532A3347"/>
    <w:rsid w:val="544B268E"/>
    <w:rsid w:val="54C03972"/>
    <w:rsid w:val="54F72A83"/>
    <w:rsid w:val="555C5E19"/>
    <w:rsid w:val="55B97975"/>
    <w:rsid w:val="56596AF3"/>
    <w:rsid w:val="568B3962"/>
    <w:rsid w:val="5A893518"/>
    <w:rsid w:val="5A8B3529"/>
    <w:rsid w:val="5AD324CE"/>
    <w:rsid w:val="5CD004B4"/>
    <w:rsid w:val="5CEA68B7"/>
    <w:rsid w:val="5D9E5B25"/>
    <w:rsid w:val="5DC45D9A"/>
    <w:rsid w:val="5EAF3C67"/>
    <w:rsid w:val="5EDA62E9"/>
    <w:rsid w:val="60B40EA2"/>
    <w:rsid w:val="60C72C73"/>
    <w:rsid w:val="624C462A"/>
    <w:rsid w:val="62A63868"/>
    <w:rsid w:val="62DA0294"/>
    <w:rsid w:val="632877B1"/>
    <w:rsid w:val="634D3C76"/>
    <w:rsid w:val="63605BFD"/>
    <w:rsid w:val="64E25391"/>
    <w:rsid w:val="651741B8"/>
    <w:rsid w:val="65FC3378"/>
    <w:rsid w:val="66123504"/>
    <w:rsid w:val="66590BF3"/>
    <w:rsid w:val="6679092A"/>
    <w:rsid w:val="667941AD"/>
    <w:rsid w:val="66C75126"/>
    <w:rsid w:val="67223341"/>
    <w:rsid w:val="6728524B"/>
    <w:rsid w:val="684D6073"/>
    <w:rsid w:val="690C66E5"/>
    <w:rsid w:val="69894F6A"/>
    <w:rsid w:val="69B260BF"/>
    <w:rsid w:val="69D71CCC"/>
    <w:rsid w:val="69F8020C"/>
    <w:rsid w:val="6AD863BE"/>
    <w:rsid w:val="6AE54E58"/>
    <w:rsid w:val="6B502BB4"/>
    <w:rsid w:val="6B555325"/>
    <w:rsid w:val="6B6D18B2"/>
    <w:rsid w:val="6BB55A52"/>
    <w:rsid w:val="6D084078"/>
    <w:rsid w:val="6D1F7E14"/>
    <w:rsid w:val="6E3803A5"/>
    <w:rsid w:val="6E595BB4"/>
    <w:rsid w:val="6EBD2659"/>
    <w:rsid w:val="6ECB392F"/>
    <w:rsid w:val="6EFC78C2"/>
    <w:rsid w:val="70B82A2E"/>
    <w:rsid w:val="70DE2CC5"/>
    <w:rsid w:val="71471623"/>
    <w:rsid w:val="71511DF8"/>
    <w:rsid w:val="719B33E1"/>
    <w:rsid w:val="71B0210B"/>
    <w:rsid w:val="72F43926"/>
    <w:rsid w:val="74046D0B"/>
    <w:rsid w:val="74722C9A"/>
    <w:rsid w:val="74C16CDF"/>
    <w:rsid w:val="758A5266"/>
    <w:rsid w:val="75D13DB6"/>
    <w:rsid w:val="777F7099"/>
    <w:rsid w:val="77DB77B3"/>
    <w:rsid w:val="77F12301"/>
    <w:rsid w:val="789C3FEE"/>
    <w:rsid w:val="789C7825"/>
    <w:rsid w:val="793A066D"/>
    <w:rsid w:val="794E03FE"/>
    <w:rsid w:val="79916E2D"/>
    <w:rsid w:val="7A315709"/>
    <w:rsid w:val="7AB15C57"/>
    <w:rsid w:val="7AB96207"/>
    <w:rsid w:val="7AFA5152"/>
    <w:rsid w:val="7C121B6B"/>
    <w:rsid w:val="7C6A0A85"/>
    <w:rsid w:val="7D106A3B"/>
    <w:rsid w:val="7D221505"/>
    <w:rsid w:val="7D320274"/>
    <w:rsid w:val="7D51343D"/>
    <w:rsid w:val="7DB859C6"/>
    <w:rsid w:val="7E172280"/>
    <w:rsid w:val="7F4A397F"/>
    <w:rsid w:val="7F581D2C"/>
    <w:rsid w:val="7F6C211D"/>
    <w:rsid w:val="7FCA0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宋体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0" w:afterAutospacing="0" w:line="560" w:lineRule="exact"/>
      <w:ind w:firstLine="0" w:firstLineChars="0"/>
      <w:jc w:val="left"/>
      <w:outlineLvl w:val="0"/>
    </w:pPr>
    <w:rPr>
      <w:rFonts w:hint="eastAsia" w:eastAsia="黑体" w:cs="宋体"/>
      <w:bCs/>
      <w:kern w:val="44"/>
      <w:szCs w:val="48"/>
      <w:lang w:bidi="ar"/>
    </w:rPr>
  </w:style>
  <w:style w:type="paragraph" w:styleId="3">
    <w:name w:val="heading 2"/>
    <w:basedOn w:val="1"/>
    <w:next w:val="1"/>
    <w:link w:val="14"/>
    <w:semiHidden/>
    <w:unhideWhenUsed/>
    <w:qFormat/>
    <w:uiPriority w:val="0"/>
    <w:pPr>
      <w:keepNext/>
      <w:keepLines/>
      <w:spacing w:beforeLines="0" w:afterLines="0"/>
      <w:ind w:firstLine="0" w:firstLineChars="0"/>
      <w:jc w:val="left"/>
      <w:outlineLvl w:val="1"/>
    </w:pPr>
    <w:rPr>
      <w:rFonts w:ascii="Times New Roman" w:hAnsi="Times New Roman" w:eastAsia="宋体" w:cs="Times New Roman"/>
      <w:b/>
      <w:bCs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outlineLvl w:val="2"/>
    </w:pPr>
    <w:rPr>
      <w:b/>
      <w:sz w:val="30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outlineLvl w:val="3"/>
    </w:pPr>
    <w:rPr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outlineLvl w:val="4"/>
    </w:pPr>
    <w:rPr>
      <w:b/>
      <w:sz w:val="24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  <w:style w:type="paragraph" w:styleId="8">
    <w:name w:val="Body Text"/>
    <w:basedOn w:val="1"/>
    <w:next w:val="9"/>
    <w:qFormat/>
    <w:uiPriority w:val="0"/>
    <w:rPr>
      <w:rFonts w:ascii="Arial" w:hAnsi="Arial" w:eastAsia="宋体" w:cstheme="minorBidi"/>
      <w:sz w:val="21"/>
    </w:rPr>
  </w:style>
  <w:style w:type="paragraph" w:styleId="9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10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">
    <w:name w:val="标题 2 Char"/>
    <w:link w:val="3"/>
    <w:qFormat/>
    <w:uiPriority w:val="0"/>
    <w:rPr>
      <w:rFonts w:ascii="Times New Roman" w:hAnsi="Times New Roman" w:eastAsia="宋体" w:cs="Times New Roman"/>
      <w:b/>
      <w:bCs/>
      <w:sz w:val="24"/>
      <w:szCs w:val="32"/>
    </w:rPr>
  </w:style>
  <w:style w:type="paragraph" w:customStyle="1" w:styleId="15">
    <w:name w:val="段"/>
    <w:qFormat/>
    <w:uiPriority w:val="0"/>
    <w:pPr>
      <w:autoSpaceDE w:val="0"/>
      <w:autoSpaceDN w:val="0"/>
      <w:spacing w:before="240" w:after="60"/>
      <w:ind w:firstLine="420" w:firstLineChars="200"/>
      <w:jc w:val="both"/>
    </w:pPr>
    <w:rPr>
      <w:rFonts w:ascii="宋体" w:hAnsi="Times New Roman" w:eastAsia="宋体" w:cs="黑体"/>
      <w:kern w:val="2"/>
      <w:sz w:val="21"/>
      <w:szCs w:val="22"/>
      <w:lang w:val="en-US" w:eastAsia="zh-CN" w:bidi="ar-SA"/>
    </w:rPr>
  </w:style>
  <w:style w:type="paragraph" w:customStyle="1" w:styleId="16">
    <w:name w:val="作业标题3"/>
    <w:basedOn w:val="17"/>
    <w:next w:val="19"/>
    <w:qFormat/>
    <w:uiPriority w:val="0"/>
    <w:pPr>
      <w:numPr>
        <w:ilvl w:val="2"/>
        <w:numId w:val="1"/>
      </w:numPr>
      <w:tabs>
        <w:tab w:val="left" w:pos="420"/>
      </w:tabs>
      <w:spacing w:line="360" w:lineRule="auto"/>
      <w:ind w:left="0" w:firstLine="0"/>
    </w:pPr>
    <w:rPr>
      <w:rFonts w:eastAsia="宋体"/>
    </w:rPr>
  </w:style>
  <w:style w:type="paragraph" w:customStyle="1" w:styleId="17">
    <w:name w:val="作业标题2"/>
    <w:basedOn w:val="18"/>
    <w:next w:val="19"/>
    <w:qFormat/>
    <w:uiPriority w:val="0"/>
    <w:pPr>
      <w:numPr>
        <w:ilvl w:val="1"/>
        <w:numId w:val="1"/>
      </w:numPr>
      <w:tabs>
        <w:tab w:val="left" w:pos="0"/>
      </w:tabs>
      <w:ind w:left="0" w:firstLine="0"/>
      <w:jc w:val="left"/>
    </w:pPr>
  </w:style>
  <w:style w:type="paragraph" w:customStyle="1" w:styleId="18">
    <w:name w:val="作业标题1"/>
    <w:basedOn w:val="2"/>
    <w:next w:val="19"/>
    <w:qFormat/>
    <w:uiPriority w:val="0"/>
    <w:pPr>
      <w:numPr>
        <w:ilvl w:val="0"/>
        <w:numId w:val="1"/>
      </w:numPr>
      <w:spacing w:line="360" w:lineRule="auto"/>
    </w:pPr>
    <w:rPr>
      <w:rFonts w:ascii="Times New Roman" w:hAnsi="Times New Roman"/>
    </w:rPr>
  </w:style>
  <w:style w:type="paragraph" w:customStyle="1" w:styleId="19">
    <w:name w:val="作业正文"/>
    <w:qFormat/>
    <w:uiPriority w:val="0"/>
    <w:pPr>
      <w:autoSpaceDE w:val="0"/>
      <w:autoSpaceDN w:val="0"/>
      <w:ind w:firstLine="200" w:firstLineChars="200"/>
      <w:jc w:val="both"/>
    </w:pPr>
    <w:rPr>
      <w:rFonts w:ascii="宋体" w:hAnsi="宋体" w:eastAsia="宋体" w:cs="Times New Roman"/>
      <w:sz w:val="21"/>
      <w:lang w:val="en-US" w:eastAsia="zh-CN" w:bidi="ar-SA"/>
    </w:rPr>
  </w:style>
  <w:style w:type="paragraph" w:customStyle="1" w:styleId="20">
    <w:name w:val="格式4"/>
    <w:basedOn w:val="21"/>
    <w:qFormat/>
    <w:uiPriority w:val="0"/>
    <w:pPr>
      <w:tabs>
        <w:tab w:val="left" w:pos="567"/>
        <w:tab w:val="left" w:pos="709"/>
        <w:tab w:val="left" w:pos="993"/>
        <w:tab w:val="left" w:pos="6405"/>
      </w:tabs>
    </w:pPr>
  </w:style>
  <w:style w:type="paragraph" w:customStyle="1" w:styleId="21">
    <w:name w:val="样式5"/>
    <w:basedOn w:val="22"/>
    <w:qFormat/>
    <w:uiPriority w:val="0"/>
    <w:pPr>
      <w:keepNext/>
      <w:numPr>
        <w:ilvl w:val="3"/>
        <w:numId w:val="2"/>
      </w:numPr>
      <w:tabs>
        <w:tab w:val="left" w:pos="567"/>
        <w:tab w:val="left" w:pos="709"/>
        <w:tab w:val="left" w:pos="993"/>
        <w:tab w:val="left" w:pos="6405"/>
      </w:tabs>
      <w:spacing w:before="0" w:after="0"/>
      <w:jc w:val="both"/>
      <w:outlineLvl w:val="9"/>
    </w:pPr>
    <w:rPr>
      <w:rFonts w:asciiTheme="minorEastAsia" w:hAnsiTheme="minorEastAsia"/>
    </w:rPr>
  </w:style>
  <w:style w:type="paragraph" w:customStyle="1" w:styleId="22">
    <w:name w:val="附录标识"/>
    <w:basedOn w:val="23"/>
    <w:qFormat/>
    <w:uiPriority w:val="0"/>
    <w:pPr>
      <w:numPr>
        <w:ilvl w:val="0"/>
        <w:numId w:val="3"/>
      </w:numPr>
      <w:tabs>
        <w:tab w:val="left" w:pos="6405"/>
      </w:tabs>
      <w:spacing w:after="200"/>
    </w:pPr>
    <w:rPr>
      <w:sz w:val="21"/>
    </w:rPr>
  </w:style>
  <w:style w:type="paragraph" w:customStyle="1" w:styleId="23">
    <w:name w:val="前言、引言标题"/>
    <w:next w:val="1"/>
    <w:qFormat/>
    <w:uiPriority w:val="0"/>
    <w:pPr>
      <w:shd w:val="clear" w:color="FFFFFF" w:fill="FFFFFF"/>
      <w:spacing w:before="640" w:after="560"/>
      <w:jc w:val="center"/>
      <w:outlineLvl w:val="0"/>
    </w:pPr>
    <w:rPr>
      <w:rFonts w:ascii="黑体" w:hAnsi="Times New Roman" w:eastAsia="黑体" w:cs="Times New Roman"/>
      <w:sz w:val="32"/>
      <w:lang w:val="en-US" w:eastAsia="zh-CN" w:bidi="ar-SA"/>
    </w:rPr>
  </w:style>
  <w:style w:type="paragraph" w:customStyle="1" w:styleId="24">
    <w:name w:val="_Style 4"/>
    <w:basedOn w:val="1"/>
    <w:qFormat/>
    <w:uiPriority w:val="34"/>
    <w:pPr>
      <w:ind w:firstLine="420" w:firstLineChars="200"/>
    </w:pPr>
  </w:style>
  <w:style w:type="paragraph" w:customStyle="1" w:styleId="25">
    <w:name w:val="列出段落1"/>
    <w:basedOn w:val="1"/>
    <w:qFormat/>
    <w:uiPriority w:val="1"/>
    <w:pPr>
      <w:ind w:firstLine="420" w:firstLineChars="200"/>
    </w:pPr>
  </w:style>
  <w:style w:type="paragraph" w:customStyle="1" w:styleId="26">
    <w:name w:val="列表段落1"/>
    <w:basedOn w:val="1"/>
    <w:qFormat/>
    <w:uiPriority w:val="1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1372</Words>
  <Characters>1496</Characters>
  <Lines>0</Lines>
  <Paragraphs>0</Paragraphs>
  <TotalTime>15</TotalTime>
  <ScaleCrop>false</ScaleCrop>
  <LinksUpToDate>false</LinksUpToDate>
  <CharactersWithSpaces>1501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2022-04-22T16:00:00Z</dcterms:created>
  <dc:creator>梅文星</dc:creator>
  <cp:lastModifiedBy>何嘉薇</cp:lastModifiedBy>
  <dcterms:modified xsi:type="dcterms:W3CDTF">2026-05-19T02:23:19Z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7051AEB6AFA64B8C9840AF1CE0F6ED85</vt:lpwstr>
  </property>
</Properties>
</file>