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  <w:lang w:val="en-US" w:eastAsia="zh-CN"/>
        </w:rPr>
      </w:pPr>
      <w:bookmarkStart w:id="1" w:name="_GoBack"/>
      <w:bookmarkEnd w:id="1"/>
      <w:r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  <w:lang w:val="en-US" w:eastAsia="zh-CN"/>
        </w:rPr>
        <w:t>南网数字2026年募投项目自有人员薪酬置换鉴证服务</w:t>
      </w:r>
      <w:r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</w:rPr>
        <w:t>技术规范</w:t>
      </w:r>
      <w:r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  <w:lang w:eastAsia="zh-CN"/>
        </w:rPr>
        <w:t>书</w:t>
      </w:r>
    </w:p>
    <w:p>
      <w:pPr>
        <w:numPr>
          <w:ilvl w:val="0"/>
          <w:numId w:val="0"/>
        </w:numPr>
        <w:rPr>
          <w:rFonts w:hint="eastAsia" w:ascii="方正仿宋_GB2312" w:hAnsi="方正仿宋_GB2312" w:cs="方正仿宋_GB2312"/>
          <w:sz w:val="20"/>
          <w:szCs w:val="20"/>
          <w:lang w:val="en-US" w:eastAsia="zh-CN"/>
        </w:rPr>
      </w:pPr>
    </w:p>
    <w:p>
      <w:pPr>
        <w:numPr>
          <w:ilvl w:val="0"/>
          <w:numId w:val="1"/>
        </w:numPr>
        <w:ind w:firstLine="643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项目概况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由成交人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Hans"/>
        </w:rPr>
        <w:t>向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南方电网数字电网研究院股份有限公司（以下简称“南网数字”）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Hans"/>
        </w:rPr>
        <w:t>提供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专项服务，按照中国证券监督管理委员会《上市公司监管指引第2号—上市公司募集资金管理和使用的监管要求（2022年修订）》（证监会公告［2022］15号）及《深圳证券交易所上市公司自律监管指引第2号——创业板上市公司规范运作（2023年12月修订）》（深证上〔2023〕1146号）的相关规定对南网数字2026年募投项目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自有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人员薪酬置换鉴证进行鉴证。</w:t>
      </w:r>
    </w:p>
    <w:p>
      <w:pPr>
        <w:numPr>
          <w:ilvl w:val="0"/>
          <w:numId w:val="0"/>
        </w:numPr>
        <w:ind w:firstLine="643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、项目内容</w:t>
      </w:r>
    </w:p>
    <w:p>
      <w:pPr>
        <w:numPr>
          <w:ilvl w:val="0"/>
          <w:numId w:val="0"/>
        </w:numPr>
        <w:ind w:firstLine="560" w:firstLineChars="200"/>
        <w:rPr>
          <w:rFonts w:hint="default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1</w:t>
      </w:r>
      <w:bookmarkStart w:id="0" w:name="XmInfoEntity_ZBNR_0_1"/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.采购内容：</w:t>
      </w:r>
      <w:bookmarkEnd w:id="0"/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2026年第一季度、二季度、三季度、四季度南网数字募投项目自有人员薪酬置换鉴证服务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2.采购预算：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预算金额为4.99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万元。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3.合同期限：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2026年12月31日前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643" w:firstLineChars="200"/>
        <w:rPr>
          <w:rFonts w:hint="eastAsia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 w:bidi="ar-SA"/>
        </w:rPr>
        <w:t>二、</w:t>
      </w: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 w:bidi="ar-SA"/>
        </w:rPr>
        <w:t>资格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 w:bidi="ar-SA"/>
        </w:rPr>
        <w:t>要求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具有独立法人资格，营业执照经营范围涵盖鉴证服务等相关内容，且年检合格、有效存续。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（1）在中华人民共和国境内注册，具备独立法人资格，持有合法有效的法人证书（或法人身份证明文件）。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（2）具有良好的社会信誉，在最近三年内没有骗取中标（隐瞒或提供虚假资料等）行为和严重违法、违约记录</w:t>
      </w:r>
      <w:r>
        <w:rPr>
          <w:rFonts w:hint="default" w:ascii="方正仿宋_GB2312" w:hAnsi="方正仿宋_GB2312" w:cs="方正仿宋_GB2312"/>
          <w:color w:val="auto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（3）列入南方电网有限责任公司黑名单供应商，不得对其进行采购。</w:t>
      </w:r>
    </w:p>
    <w:p>
      <w:pPr>
        <w:numPr>
          <w:ilvl w:val="0"/>
          <w:numId w:val="0"/>
        </w:numPr>
        <w:ind w:firstLine="560" w:firstLineChars="200"/>
        <w:rPr>
          <w:rFonts w:hint="default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（4）具有要求投标人具备会计事务所执业证书，会计师事务所所需要具备证券期货资质证书。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（5）人员需熟悉鉴证业务、严格遵守公司的保密要求。</w:t>
      </w:r>
    </w:p>
    <w:p>
      <w:pPr>
        <w:numPr>
          <w:ilvl w:val="0"/>
          <w:numId w:val="0"/>
        </w:numPr>
        <w:ind w:firstLine="643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、技术要求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（一）人员稳定性保证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1、由3人以上组成的专业团队提供审计服务，团队负责人需由注册会计师担任。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2、成交人应保证项目实施团队的主要人员稳定，未经采购人书面同意不得私自更换团队负责人。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（二）人员工作经验保证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1、成交人需根据项目具体要求，明确项目实施人员配备方案，并提供参与该项目人员的履历，采购人认为不合适的需及时更换项目参与人员。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2、进场服务的团队负责人需从事工作年限5年以上。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3、拟投入本项目的团队成员（含团队负责人）应具有中华人民共和国国籍。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（三）项目进度要求：</w:t>
      </w:r>
    </w:p>
    <w:p>
      <w:pPr>
        <w:numPr>
          <w:ilvl w:val="0"/>
          <w:numId w:val="0"/>
        </w:numPr>
        <w:ind w:firstLine="560" w:firstLineChars="200"/>
        <w:rPr>
          <w:rFonts w:hint="eastAsia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1、乙方在第一季度结束后90天内出具募投项目自有人员薪酬置换鉴证报告。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2、乙方在第二季度、三季度、四季度结束后的60天内出具募投项目自有人员薪酬置换鉴证报告。</w:t>
      </w:r>
    </w:p>
    <w:p>
      <w:pPr>
        <w:numPr>
          <w:ilvl w:val="0"/>
          <w:numId w:val="0"/>
        </w:numPr>
        <w:ind w:firstLine="560" w:firstLineChars="200"/>
        <w:rPr>
          <w:rFonts w:hint="default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（四）</w:t>
      </w:r>
      <w:r>
        <w:rPr>
          <w:rFonts w:hint="default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项目完成以后，成交人应保证提交给采购人的全部服务成果满足甲方的需求，没有侵犯任何第三方的合法权益，采购人不会因为使用成交人提交的任何成果而需要承担任何责任；若因此造成采购人的任何损失，均由成交人负责赔偿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（四）请各投标人根据上述情况草拟鉴证服务方案，进行综合评比。</w:t>
      </w:r>
    </w:p>
    <w:p>
      <w:pPr>
        <w:numPr>
          <w:ilvl w:val="0"/>
          <w:numId w:val="2"/>
        </w:numPr>
        <w:ind w:firstLine="643" w:firstLineChars="200"/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  <w:t>验收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（一）交付物:</w:t>
      </w:r>
      <w:r>
        <w:rPr>
          <w:rFonts w:hint="eastAsia" w:ascii="方正仿宋_GB2312" w:hAnsi="方正仿宋_GB2312" w:cs="方正仿宋_GB2312"/>
          <w:color w:val="auto"/>
          <w:sz w:val="28"/>
          <w:szCs w:val="28"/>
        </w:rPr>
        <w:t>2026年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第</w:t>
      </w:r>
      <w:r>
        <w:rPr>
          <w:rFonts w:hint="eastAsia" w:ascii="方正仿宋_GB2312" w:hAnsi="方正仿宋_GB2312" w:cs="方正仿宋_GB2312"/>
          <w:color w:val="auto"/>
          <w:sz w:val="28"/>
          <w:szCs w:val="28"/>
        </w:rPr>
        <w:t>一季度、二季度、三季度、四季度</w:t>
      </w: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南网数字募投项目自有人员薪酬置换鉴证报告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/>
          <w:lang w:val="en-US" w:eastAsia="zh-CN"/>
        </w:rPr>
      </w:pPr>
      <w:r>
        <w:rPr>
          <w:rFonts w:hint="eastAsia" w:ascii="方正仿宋_GB2312" w:hAnsi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二）交付标准：需符合中国证券监督管理委员会《上市公司监管指引第2号—上市公司募集资金管理和使用的监管要求（2022年修订）》（证监会公告［2022］15号）及《深圳证券交易所上市公司自律监管指引第2号——创业板上市公司规范运作（2023年12月修订）》（深证上〔2023〕1146号）的相关规定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</w:p>
    <w:sectPr>
      <w:headerReference r:id="rId5" w:type="default"/>
      <w:footerReference r:id="rId6" w:type="default"/>
      <w:type w:val="continuous"/>
      <w:pgSz w:w="11906" w:h="16838"/>
      <w:pgMar w:top="1440" w:right="1803" w:bottom="1440" w:left="1803" w:header="397" w:footer="851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097" o:spid="_x0000_s4097" o:spt="75" type="#_x0000_t75" style="position:absolute;left:0pt;margin-left:-5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857D7B"/>
    <w:multiLevelType w:val="singleLevel"/>
    <w:tmpl w:val="31857D7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F060FA"/>
    <w:multiLevelType w:val="singleLevel"/>
    <w:tmpl w:val="73F060F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1D7C45"/>
    <w:rsid w:val="226E11DC"/>
    <w:rsid w:val="22AB77C8"/>
    <w:rsid w:val="2AF638D6"/>
    <w:rsid w:val="2FB361B8"/>
    <w:rsid w:val="30304AFC"/>
    <w:rsid w:val="33A5473F"/>
    <w:rsid w:val="34006B60"/>
    <w:rsid w:val="3450315F"/>
    <w:rsid w:val="369738BC"/>
    <w:rsid w:val="3FA37BFB"/>
    <w:rsid w:val="3FD4327A"/>
    <w:rsid w:val="493A281C"/>
    <w:rsid w:val="4AFF4907"/>
    <w:rsid w:val="53383B95"/>
    <w:rsid w:val="547B3652"/>
    <w:rsid w:val="5D665DA9"/>
    <w:rsid w:val="68B63079"/>
    <w:rsid w:val="71051A66"/>
    <w:rsid w:val="7AFC60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方正仿宋_GB2312" w:cs="Times New Roman"/>
      <w:sz w:val="3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Plain Text"/>
    <w:basedOn w:val="1"/>
    <w:qFormat/>
    <w:uiPriority w:val="0"/>
    <w:pPr>
      <w:widowControl/>
      <w:overflowPunct w:val="0"/>
      <w:autoSpaceDE w:val="0"/>
      <w:autoSpaceDN w:val="0"/>
      <w:spacing w:line="360" w:lineRule="atLeast"/>
    </w:pPr>
    <w:rPr>
      <w:rFonts w:eastAsia="宋体"/>
      <w:sz w:val="21"/>
    </w:rPr>
  </w:style>
  <w:style w:type="paragraph" w:styleId="5">
    <w:name w:val="foot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="Calibri" w:hAnsi="Calibri" w:eastAsia="宋体" w:cs="Times New Roman"/>
      <w:kern w:val="0"/>
      <w:sz w:val="22"/>
    </w:rPr>
  </w:style>
  <w:style w:type="paragraph" w:styleId="6">
    <w:name w:val="head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="Calibri" w:hAnsi="Calibri" w:eastAsia="宋体" w:cs="Times New Roman"/>
      <w:kern w:val="0"/>
      <w:sz w:val="22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0">
    <w:name w:val="标题 11"/>
    <w:basedOn w:val="1"/>
    <w:next w:val="1"/>
    <w:qFormat/>
    <w:uiPriority w:val="0"/>
    <w:pPr>
      <w:spacing w:line="360" w:lineRule="auto"/>
      <w:jc w:val="left"/>
      <w:outlineLvl w:val="0"/>
    </w:pPr>
    <w:rPr>
      <w:rFonts w:ascii="Arial" w:eastAsia="黑体"/>
      <w:kern w:val="44"/>
      <w:sz w:val="28"/>
    </w:rPr>
  </w:style>
  <w:style w:type="paragraph" w:customStyle="1" w:styleId="11">
    <w:name w:val="标题 21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customStyle="1" w:styleId="12">
    <w:name w:val="标题 31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en-AU"/>
    </w:rPr>
  </w:style>
  <w:style w:type="character" w:customStyle="1" w:styleId="13">
    <w:name w:val="默认段落字体1"/>
    <w:semiHidden/>
    <w:qFormat/>
    <w:uiPriority w:val="0"/>
  </w:style>
  <w:style w:type="table" w:customStyle="1" w:styleId="14">
    <w:name w:val="普通表格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正文首行缩进 21"/>
    <w:basedOn w:val="16"/>
    <w:qFormat/>
    <w:uiPriority w:val="0"/>
    <w:pPr>
      <w:ind w:left="420" w:firstLine="420" w:firstLineChars="200"/>
    </w:pPr>
  </w:style>
  <w:style w:type="paragraph" w:customStyle="1" w:styleId="16">
    <w:name w:val="正文文本缩进1"/>
    <w:basedOn w:val="1"/>
    <w:qFormat/>
    <w:uiPriority w:val="0"/>
    <w:pPr>
      <w:spacing w:after="120" w:afterLines="0" w:afterAutospacing="0"/>
      <w:ind w:left="420" w:leftChars="200"/>
    </w:pPr>
  </w:style>
  <w:style w:type="paragraph" w:customStyle="1" w:styleId="17">
    <w:name w:val="正文文本1"/>
    <w:basedOn w:val="1"/>
    <w:next w:val="1"/>
    <w:qFormat/>
    <w:uiPriority w:val="0"/>
    <w:pPr>
      <w:spacing w:before="34"/>
      <w:ind w:left="120"/>
      <w:jc w:val="both"/>
    </w:pPr>
    <w:rPr>
      <w:rFonts w:ascii="方正仿宋_GB2312" w:hAnsi="方正仿宋_GB2312" w:eastAsia="方正仿宋_GB2312" w:cs="方正仿宋_GB2312"/>
      <w:lang w:val="zh-CN" w:bidi="zh-CN"/>
    </w:rPr>
  </w:style>
  <w:style w:type="paragraph" w:customStyle="1" w:styleId="18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9">
    <w:name w:val="页脚1"/>
    <w:basedOn w:val="1"/>
    <w:qFormat/>
    <w:uiPriority w:val="0"/>
    <w:pPr>
      <w:tabs>
        <w:tab w:val="center" w:pos="4153"/>
        <w:tab w:val="right" w:pos="8306"/>
      </w:tabs>
      <w:spacing w:line="240" w:lineRule="atLeast"/>
      <w:jc w:val="left"/>
    </w:pPr>
    <w:rPr>
      <w:sz w:val="18"/>
    </w:rPr>
  </w:style>
  <w:style w:type="paragraph" w:customStyle="1" w:styleId="20">
    <w:name w:val="页眉1"/>
    <w:basedOn w:val="1"/>
    <w:link w:val="21"/>
    <w:qFormat/>
    <w:uiPriority w:val="0"/>
    <w:pPr>
      <w:tabs>
        <w:tab w:val="center" w:pos="4153"/>
        <w:tab w:val="right" w:pos="8306"/>
      </w:tabs>
      <w:spacing w:line="240" w:lineRule="atLeast"/>
    </w:pPr>
    <w:rPr>
      <w:sz w:val="18"/>
    </w:rPr>
  </w:style>
  <w:style w:type="character" w:customStyle="1" w:styleId="21">
    <w:name w:val="页眉 Char"/>
    <w:link w:val="20"/>
    <w:semiHidden/>
    <w:qFormat/>
    <w:uiPriority w:val="0"/>
    <w:rPr>
      <w:rFonts w:eastAsia="方正仿宋_GB2312"/>
      <w:sz w:val="18"/>
      <w:lang w:val="en-US" w:eastAsia="zh-CN" w:bidi="ar-SA"/>
    </w:rPr>
  </w:style>
  <w:style w:type="paragraph" w:customStyle="1" w:styleId="22">
    <w:name w:val="目录 11"/>
    <w:basedOn w:val="1"/>
    <w:next w:val="1"/>
    <w:semiHidden/>
    <w:qFormat/>
    <w:uiPriority w:val="0"/>
    <w:pPr>
      <w:tabs>
        <w:tab w:val="left" w:pos="560"/>
        <w:tab w:val="right" w:leader="dot" w:pos="8296"/>
      </w:tabs>
      <w:adjustRightInd/>
      <w:snapToGrid w:val="0"/>
      <w:spacing w:before="60" w:after="60" w:line="240" w:lineRule="auto"/>
      <w:jc w:val="left"/>
      <w:textAlignment w:val="auto"/>
    </w:pPr>
    <w:rPr>
      <w:rFonts w:eastAsia="宋体"/>
      <w:b/>
      <w:caps/>
      <w:kern w:val="2"/>
      <w:sz w:val="28"/>
    </w:rPr>
  </w:style>
  <w:style w:type="paragraph" w:customStyle="1" w:styleId="23">
    <w:name w:val="索引标题1"/>
    <w:basedOn w:val="1"/>
    <w:next w:val="24"/>
    <w:semiHidden/>
    <w:qFormat/>
    <w:uiPriority w:val="0"/>
    <w:pPr>
      <w:adjustRightInd/>
      <w:snapToGrid w:val="0"/>
      <w:spacing w:line="360" w:lineRule="auto"/>
      <w:textAlignment w:val="auto"/>
    </w:pPr>
    <w:rPr>
      <w:rFonts w:eastAsia="宋体"/>
      <w:kern w:val="2"/>
      <w:sz w:val="28"/>
    </w:rPr>
  </w:style>
  <w:style w:type="paragraph" w:customStyle="1" w:styleId="24">
    <w:name w:val="索引 11"/>
    <w:basedOn w:val="1"/>
    <w:next w:val="1"/>
    <w:semiHidden/>
    <w:qFormat/>
    <w:uiPriority w:val="0"/>
  </w:style>
  <w:style w:type="paragraph" w:customStyle="1" w:styleId="25">
    <w:name w:val="普通(网站)1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6">
    <w:name w:val="标题1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customStyle="1" w:styleId="27">
    <w:name w:val="正文首行缩进1"/>
    <w:basedOn w:val="17"/>
    <w:next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table" w:customStyle="1" w:styleId="28">
    <w:name w:val="网格型1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9">
    <w:name w:val="要点1"/>
    <w:basedOn w:val="13"/>
    <w:qFormat/>
    <w:uiPriority w:val="0"/>
    <w:rPr>
      <w:b/>
    </w:rPr>
  </w:style>
  <w:style w:type="character" w:customStyle="1" w:styleId="30">
    <w:name w:val="页码1"/>
    <w:basedOn w:val="13"/>
    <w:qFormat/>
    <w:uiPriority w:val="0"/>
  </w:style>
  <w:style w:type="paragraph" w:customStyle="1" w:styleId="31">
    <w:name w:val=" Char"/>
    <w:basedOn w:val="1"/>
    <w:qFormat/>
    <w:uiPriority w:val="0"/>
    <w:pPr>
      <w:adjustRightInd/>
      <w:spacing w:line="360" w:lineRule="auto"/>
      <w:textAlignment w:val="auto"/>
    </w:pPr>
    <w:rPr>
      <w:rFonts w:ascii="Tahoma" w:hAnsi="Tahoma" w:eastAsia="宋体"/>
      <w:kern w:val="2"/>
      <w:sz w:val="24"/>
    </w:rPr>
  </w:style>
  <w:style w:type="paragraph" w:customStyle="1" w:styleId="32">
    <w:name w:val="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1087</Words>
  <Characters>1146</Characters>
  <Lines>6</Lines>
  <Paragraphs>1</Paragraphs>
  <TotalTime>178</TotalTime>
  <ScaleCrop>false</ScaleCrop>
  <LinksUpToDate>false</LinksUpToDate>
  <CharactersWithSpaces>1150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2020-12-26T00:27:00Z</dcterms:created>
  <dc:creator>User</dc:creator>
  <cp:lastModifiedBy>xujp</cp:lastModifiedBy>
  <cp:lastPrinted>2026-05-25T07:18:03Z</cp:lastPrinted>
  <dcterms:modified xsi:type="dcterms:W3CDTF">2026-05-25T07:22:40Z</dcterms:modified>
  <dc:title>深圳市鹏能投资控股有限公司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0DCBE4913FFD4E09B75BAD73684ADCCD</vt:lpwstr>
  </property>
  <property fmtid="{D5CDD505-2E9C-101B-9397-08002B2CF9AE}" pid="4" name="KSOTemplateDocerSaveRecord">
    <vt:lpwstr>eyJoZGlkIjoiNzYzYzRiZDAzZjc4MDJlYmI4MmU4ZjBhM2NmM2U4MDkiLCJ1c2VySWQiOiIxMDU0MTQyOSJ9</vt:lpwstr>
  </property>
</Properties>
</file>