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585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5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52"/>
          <w:lang w:val="en-US" w:eastAsia="zh-CN"/>
        </w:rPr>
        <w:t>贵州电力建设监理咨询有限责任公司2026年贵州省“创客中国”大赛咨询服务项目</w:t>
      </w:r>
    </w:p>
    <w:p w14:paraId="4E58A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5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52"/>
          <w:lang w:val="en-US" w:eastAsia="zh-CN"/>
        </w:rPr>
        <w:t>技术规范书</w:t>
      </w:r>
    </w:p>
    <w:p w14:paraId="487B7D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一、项目概述</w:t>
      </w:r>
    </w:p>
    <w:p w14:paraId="697933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本项目为贵州省“创客中国”大赛咨询服务采购。成交供应商需在赛事期间，派遣专业团队在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采购人公司所在地进行驻点办公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，全程协助采购人完成参赛项目的挖掘、商业计划书撰写、路演辅导及大赛全流程跟进，确保参赛材料专业、规范，提升参赛竞争力。</w:t>
      </w:r>
    </w:p>
    <w:p w14:paraId="4DCD5F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二、供应商资质要求</w:t>
      </w:r>
    </w:p>
    <w:p w14:paraId="656AB9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主体资格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：供应商须为中华人民共和国境内注册合法运作的法人或其他组织，具有独立承担民事责任的能力和履行合同的能力。营业执照范围须包含企业管理咨询或信息技术咨询。</w:t>
      </w:r>
    </w:p>
    <w:p w14:paraId="0E1D73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业绩要求：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供应商在近三年内具有专精特新服务业绩及“创客中国”大赛参赛企业咨询服务业绩（须提供合同证明材料）。</w:t>
      </w:r>
    </w:p>
    <w:p w14:paraId="129C57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团队要求：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供应商须为本项目组建专项服务团队，人数不少于3人。其中：项目负责人须具备中级或以上职称；团队中至少1人持有创业孵化人员资质或技术经理人资质。</w:t>
      </w:r>
    </w:p>
    <w:p w14:paraId="4D6DEB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三、驻点办公要求（核心要求）</w:t>
      </w:r>
    </w:p>
    <w:p w14:paraId="0477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驻点形式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：在大赛报名截止前10天至大赛全部结束期间，供应商须派遣至少1-2名团队核心成员，在采购人公司进行驻点办公。</w:t>
      </w:r>
    </w:p>
    <w:p w14:paraId="3AE340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驻点职责：</w:t>
      </w:r>
    </w:p>
    <w:p w14:paraId="7B9535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（1）与采购人项目负责人实时沟通，快速响应需求；</w:t>
      </w:r>
    </w:p>
    <w:p w14:paraId="6E7A31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（2）现场采集、整理企业基础信息与项目数据；</w:t>
      </w:r>
    </w:p>
    <w:p w14:paraId="026DDA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（3）协助采购人完成参赛材料的修改、打印、盖章、扫描及系统上传；</w:t>
      </w:r>
    </w:p>
    <w:p w14:paraId="7E9D06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（4）针对路演PPT及解说稿进行现场演练与即时优化。</w:t>
      </w:r>
    </w:p>
    <w:p w14:paraId="79E00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办公条件：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采购人提供办公席位、网络、电脑、软件、打印耗材及其他办公设备。</w:t>
      </w:r>
    </w:p>
    <w:p w14:paraId="0EFA9B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四、服务内容及要求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295"/>
        <w:gridCol w:w="5337"/>
      </w:tblGrid>
      <w:tr w14:paraId="63C0C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0" w:type="dxa"/>
            <w:shd w:val="clear" w:color="auto" w:fill="DBE3F4" w:themeFill="accent1" w:themeFillTint="32"/>
            <w:vAlign w:val="center"/>
          </w:tcPr>
          <w:p w14:paraId="7D93B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2295" w:type="dxa"/>
            <w:shd w:val="clear" w:color="auto" w:fill="DBE3F4" w:themeFill="accent1" w:themeFillTint="32"/>
            <w:vAlign w:val="center"/>
          </w:tcPr>
          <w:p w14:paraId="210C9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服务项</w:t>
            </w:r>
          </w:p>
        </w:tc>
        <w:tc>
          <w:tcPr>
            <w:tcW w:w="5337" w:type="dxa"/>
            <w:shd w:val="clear" w:color="auto" w:fill="DBE3F4" w:themeFill="accent1" w:themeFillTint="32"/>
            <w:vAlign w:val="center"/>
          </w:tcPr>
          <w:p w14:paraId="13B03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服务内容要求</w:t>
            </w:r>
          </w:p>
        </w:tc>
      </w:tr>
      <w:tr w14:paraId="5628A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0" w:type="dxa"/>
            <w:vAlign w:val="center"/>
          </w:tcPr>
          <w:p w14:paraId="090CD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2295" w:type="dxa"/>
            <w:vAlign w:val="center"/>
          </w:tcPr>
          <w:p w14:paraId="11E86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大赛流程跟进</w:t>
            </w:r>
          </w:p>
        </w:tc>
        <w:tc>
          <w:tcPr>
            <w:tcW w:w="5337" w:type="dxa"/>
            <w:vAlign w:val="center"/>
          </w:tcPr>
          <w:p w14:paraId="14E51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全程跟进大赛官方通知，协助采购人及时完成参赛报名及各类材料提报。</w:t>
            </w:r>
          </w:p>
        </w:tc>
      </w:tr>
      <w:tr w14:paraId="55F48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0" w:type="dxa"/>
            <w:vAlign w:val="center"/>
          </w:tcPr>
          <w:p w14:paraId="51753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2295" w:type="dxa"/>
            <w:vAlign w:val="center"/>
          </w:tcPr>
          <w:p w14:paraId="7D7EE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项目挖掘与梳理</w:t>
            </w:r>
          </w:p>
        </w:tc>
        <w:tc>
          <w:tcPr>
            <w:tcW w:w="5337" w:type="dxa"/>
            <w:vAlign w:val="center"/>
          </w:tcPr>
          <w:p w14:paraId="6414D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现场采集企业基础信息（含企业信息、项目信息及服务业绩），挖掘并确定参赛项目名称。</w:t>
            </w:r>
          </w:p>
        </w:tc>
      </w:tr>
      <w:tr w14:paraId="4B4B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0" w:type="dxa"/>
            <w:vAlign w:val="center"/>
          </w:tcPr>
          <w:p w14:paraId="44609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2295" w:type="dxa"/>
            <w:vAlign w:val="center"/>
          </w:tcPr>
          <w:p w14:paraId="326C3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商业计划书撰写</w:t>
            </w:r>
          </w:p>
        </w:tc>
        <w:tc>
          <w:tcPr>
            <w:tcW w:w="5337" w:type="dxa"/>
            <w:vAlign w:val="center"/>
          </w:tcPr>
          <w:p w14:paraId="3F1D4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根据企业数据及发展规划，撰写并持续完善参赛用商业计划书，确保逻辑清晰、竞争力突出。</w:t>
            </w:r>
          </w:p>
        </w:tc>
      </w:tr>
      <w:tr w14:paraId="4D92E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0" w:type="dxa"/>
            <w:vAlign w:val="center"/>
          </w:tcPr>
          <w:p w14:paraId="0D177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2295" w:type="dxa"/>
            <w:vAlign w:val="center"/>
          </w:tcPr>
          <w:p w14:paraId="12D4B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路演PPT编制</w:t>
            </w:r>
          </w:p>
        </w:tc>
        <w:tc>
          <w:tcPr>
            <w:tcW w:w="5337" w:type="dxa"/>
            <w:vAlign w:val="center"/>
          </w:tcPr>
          <w:p w14:paraId="1A5FC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编制高质量路演PPT，排版专业、内容精炼、视觉美观，适配大赛评审要求。</w:t>
            </w:r>
          </w:p>
        </w:tc>
      </w:tr>
      <w:tr w14:paraId="2C4FE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0" w:type="dxa"/>
            <w:vAlign w:val="center"/>
          </w:tcPr>
          <w:p w14:paraId="23862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2295" w:type="dxa"/>
            <w:vAlign w:val="center"/>
          </w:tcPr>
          <w:p w14:paraId="5FC68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路演指导</w:t>
            </w:r>
          </w:p>
        </w:tc>
        <w:tc>
          <w:tcPr>
            <w:tcW w:w="5337" w:type="dxa"/>
            <w:vAlign w:val="center"/>
          </w:tcPr>
          <w:p w14:paraId="5A901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撰写路演解说稿，针对常见路演问题提供答辩指导，并依托驻点办公开展模拟演练。</w:t>
            </w:r>
          </w:p>
        </w:tc>
      </w:tr>
    </w:tbl>
    <w:p w14:paraId="251B99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五、服务期限与付款方式</w:t>
      </w:r>
    </w:p>
    <w:p w14:paraId="01E4D6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1、服务期限：自合同签订之日起至2026年“创客中国”贵州省赛区比赛全部结束后5个工作日止。</w:t>
      </w:r>
    </w:p>
    <w:p w14:paraId="132F21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2、付款方式：</w:t>
      </w:r>
    </w:p>
    <w:p w14:paraId="7A7EA4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（1）首付款：合同签订后30个工作日内，支付50%合同价款；</w:t>
      </w:r>
    </w:p>
    <w:p w14:paraId="4AE131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（2）尾款：大赛全部结束后30个工作日内，按参赛结果支付：进入50强（或成绩排名前50）：支付合同价款剩余50%；进入100强但未进入50强：支付合同价款25%；未进入100强：无需支付尾款。</w:t>
      </w:r>
    </w:p>
    <w:p w14:paraId="57F358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六、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特别说明</w:t>
      </w:r>
    </w:p>
    <w:p w14:paraId="170830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1、本项目最高预算价为人民币4.9万元。</w:t>
      </w:r>
    </w:p>
    <w:p w14:paraId="333319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2、报价低于预算价下浮超过15%的，供应商须随报价文件附详细的成本分析报告。</w:t>
      </w:r>
    </w:p>
    <w:p w14:paraId="2E24B7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3、请按照《贵州电力建设监理咨询有限责任公司2026年贵州省“创客中国”大赛咨询服务项目报价单》所要求格式进行报价并加盖公司公章。</w:t>
      </w:r>
    </w:p>
    <w:p w14:paraId="04AEB9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</w:p>
    <w:p w14:paraId="3E9A2A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</w:p>
    <w:p w14:paraId="763DAC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</w:p>
    <w:p w14:paraId="616C0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</w:p>
    <w:p w14:paraId="6F6E2B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C8924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5A9773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9CEAD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D4AA0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591BA7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015DE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380FA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5D176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04792D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29E77F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2520A6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贵州电力建设监理咨询有限责任公司2026年贵州省“创客中国”大赛</w:t>
      </w:r>
    </w:p>
    <w:p w14:paraId="30FAD0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咨询服务项目报价单</w:t>
      </w:r>
    </w:p>
    <w:p w14:paraId="679532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/>
          <w:bCs/>
          <w:sz w:val="44"/>
          <w:szCs w:val="44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8"/>
        <w:gridCol w:w="11456"/>
      </w:tblGrid>
      <w:tr w14:paraId="49BC3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shd w:val="clear" w:color="auto" w:fill="DBE3F4" w:themeFill="accent1" w:themeFillTint="32"/>
            <w:vAlign w:val="center"/>
          </w:tcPr>
          <w:p w14:paraId="1FCA3F48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项目</w:t>
            </w:r>
          </w:p>
        </w:tc>
        <w:tc>
          <w:tcPr>
            <w:tcW w:w="11456" w:type="dxa"/>
            <w:shd w:val="clear" w:color="auto" w:fill="DBE3F4" w:themeFill="accent1" w:themeFillTint="32"/>
            <w:vAlign w:val="center"/>
          </w:tcPr>
          <w:p w14:paraId="4548C34D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内容</w:t>
            </w:r>
          </w:p>
        </w:tc>
      </w:tr>
      <w:tr w14:paraId="210FC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vAlign w:val="center"/>
          </w:tcPr>
          <w:p w14:paraId="1C4FD815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报价方式</w:t>
            </w:r>
          </w:p>
        </w:tc>
        <w:tc>
          <w:tcPr>
            <w:tcW w:w="11456" w:type="dxa"/>
            <w:vAlign w:val="center"/>
          </w:tcPr>
          <w:p w14:paraId="38DB9E71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总价报价</w:t>
            </w:r>
          </w:p>
        </w:tc>
      </w:tr>
      <w:tr w14:paraId="3BD26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vAlign w:val="center"/>
          </w:tcPr>
          <w:p w14:paraId="39A58B7B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报价金额（含税）</w:t>
            </w:r>
          </w:p>
        </w:tc>
        <w:tc>
          <w:tcPr>
            <w:tcW w:w="11456" w:type="dxa"/>
            <w:vAlign w:val="center"/>
          </w:tcPr>
          <w:p w14:paraId="69C3A768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人民币 ¥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元</w:t>
            </w:r>
          </w:p>
        </w:tc>
      </w:tr>
      <w:tr w14:paraId="29521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vAlign w:val="center"/>
          </w:tcPr>
          <w:p w14:paraId="4D030CDD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大写金额</w:t>
            </w:r>
          </w:p>
        </w:tc>
        <w:tc>
          <w:tcPr>
            <w:tcW w:w="11456" w:type="dxa"/>
            <w:vAlign w:val="center"/>
          </w:tcPr>
          <w:p w14:paraId="63757743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人民币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拾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元整</w:t>
            </w:r>
          </w:p>
        </w:tc>
      </w:tr>
      <w:tr w14:paraId="62E18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vAlign w:val="center"/>
          </w:tcPr>
          <w:p w14:paraId="0C789274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税率</w:t>
            </w:r>
          </w:p>
        </w:tc>
        <w:tc>
          <w:tcPr>
            <w:tcW w:w="11456" w:type="dxa"/>
            <w:vAlign w:val="center"/>
          </w:tcPr>
          <w:p w14:paraId="2317FD54">
            <w:pPr>
              <w:keepNext w:val="0"/>
              <w:keepLines w:val="0"/>
              <w:widowControl/>
              <w:suppressLineNumbers w:val="0"/>
              <w:spacing w:line="188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lang w:val="en-US" w:eastAsia="zh-CN" w:bidi="ar"/>
              </w:rPr>
              <w:t>%</w:t>
            </w:r>
          </w:p>
        </w:tc>
      </w:tr>
    </w:tbl>
    <w:p w14:paraId="5E8AFC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6F83F1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供应商名称（加盖公章）：</w:t>
      </w:r>
    </w:p>
    <w:p w14:paraId="402EEB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：</w:t>
      </w:r>
    </w:p>
    <w:p w14:paraId="67833A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联系电话：</w:t>
      </w:r>
    </w:p>
    <w:p w14:paraId="5900F8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报价日期：2026年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日</w:t>
      </w:r>
    </w:p>
    <w:p w14:paraId="38A65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egoe UI">
    <w:altName w:val="Noto Naskh Arabic"/>
    <w:panose1 w:val="020B0502040204020203"/>
    <w:charset w:val="00"/>
    <w:family w:val="auto"/>
    <w:pitch w:val="default"/>
    <w:sig w:usb0="00000000" w:usb1="00000000" w:usb2="00000009" w:usb3="00000000" w:csb0="200001FF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15AA4"/>
    <w:rsid w:val="005C4D2E"/>
    <w:rsid w:val="0A6251B2"/>
    <w:rsid w:val="0A951569"/>
    <w:rsid w:val="0CEF5421"/>
    <w:rsid w:val="0F5A5D56"/>
    <w:rsid w:val="13A80E31"/>
    <w:rsid w:val="1DE1641B"/>
    <w:rsid w:val="1ED33FB6"/>
    <w:rsid w:val="1FD9384E"/>
    <w:rsid w:val="20452BFE"/>
    <w:rsid w:val="21677697"/>
    <w:rsid w:val="25F07835"/>
    <w:rsid w:val="28C17575"/>
    <w:rsid w:val="2E092E20"/>
    <w:rsid w:val="2F8D01B1"/>
    <w:rsid w:val="30EE2ED1"/>
    <w:rsid w:val="31CC3212"/>
    <w:rsid w:val="35633E8E"/>
    <w:rsid w:val="39161A84"/>
    <w:rsid w:val="392C1112"/>
    <w:rsid w:val="3CE571D7"/>
    <w:rsid w:val="3DE418E4"/>
    <w:rsid w:val="40502771"/>
    <w:rsid w:val="468E6891"/>
    <w:rsid w:val="4729480B"/>
    <w:rsid w:val="47863A0C"/>
    <w:rsid w:val="48A5A074"/>
    <w:rsid w:val="496B4C67"/>
    <w:rsid w:val="4B4E4F40"/>
    <w:rsid w:val="4D651206"/>
    <w:rsid w:val="4E3E6DEE"/>
    <w:rsid w:val="522D3402"/>
    <w:rsid w:val="531D3476"/>
    <w:rsid w:val="54802CFF"/>
    <w:rsid w:val="55DC76B7"/>
    <w:rsid w:val="57B23C2F"/>
    <w:rsid w:val="57B6E040"/>
    <w:rsid w:val="58003366"/>
    <w:rsid w:val="58164938"/>
    <w:rsid w:val="5A8738CB"/>
    <w:rsid w:val="5B2617E5"/>
    <w:rsid w:val="5B325A1C"/>
    <w:rsid w:val="5C013209"/>
    <w:rsid w:val="5D9F2CDA"/>
    <w:rsid w:val="5E3B5CE1"/>
    <w:rsid w:val="5E53638E"/>
    <w:rsid w:val="5EF23196"/>
    <w:rsid w:val="63636B3B"/>
    <w:rsid w:val="64C51278"/>
    <w:rsid w:val="67BD6B7E"/>
    <w:rsid w:val="6A8C087F"/>
    <w:rsid w:val="6BA20565"/>
    <w:rsid w:val="6E3D33F0"/>
    <w:rsid w:val="738B5EE2"/>
    <w:rsid w:val="75F455F7"/>
    <w:rsid w:val="77BFF749"/>
    <w:rsid w:val="79EE8F62"/>
    <w:rsid w:val="7A566F50"/>
    <w:rsid w:val="7AC1208A"/>
    <w:rsid w:val="7C961E5E"/>
    <w:rsid w:val="7EA98F11"/>
    <w:rsid w:val="7EBF4B32"/>
    <w:rsid w:val="7FB14DC3"/>
    <w:rsid w:val="996B9DA0"/>
    <w:rsid w:val="FFEF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01"/>
    <w:basedOn w:val="6"/>
    <w:qFormat/>
    <w:uiPriority w:val="0"/>
    <w:rPr>
      <w:rFonts w:hint="eastAsia" w:ascii="宋体" w:hAnsi="宋体" w:eastAsia="宋体" w:cs="宋体"/>
      <w:b/>
      <w:bCs/>
      <w:color w:val="FF0000"/>
      <w:sz w:val="32"/>
      <w:szCs w:val="32"/>
      <w:u w:val="none"/>
    </w:rPr>
  </w:style>
  <w:style w:type="character" w:customStyle="1" w:styleId="8">
    <w:name w:val="font31"/>
    <w:basedOn w:val="6"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</w:rPr>
  </w:style>
  <w:style w:type="character" w:customStyle="1" w:styleId="9">
    <w:name w:val="font51"/>
    <w:basedOn w:val="6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10">
    <w:name w:val="font6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81"/>
    <w:basedOn w:val="6"/>
    <w:qFormat/>
    <w:uiPriority w:val="0"/>
    <w:rPr>
      <w:rFonts w:hint="eastAsia" w:ascii="宋体" w:hAnsi="宋体" w:eastAsia="宋体" w:cs="宋体"/>
      <w:color w:val="232425"/>
      <w:sz w:val="24"/>
      <w:szCs w:val="24"/>
      <w:u w:val="none"/>
    </w:rPr>
  </w:style>
  <w:style w:type="character" w:customStyle="1" w:styleId="12">
    <w:name w:val="font91"/>
    <w:basedOn w:val="6"/>
    <w:qFormat/>
    <w:uiPriority w:val="0"/>
    <w:rPr>
      <w:rFonts w:ascii="Segoe UI" w:hAnsi="Segoe UI" w:eastAsia="Segoe UI" w:cs="Segoe UI"/>
      <w:color w:val="232425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1030</Words>
  <Characters>1192</Characters>
  <Lines>0</Lines>
  <Paragraphs>0</Paragraphs>
  <TotalTime>3</TotalTime>
  <ScaleCrop>false</ScaleCrop>
  <LinksUpToDate>false</LinksUpToDate>
  <CharactersWithSpaces>1200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2026-03-11T22:30:00Z</dcterms:created>
  <dc:creator>冉蓉</dc:creator>
  <cp:lastModifiedBy>Ranrong</cp:lastModifiedBy>
  <dcterms:modified xsi:type="dcterms:W3CDTF">2026-05-27T14:58:11Z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KSOTemplateDocerSaveRecord">
    <vt:lpwstr>eyJoZGlkIjoiOTc3M2Y5NzIzMDFlZjAyY2Q4Njk5ODkyYjFjNzBiNTQiLCJ1c2VySWQiOiI2NzIwNDg3NzgifQ==</vt:lpwstr>
  </property>
  <property fmtid="{D5CDD505-2E9C-101B-9397-08002B2CF9AE}" pid="4" name="ICV">
    <vt:lpwstr>898CAE1D5C754C4AB15BF5760CC01371_12</vt:lpwstr>
  </property>
</Properties>
</file>