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E5C2E">
      <w:pPr>
        <w:spacing w:line="360" w:lineRule="auto"/>
        <w:jc w:val="center"/>
        <w:rPr>
          <w:rFonts w:ascii="Times New Roman" w:hAnsi="Times New Roman" w:eastAsia="宋体"/>
          <w:b/>
          <w:bCs/>
          <w:sz w:val="32"/>
          <w:szCs w:val="36"/>
        </w:rPr>
      </w:pPr>
      <w:bookmarkStart w:id="7" w:name="_GoBack"/>
      <w:bookmarkEnd w:id="7"/>
      <w:r>
        <w:rPr>
          <w:rFonts w:hint="eastAsia" w:ascii="Times New Roman" w:hAnsi="Times New Roman" w:eastAsia="宋体"/>
          <w:b/>
          <w:bCs/>
          <w:sz w:val="32"/>
          <w:szCs w:val="36"/>
          <w:u w:val="single"/>
        </w:rPr>
        <w:t>南方电网公司2026年第二批信息化项目</w:t>
      </w:r>
    </w:p>
    <w:p w14:paraId="6E9C27AB">
      <w:pPr>
        <w:spacing w:line="360" w:lineRule="auto"/>
        <w:jc w:val="center"/>
        <w:rPr>
          <w:rFonts w:ascii="Times New Roman" w:hAnsi="Times New Roman" w:eastAsia="宋体"/>
          <w:b/>
          <w:bCs/>
          <w:sz w:val="28"/>
          <w:szCs w:val="32"/>
        </w:rPr>
      </w:pPr>
      <w:r>
        <w:rPr>
          <w:rFonts w:hint="eastAsia" w:ascii="Times New Roman" w:hAnsi="Times New Roman" w:eastAsia="宋体"/>
          <w:b/>
          <w:bCs/>
          <w:sz w:val="28"/>
          <w:szCs w:val="32"/>
        </w:rPr>
        <w:t>（</w:t>
      </w:r>
      <w:bookmarkStart w:id="0" w:name="_Hlk229820939"/>
      <w:r>
        <w:rPr>
          <w:rFonts w:hint="eastAsia" w:ascii="Times New Roman" w:hAnsi="Times New Roman" w:eastAsia="宋体"/>
          <w:b/>
          <w:bCs/>
          <w:sz w:val="28"/>
          <w:szCs w:val="32"/>
        </w:rPr>
        <w:t>采购编号：CG0000022002294307</w:t>
      </w:r>
      <w:bookmarkEnd w:id="0"/>
      <w:r>
        <w:rPr>
          <w:rFonts w:hint="eastAsia" w:ascii="Times New Roman" w:hAnsi="Times New Roman" w:eastAsia="宋体"/>
          <w:b/>
          <w:bCs/>
          <w:sz w:val="28"/>
          <w:szCs w:val="32"/>
        </w:rPr>
        <w:t>）</w:t>
      </w:r>
    </w:p>
    <w:p w14:paraId="0CDF7661">
      <w:pPr>
        <w:spacing w:line="360" w:lineRule="auto"/>
        <w:jc w:val="center"/>
        <w:rPr>
          <w:rFonts w:hint="eastAsia" w:ascii="Times New Roman" w:hAnsi="Times New Roman" w:eastAsia="宋体"/>
          <w:b/>
          <w:bCs/>
          <w:sz w:val="28"/>
          <w:szCs w:val="32"/>
        </w:rPr>
      </w:pPr>
      <w:r>
        <w:rPr>
          <w:rFonts w:hint="eastAsia" w:ascii="Times New Roman" w:hAnsi="Times New Roman" w:eastAsia="宋体"/>
          <w:b/>
          <w:bCs/>
          <w:sz w:val="28"/>
          <w:szCs w:val="32"/>
        </w:rPr>
        <w:t>标的名称</w:t>
      </w:r>
      <w:bookmarkStart w:id="1" w:name="_Hlk230021068"/>
      <w:r>
        <w:rPr>
          <w:rFonts w:hint="eastAsia" w:ascii="Times New Roman" w:hAnsi="Times New Roman" w:eastAsia="宋体"/>
          <w:b/>
          <w:bCs/>
          <w:sz w:val="28"/>
          <w:szCs w:val="32"/>
          <w:lang w:eastAsia="zh-CN"/>
        </w:rPr>
        <w:t>：</w:t>
      </w:r>
      <w:r>
        <w:rPr>
          <w:rFonts w:hint="eastAsia" w:ascii="Times New Roman" w:hAnsi="Times New Roman" w:eastAsia="宋体"/>
          <w:b/>
          <w:bCs/>
          <w:sz w:val="28"/>
          <w:szCs w:val="32"/>
          <w:u w:val="single"/>
          <w:lang w:val="en-US" w:eastAsia="zh-CN"/>
        </w:rPr>
        <w:t xml:space="preserve">  </w:t>
      </w:r>
      <w:r>
        <w:rPr>
          <w:rFonts w:hint="eastAsia" w:ascii="Times New Roman" w:hAnsi="Times New Roman" w:eastAsia="宋体"/>
          <w:b/>
          <w:bCs/>
          <w:sz w:val="28"/>
          <w:szCs w:val="32"/>
          <w:u w:val="single"/>
        </w:rPr>
        <w:t>标的4</w:t>
      </w:r>
      <w:bookmarkEnd w:id="1"/>
      <w:r>
        <w:rPr>
          <w:rFonts w:hint="eastAsia" w:ascii="Times New Roman" w:hAnsi="Times New Roman" w:eastAsia="宋体"/>
          <w:b/>
          <w:bCs/>
          <w:sz w:val="28"/>
          <w:szCs w:val="32"/>
          <w:u w:val="single"/>
          <w:lang w:eastAsia="zh-CN"/>
        </w:rPr>
        <w:t>：</w:t>
      </w:r>
      <w:r>
        <w:rPr>
          <w:rFonts w:hint="eastAsia" w:ascii="Times New Roman" w:hAnsi="Times New Roman" w:eastAsia="宋体"/>
          <w:b/>
          <w:bCs/>
          <w:sz w:val="28"/>
          <w:szCs w:val="32"/>
          <w:u w:val="single"/>
        </w:rPr>
        <w:t xml:space="preserve">业务支撑类2026年第二批采购项目  </w:t>
      </w:r>
    </w:p>
    <w:p w14:paraId="2A246DD5">
      <w:pPr>
        <w:bidi w:val="0"/>
        <w:rPr>
          <w:rFonts w:hint="eastAsia"/>
        </w:rPr>
      </w:pPr>
    </w:p>
    <w:p w14:paraId="2FDA0D82">
      <w:pPr>
        <w:spacing w:line="360" w:lineRule="auto"/>
        <w:jc w:val="left"/>
        <w:rPr>
          <w:rFonts w:hint="eastAsia" w:ascii="Times New Roman" w:hAnsi="Times New Roman" w:eastAsia="宋体"/>
          <w:b/>
          <w:bCs/>
          <w:sz w:val="24"/>
          <w:szCs w:val="24"/>
        </w:rPr>
      </w:pPr>
      <w:r>
        <w:rPr>
          <w:rFonts w:hint="eastAsia" w:ascii="Times New Roman" w:hAnsi="Times New Roman" w:eastAsia="宋体"/>
          <w:b/>
          <w:bCs/>
          <w:sz w:val="24"/>
          <w:szCs w:val="24"/>
          <w:lang w:val="en-US" w:eastAsia="zh-CN"/>
        </w:rPr>
        <w:t>需澄清问题-</w:t>
      </w:r>
      <w:r>
        <w:rPr>
          <w:rFonts w:hint="eastAsia" w:ascii="Times New Roman" w:hAnsi="Times New Roman" w:eastAsia="宋体"/>
          <w:b/>
          <w:bCs/>
          <w:sz w:val="24"/>
          <w:szCs w:val="24"/>
        </w:rPr>
        <w:t>标包7：南方电网公司2026-2027年商用密码应用安全性评估框架采购项目</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126"/>
        <w:gridCol w:w="741"/>
        <w:gridCol w:w="588"/>
        <w:gridCol w:w="1167"/>
        <w:gridCol w:w="2234"/>
        <w:gridCol w:w="2234"/>
      </w:tblGrid>
      <w:tr w14:paraId="14CF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86" w:type="pct"/>
            <w:shd w:val="pct10" w:color="auto" w:fill="auto"/>
            <w:vAlign w:val="center"/>
          </w:tcPr>
          <w:p w14:paraId="3DE631E0">
            <w:pPr>
              <w:jc w:val="center"/>
              <w:rPr>
                <w:rFonts w:ascii="Times New Roman" w:hAnsi="Times New Roman" w:eastAsia="宋体"/>
                <w:b/>
                <w:bCs/>
                <w:szCs w:val="21"/>
              </w:rPr>
            </w:pPr>
            <w:r>
              <w:rPr>
                <w:rFonts w:hint="eastAsia" w:ascii="Times New Roman" w:hAnsi="Times New Roman" w:eastAsia="宋体"/>
                <w:b/>
                <w:bCs/>
                <w:szCs w:val="21"/>
              </w:rPr>
              <w:t>序号</w:t>
            </w:r>
          </w:p>
        </w:tc>
        <w:tc>
          <w:tcPr>
            <w:tcW w:w="589" w:type="pct"/>
            <w:shd w:val="pct10" w:color="auto" w:fill="auto"/>
            <w:vAlign w:val="center"/>
          </w:tcPr>
          <w:p w14:paraId="62F08E0F">
            <w:pPr>
              <w:jc w:val="center"/>
              <w:rPr>
                <w:rFonts w:ascii="Times New Roman" w:hAnsi="Times New Roman" w:eastAsia="宋体"/>
                <w:b/>
                <w:bCs/>
                <w:szCs w:val="21"/>
              </w:rPr>
            </w:pPr>
            <w:r>
              <w:rPr>
                <w:rFonts w:hint="eastAsia" w:ascii="Times New Roman" w:hAnsi="Times New Roman" w:eastAsia="宋体"/>
                <w:b/>
                <w:bCs/>
                <w:szCs w:val="21"/>
              </w:rPr>
              <w:t>标包/标段</w:t>
            </w:r>
          </w:p>
        </w:tc>
        <w:tc>
          <w:tcPr>
            <w:tcW w:w="323" w:type="pct"/>
            <w:shd w:val="pct10" w:color="auto" w:fill="auto"/>
            <w:vAlign w:val="center"/>
          </w:tcPr>
          <w:p w14:paraId="673DC801">
            <w:pPr>
              <w:jc w:val="center"/>
              <w:rPr>
                <w:rFonts w:ascii="Times New Roman" w:hAnsi="Times New Roman" w:eastAsia="宋体"/>
                <w:b/>
                <w:bCs/>
                <w:szCs w:val="21"/>
              </w:rPr>
            </w:pPr>
            <w:r>
              <w:rPr>
                <w:rFonts w:hint="eastAsia" w:ascii="Times New Roman" w:hAnsi="Times New Roman" w:eastAsia="宋体"/>
                <w:b/>
                <w:bCs/>
                <w:szCs w:val="21"/>
              </w:rPr>
              <w:t>条款号</w:t>
            </w:r>
          </w:p>
        </w:tc>
        <w:tc>
          <w:tcPr>
            <w:tcW w:w="407" w:type="pct"/>
            <w:shd w:val="pct10" w:color="auto" w:fill="auto"/>
            <w:vAlign w:val="center"/>
          </w:tcPr>
          <w:p w14:paraId="10648197">
            <w:pPr>
              <w:jc w:val="center"/>
              <w:rPr>
                <w:rFonts w:ascii="Times New Roman" w:hAnsi="Times New Roman" w:eastAsia="宋体"/>
                <w:b/>
                <w:bCs/>
                <w:szCs w:val="21"/>
              </w:rPr>
            </w:pPr>
            <w:r>
              <w:rPr>
                <w:rFonts w:hint="eastAsia" w:ascii="Times New Roman" w:hAnsi="Times New Roman" w:eastAsia="宋体"/>
                <w:b/>
                <w:bCs/>
                <w:szCs w:val="21"/>
              </w:rPr>
              <w:t>评分因素/详细评审项</w:t>
            </w:r>
          </w:p>
        </w:tc>
        <w:tc>
          <w:tcPr>
            <w:tcW w:w="747" w:type="pct"/>
            <w:shd w:val="pct10" w:color="auto" w:fill="auto"/>
            <w:vAlign w:val="center"/>
          </w:tcPr>
          <w:p w14:paraId="701BDC21">
            <w:pPr>
              <w:jc w:val="center"/>
              <w:rPr>
                <w:rFonts w:ascii="Times New Roman" w:hAnsi="Times New Roman" w:eastAsia="宋体"/>
                <w:b/>
                <w:bCs/>
                <w:szCs w:val="21"/>
              </w:rPr>
            </w:pPr>
            <w:r>
              <w:rPr>
                <w:rFonts w:hint="eastAsia" w:ascii="Times New Roman" w:hAnsi="Times New Roman" w:eastAsia="宋体"/>
                <w:b/>
                <w:bCs/>
                <w:szCs w:val="21"/>
              </w:rPr>
              <w:t>详细评审分项要素</w:t>
            </w:r>
          </w:p>
        </w:tc>
        <w:tc>
          <w:tcPr>
            <w:tcW w:w="1372" w:type="pct"/>
            <w:shd w:val="pct10" w:color="auto" w:fill="auto"/>
            <w:vAlign w:val="center"/>
          </w:tcPr>
          <w:p w14:paraId="28560B81">
            <w:pPr>
              <w:jc w:val="center"/>
              <w:rPr>
                <w:rFonts w:ascii="Times New Roman" w:hAnsi="Times New Roman" w:eastAsia="宋体"/>
                <w:b/>
                <w:bCs/>
                <w:szCs w:val="21"/>
              </w:rPr>
            </w:pPr>
            <w:r>
              <w:rPr>
                <w:rFonts w:hint="eastAsia" w:ascii="Times New Roman" w:hAnsi="Times New Roman" w:eastAsia="宋体"/>
                <w:b/>
                <w:bCs/>
                <w:szCs w:val="21"/>
                <w:lang w:val="en-US" w:eastAsia="zh-CN"/>
              </w:rPr>
              <w:t>澄清</w:t>
            </w:r>
            <w:r>
              <w:rPr>
                <w:rFonts w:hint="eastAsia" w:ascii="Times New Roman" w:hAnsi="Times New Roman" w:eastAsia="宋体"/>
                <w:b/>
                <w:bCs/>
                <w:szCs w:val="21"/>
              </w:rPr>
              <w:t>问题</w:t>
            </w:r>
          </w:p>
        </w:tc>
        <w:tc>
          <w:tcPr>
            <w:tcW w:w="1372" w:type="pct"/>
            <w:shd w:val="pct10" w:color="auto" w:fill="auto"/>
            <w:vAlign w:val="center"/>
          </w:tcPr>
          <w:p w14:paraId="71BE406C">
            <w:pPr>
              <w:jc w:val="center"/>
              <w:rPr>
                <w:rFonts w:hint="default" w:ascii="Times New Roman" w:hAnsi="Times New Roman" w:eastAsia="宋体"/>
                <w:b/>
                <w:bCs/>
                <w:szCs w:val="21"/>
                <w:lang w:val="en-US" w:eastAsia="zh-CN"/>
              </w:rPr>
            </w:pPr>
            <w:r>
              <w:rPr>
                <w:rFonts w:hint="eastAsia" w:ascii="Times New Roman" w:hAnsi="Times New Roman" w:eastAsia="宋体"/>
                <w:b/>
                <w:bCs/>
                <w:szCs w:val="21"/>
                <w:lang w:val="en-US" w:eastAsia="zh-CN"/>
              </w:rPr>
              <w:t>答复内容</w:t>
            </w:r>
          </w:p>
        </w:tc>
      </w:tr>
      <w:tr w14:paraId="279F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6542AB15">
            <w:pPr>
              <w:pStyle w:val="6"/>
              <w:numPr>
                <w:ilvl w:val="0"/>
                <w:numId w:val="1"/>
              </w:numPr>
              <w:jc w:val="center"/>
              <w:rPr>
                <w:rFonts w:ascii="Times New Roman" w:hAnsi="Times New Roman" w:eastAsia="宋体"/>
                <w:szCs w:val="21"/>
              </w:rPr>
            </w:pPr>
            <w:bookmarkStart w:id="2" w:name="_Hlk230024834"/>
          </w:p>
        </w:tc>
        <w:tc>
          <w:tcPr>
            <w:tcW w:w="589" w:type="pct"/>
            <w:vMerge w:val="restart"/>
            <w:vAlign w:val="center"/>
          </w:tcPr>
          <w:p w14:paraId="20981FC2">
            <w:pPr>
              <w:jc w:val="center"/>
              <w:rPr>
                <w:rFonts w:ascii="Times New Roman" w:hAnsi="Times New Roman" w:eastAsia="宋体"/>
                <w:szCs w:val="21"/>
              </w:rPr>
            </w:pPr>
            <w:r>
              <w:rPr>
                <w:rFonts w:hint="eastAsia" w:ascii="Times New Roman" w:hAnsi="Times New Roman" w:eastAsia="宋体"/>
                <w:szCs w:val="21"/>
              </w:rPr>
              <w:t>标包7：南方电网公司2026-2027年商用密码应用安全性评估框架采购项目</w:t>
            </w:r>
          </w:p>
        </w:tc>
        <w:tc>
          <w:tcPr>
            <w:tcW w:w="323" w:type="pct"/>
            <w:vMerge w:val="restart"/>
            <w:vAlign w:val="center"/>
          </w:tcPr>
          <w:p w14:paraId="3858B1AA">
            <w:pPr>
              <w:jc w:val="center"/>
              <w:rPr>
                <w:rFonts w:ascii="Times New Roman" w:hAnsi="Times New Roman" w:eastAsia="宋体"/>
                <w:szCs w:val="21"/>
              </w:rPr>
            </w:pPr>
            <w:r>
              <w:rPr>
                <w:rFonts w:hint="eastAsia" w:ascii="Times New Roman" w:hAnsi="Times New Roman" w:eastAsia="宋体"/>
                <w:szCs w:val="21"/>
              </w:rPr>
              <w:t>1（2）技术评分标准</w:t>
            </w:r>
          </w:p>
        </w:tc>
        <w:tc>
          <w:tcPr>
            <w:tcW w:w="407" w:type="pct"/>
            <w:vMerge w:val="restart"/>
            <w:vAlign w:val="center"/>
          </w:tcPr>
          <w:p w14:paraId="2F02C249">
            <w:pPr>
              <w:jc w:val="center"/>
              <w:rPr>
                <w:rFonts w:ascii="Times New Roman" w:hAnsi="Times New Roman" w:eastAsia="宋体"/>
                <w:szCs w:val="21"/>
              </w:rPr>
            </w:pPr>
            <w:bookmarkStart w:id="3" w:name="OLE_LINK46"/>
            <w:r>
              <w:rPr>
                <w:rFonts w:hint="eastAsia" w:ascii="Times New Roman" w:hAnsi="Times New Roman" w:eastAsia="宋体"/>
                <w:szCs w:val="21"/>
              </w:rPr>
              <w:t>测评能力/测评工具</w:t>
            </w:r>
            <w:bookmarkEnd w:id="3"/>
          </w:p>
        </w:tc>
        <w:tc>
          <w:tcPr>
            <w:tcW w:w="747" w:type="pct"/>
            <w:vAlign w:val="center"/>
          </w:tcPr>
          <w:p w14:paraId="53079A73">
            <w:pPr>
              <w:jc w:val="center"/>
              <w:rPr>
                <w:rFonts w:ascii="Times New Roman" w:hAnsi="Times New Roman" w:eastAsia="宋体"/>
                <w:szCs w:val="21"/>
              </w:rPr>
            </w:pPr>
            <w:r>
              <w:rPr>
                <w:rFonts w:hint="eastAsia" w:ascii="Times New Roman" w:hAnsi="Times New Roman" w:eastAsia="宋体"/>
                <w:szCs w:val="21"/>
              </w:rPr>
              <w:t>软件测试工具：</w:t>
            </w:r>
          </w:p>
          <w:p w14:paraId="32C60B51">
            <w:pPr>
              <w:jc w:val="center"/>
              <w:rPr>
                <w:rFonts w:ascii="Times New Roman" w:hAnsi="Times New Roman" w:eastAsia="宋体"/>
                <w:szCs w:val="21"/>
              </w:rPr>
            </w:pPr>
            <w:r>
              <w:rPr>
                <w:rFonts w:hint="eastAsia" w:ascii="Times New Roman" w:hAnsi="Times New Roman" w:eastAsia="宋体"/>
                <w:szCs w:val="21"/>
              </w:rPr>
              <w:t>（1）性能测试工具，如loadrunner等；（2分）</w:t>
            </w:r>
          </w:p>
        </w:tc>
        <w:tc>
          <w:tcPr>
            <w:tcW w:w="1372" w:type="pct"/>
            <w:vAlign w:val="center"/>
          </w:tcPr>
          <w:p w14:paraId="3BDB2C39">
            <w:pPr>
              <w:ind w:firstLine="420" w:firstLineChars="200"/>
              <w:rPr>
                <w:rFonts w:ascii="Times New Roman" w:hAnsi="Times New Roman" w:eastAsia="宋体"/>
                <w:szCs w:val="21"/>
              </w:rPr>
            </w:pPr>
            <w:r>
              <w:rPr>
                <w:rFonts w:hint="eastAsia" w:ascii="Times New Roman" w:hAnsi="Times New Roman" w:eastAsia="宋体"/>
                <w:szCs w:val="21"/>
              </w:rPr>
              <w:t>请问，具有“性能测试”相关功能的、但未在所列举工具清单中（如“JMeter、性能测试自研工具等”），是否也能算是满足评分要求的工具？</w:t>
            </w:r>
          </w:p>
        </w:tc>
        <w:tc>
          <w:tcPr>
            <w:tcW w:w="1372" w:type="pct"/>
            <w:vAlign w:val="center"/>
          </w:tcPr>
          <w:p w14:paraId="62DBF6AA">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本评审分项要素所列工具名称（如loadrunner）仅为示例，性能测试工具</w:t>
            </w:r>
            <w:r>
              <w:rPr>
                <w:rFonts w:hint="eastAsia" w:ascii="Times New Roman" w:hAnsi="Times New Roman" w:eastAsia="宋体"/>
                <w:szCs w:val="21"/>
                <w:lang w:val="en-US" w:eastAsia="zh-CN"/>
              </w:rPr>
              <w:t>须包含但不限于以下功能</w:t>
            </w:r>
            <w:r>
              <w:rPr>
                <w:rFonts w:hint="default" w:ascii="Times New Roman" w:hAnsi="Times New Roman" w:eastAsia="宋体"/>
                <w:szCs w:val="21"/>
                <w:lang w:val="en-US" w:eastAsia="zh-CN"/>
              </w:rPr>
              <w:t>：</w:t>
            </w:r>
          </w:p>
          <w:p w14:paraId="7DF232A8">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1、支持模拟多用户并发操作。</w:t>
            </w:r>
          </w:p>
          <w:p w14:paraId="20C08FA6">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2、支持Web、接口场景下的负载与压力测试，兼容 HTTP、HTTPS 等主流网络协议。</w:t>
            </w:r>
          </w:p>
          <w:p w14:paraId="4E3E05E7">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3、支持采集分析系统运行指标。</w:t>
            </w:r>
          </w:p>
          <w:p w14:paraId="543690E1">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供应商投标时所提供的工具须满足本评审分项要素相应类型工具（性能测试工具）</w:t>
            </w:r>
            <w:r>
              <w:rPr>
                <w:rFonts w:hint="eastAsia" w:ascii="Times New Roman" w:hAnsi="Times New Roman" w:eastAsia="宋体"/>
                <w:szCs w:val="21"/>
                <w:lang w:val="en-US" w:eastAsia="zh-CN"/>
              </w:rPr>
              <w:t>的功能要求</w:t>
            </w:r>
            <w:r>
              <w:rPr>
                <w:rFonts w:hint="default" w:ascii="Times New Roman" w:hAnsi="Times New Roman" w:eastAsia="宋体"/>
                <w:szCs w:val="21"/>
                <w:lang w:val="en-US" w:eastAsia="zh-CN"/>
              </w:rPr>
              <w:t>，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49B6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4E7D0F4B">
            <w:pPr>
              <w:pStyle w:val="6"/>
              <w:numPr>
                <w:ilvl w:val="0"/>
                <w:numId w:val="1"/>
              </w:numPr>
              <w:jc w:val="center"/>
              <w:rPr>
                <w:rFonts w:ascii="Times New Roman" w:hAnsi="Times New Roman" w:eastAsia="宋体"/>
                <w:szCs w:val="21"/>
              </w:rPr>
            </w:pPr>
          </w:p>
        </w:tc>
        <w:tc>
          <w:tcPr>
            <w:tcW w:w="589" w:type="pct"/>
            <w:vMerge w:val="continue"/>
            <w:vAlign w:val="center"/>
          </w:tcPr>
          <w:p w14:paraId="585114EB">
            <w:pPr>
              <w:jc w:val="center"/>
              <w:rPr>
                <w:rFonts w:ascii="Times New Roman" w:hAnsi="Times New Roman" w:eastAsia="宋体"/>
                <w:szCs w:val="21"/>
              </w:rPr>
            </w:pPr>
          </w:p>
        </w:tc>
        <w:tc>
          <w:tcPr>
            <w:tcW w:w="323" w:type="pct"/>
            <w:vMerge w:val="continue"/>
            <w:vAlign w:val="center"/>
          </w:tcPr>
          <w:p w14:paraId="5D05D0D3">
            <w:pPr>
              <w:jc w:val="center"/>
              <w:rPr>
                <w:rFonts w:ascii="Times New Roman" w:hAnsi="Times New Roman" w:eastAsia="宋体"/>
                <w:szCs w:val="21"/>
              </w:rPr>
            </w:pPr>
          </w:p>
        </w:tc>
        <w:tc>
          <w:tcPr>
            <w:tcW w:w="407" w:type="pct"/>
            <w:vMerge w:val="continue"/>
            <w:vAlign w:val="center"/>
          </w:tcPr>
          <w:p w14:paraId="263A64B0">
            <w:pPr>
              <w:jc w:val="center"/>
              <w:rPr>
                <w:rFonts w:ascii="Times New Roman" w:hAnsi="Times New Roman" w:eastAsia="宋体"/>
                <w:szCs w:val="21"/>
              </w:rPr>
            </w:pPr>
          </w:p>
        </w:tc>
        <w:tc>
          <w:tcPr>
            <w:tcW w:w="747" w:type="pct"/>
            <w:vAlign w:val="center"/>
          </w:tcPr>
          <w:p w14:paraId="7AA52176">
            <w:pPr>
              <w:jc w:val="center"/>
              <w:rPr>
                <w:rFonts w:ascii="Times New Roman" w:hAnsi="Times New Roman" w:eastAsia="宋体"/>
                <w:szCs w:val="21"/>
              </w:rPr>
            </w:pPr>
            <w:r>
              <w:rPr>
                <w:rFonts w:hint="eastAsia" w:ascii="Times New Roman" w:hAnsi="Times New Roman" w:eastAsia="宋体"/>
                <w:szCs w:val="21"/>
              </w:rPr>
              <w:t>软件测试工具：</w:t>
            </w:r>
          </w:p>
          <w:p w14:paraId="2FAD944C">
            <w:pPr>
              <w:jc w:val="center"/>
              <w:rPr>
                <w:rFonts w:ascii="Times New Roman" w:hAnsi="Times New Roman" w:eastAsia="宋体"/>
                <w:szCs w:val="21"/>
              </w:rPr>
            </w:pPr>
            <w:r>
              <w:rPr>
                <w:rFonts w:hint="eastAsia" w:ascii="Times New Roman" w:hAnsi="Times New Roman" w:eastAsia="宋体"/>
                <w:szCs w:val="21"/>
              </w:rPr>
              <w:t>（2）操作系统漏洞扫描工具，如Nessus等；（2分）</w:t>
            </w:r>
          </w:p>
        </w:tc>
        <w:tc>
          <w:tcPr>
            <w:tcW w:w="1372" w:type="pct"/>
            <w:vAlign w:val="center"/>
          </w:tcPr>
          <w:p w14:paraId="54E5BAB1">
            <w:pPr>
              <w:ind w:firstLine="420" w:firstLineChars="200"/>
              <w:rPr>
                <w:rFonts w:ascii="Times New Roman" w:hAnsi="Times New Roman" w:eastAsia="宋体"/>
                <w:szCs w:val="21"/>
              </w:rPr>
            </w:pPr>
            <w:r>
              <w:rPr>
                <w:rFonts w:hint="eastAsia" w:ascii="Times New Roman" w:hAnsi="Times New Roman" w:eastAsia="宋体"/>
                <w:szCs w:val="21"/>
              </w:rPr>
              <w:t>请问，具有“操作系统漏洞扫描”相关功能的、但未在所列举工具清单中（如“</w:t>
            </w:r>
            <w:bookmarkStart w:id="4" w:name="OLE_LINK17"/>
            <w:r>
              <w:rPr>
                <w:rFonts w:hint="eastAsia" w:ascii="Times New Roman" w:hAnsi="Times New Roman" w:eastAsia="宋体"/>
                <w:szCs w:val="21"/>
              </w:rPr>
              <w:t>RSAS、</w:t>
            </w:r>
            <w:bookmarkEnd w:id="4"/>
            <w:r>
              <w:rPr>
                <w:rFonts w:hint="eastAsia" w:ascii="Times New Roman" w:hAnsi="Times New Roman" w:eastAsia="宋体"/>
                <w:szCs w:val="21"/>
              </w:rPr>
              <w:t>TJCS-SCS1000、服务器安全检测自研工具等”），是否也能算是满足评分要求的工具？</w:t>
            </w:r>
          </w:p>
        </w:tc>
        <w:tc>
          <w:tcPr>
            <w:tcW w:w="1372" w:type="pct"/>
            <w:vAlign w:val="center"/>
          </w:tcPr>
          <w:p w14:paraId="7BB1CB26">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本评审分项要素所列工具名称（如Nessus）仅为示例，操作系统漏洞扫描工具</w:t>
            </w:r>
            <w:r>
              <w:rPr>
                <w:rFonts w:hint="eastAsia" w:ascii="Times New Roman" w:hAnsi="Times New Roman" w:eastAsia="宋体"/>
                <w:szCs w:val="21"/>
                <w:lang w:val="en-US" w:eastAsia="zh-CN"/>
              </w:rPr>
              <w:t>须包含但不限于以下功能</w:t>
            </w:r>
            <w:r>
              <w:rPr>
                <w:rFonts w:hint="default" w:ascii="Times New Roman" w:hAnsi="Times New Roman" w:eastAsia="宋体"/>
                <w:szCs w:val="21"/>
                <w:lang w:val="en-US" w:eastAsia="zh-CN"/>
              </w:rPr>
              <w:t>：</w:t>
            </w:r>
          </w:p>
          <w:p w14:paraId="7BFD2B17">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1、支持识别各类主流操作系统；</w:t>
            </w:r>
            <w:r>
              <w:rPr>
                <w:rFonts w:hint="default" w:ascii="Times New Roman" w:hAnsi="Times New Roman" w:eastAsia="宋体"/>
                <w:szCs w:val="21"/>
                <w:lang w:val="en-US" w:eastAsia="zh-CN"/>
              </w:rPr>
              <w:br w:type="textWrapping"/>
            </w:r>
            <w:r>
              <w:rPr>
                <w:rFonts w:hint="default" w:ascii="Times New Roman" w:hAnsi="Times New Roman" w:eastAsia="宋体"/>
                <w:szCs w:val="21"/>
                <w:lang w:val="en-US" w:eastAsia="zh-CN"/>
              </w:rPr>
              <w:t>2、支持对操作系统开展漏洞检测与安全扫描。</w:t>
            </w:r>
          </w:p>
          <w:p w14:paraId="7277198B">
            <w:pPr>
              <w:rPr>
                <w:rFonts w:hint="default" w:ascii="Times New Roman" w:hAnsi="Times New Roman" w:eastAsia="宋体"/>
                <w:szCs w:val="21"/>
                <w:lang w:val="en-US" w:eastAsia="zh-CN"/>
              </w:rPr>
            </w:pPr>
            <w:r>
              <w:rPr>
                <w:rFonts w:hint="default" w:ascii="Times New Roman" w:hAnsi="Times New Roman" w:eastAsia="宋体"/>
                <w:szCs w:val="21"/>
                <w:lang w:val="en-US" w:eastAsia="zh-CN"/>
              </w:rPr>
              <w:t>供应商投标时所提供的工具须满足本评审分项要素相应类型工具（操作系统漏洞扫描工具）</w:t>
            </w:r>
            <w:r>
              <w:rPr>
                <w:rFonts w:hint="eastAsia" w:ascii="Times New Roman" w:hAnsi="Times New Roman" w:eastAsia="宋体"/>
                <w:szCs w:val="21"/>
                <w:lang w:val="en-US" w:eastAsia="zh-CN"/>
              </w:rPr>
              <w:t>的功能要求</w:t>
            </w:r>
            <w:r>
              <w:rPr>
                <w:rFonts w:hint="default" w:ascii="Times New Roman" w:hAnsi="Times New Roman" w:eastAsia="宋体"/>
                <w:szCs w:val="21"/>
                <w:lang w:val="en-US" w:eastAsia="zh-CN"/>
              </w:rPr>
              <w:t>，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62AA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6D67E93A">
            <w:pPr>
              <w:pStyle w:val="6"/>
              <w:numPr>
                <w:ilvl w:val="0"/>
                <w:numId w:val="1"/>
              </w:numPr>
              <w:jc w:val="center"/>
              <w:rPr>
                <w:rFonts w:ascii="Times New Roman" w:hAnsi="Times New Roman" w:eastAsia="宋体"/>
                <w:szCs w:val="21"/>
              </w:rPr>
            </w:pPr>
          </w:p>
        </w:tc>
        <w:tc>
          <w:tcPr>
            <w:tcW w:w="589" w:type="pct"/>
            <w:vMerge w:val="continue"/>
            <w:vAlign w:val="center"/>
          </w:tcPr>
          <w:p w14:paraId="02EBD759">
            <w:pPr>
              <w:jc w:val="center"/>
              <w:rPr>
                <w:rFonts w:ascii="Times New Roman" w:hAnsi="Times New Roman" w:eastAsia="宋体"/>
                <w:szCs w:val="21"/>
              </w:rPr>
            </w:pPr>
          </w:p>
        </w:tc>
        <w:tc>
          <w:tcPr>
            <w:tcW w:w="323" w:type="pct"/>
            <w:vMerge w:val="continue"/>
            <w:vAlign w:val="center"/>
          </w:tcPr>
          <w:p w14:paraId="45D565C5">
            <w:pPr>
              <w:jc w:val="center"/>
              <w:rPr>
                <w:rFonts w:ascii="Times New Roman" w:hAnsi="Times New Roman" w:eastAsia="宋体"/>
                <w:szCs w:val="21"/>
              </w:rPr>
            </w:pPr>
          </w:p>
        </w:tc>
        <w:tc>
          <w:tcPr>
            <w:tcW w:w="407" w:type="pct"/>
            <w:vMerge w:val="continue"/>
            <w:vAlign w:val="center"/>
          </w:tcPr>
          <w:p w14:paraId="4F49B6A3">
            <w:pPr>
              <w:jc w:val="center"/>
              <w:rPr>
                <w:rFonts w:ascii="Times New Roman" w:hAnsi="Times New Roman" w:eastAsia="宋体"/>
                <w:szCs w:val="21"/>
              </w:rPr>
            </w:pPr>
          </w:p>
        </w:tc>
        <w:tc>
          <w:tcPr>
            <w:tcW w:w="747" w:type="pct"/>
            <w:vAlign w:val="center"/>
          </w:tcPr>
          <w:p w14:paraId="10DAF7AE">
            <w:pPr>
              <w:jc w:val="center"/>
              <w:rPr>
                <w:rFonts w:ascii="Times New Roman" w:hAnsi="Times New Roman" w:eastAsia="宋体"/>
                <w:szCs w:val="21"/>
              </w:rPr>
            </w:pPr>
            <w:bookmarkStart w:id="5" w:name="OLE_LINK47"/>
            <w:r>
              <w:rPr>
                <w:rFonts w:hint="eastAsia" w:ascii="Times New Roman" w:hAnsi="Times New Roman" w:eastAsia="宋体"/>
                <w:szCs w:val="21"/>
              </w:rPr>
              <w:t>软件测试工具：</w:t>
            </w:r>
          </w:p>
          <w:p w14:paraId="04104406">
            <w:pPr>
              <w:jc w:val="center"/>
              <w:rPr>
                <w:rFonts w:ascii="Times New Roman" w:hAnsi="Times New Roman" w:eastAsia="宋体"/>
                <w:szCs w:val="21"/>
              </w:rPr>
            </w:pPr>
            <w:r>
              <w:rPr>
                <w:rFonts w:hint="eastAsia" w:ascii="Times New Roman" w:hAnsi="Times New Roman" w:eastAsia="宋体"/>
                <w:szCs w:val="21"/>
              </w:rPr>
              <w:t>（3）Web应用安全扫描工具，如appscan等；（6分）</w:t>
            </w:r>
            <w:bookmarkEnd w:id="5"/>
          </w:p>
        </w:tc>
        <w:tc>
          <w:tcPr>
            <w:tcW w:w="1372" w:type="pct"/>
            <w:vAlign w:val="center"/>
          </w:tcPr>
          <w:p w14:paraId="51D6A02A">
            <w:pPr>
              <w:ind w:firstLine="420" w:firstLineChars="200"/>
              <w:rPr>
                <w:rFonts w:ascii="Times New Roman" w:hAnsi="Times New Roman" w:eastAsia="宋体"/>
                <w:szCs w:val="21"/>
              </w:rPr>
            </w:pPr>
            <w:r>
              <w:rPr>
                <w:rFonts w:hint="eastAsia" w:ascii="Times New Roman" w:hAnsi="Times New Roman" w:eastAsia="宋体"/>
                <w:szCs w:val="21"/>
              </w:rPr>
              <w:t>请问，具有“Web应用安全扫描”相关功能的、但未在所列举工具清单中（如“RSAS、AWVS、网络安全扫描自研工具等”），是否也能算是满足评分要求的工具？</w:t>
            </w:r>
          </w:p>
        </w:tc>
        <w:tc>
          <w:tcPr>
            <w:tcW w:w="1372" w:type="pct"/>
            <w:vAlign w:val="center"/>
          </w:tcPr>
          <w:p w14:paraId="52C4127A">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本评审分项要素所列工具名称（如appscan）仅为示例，Web应用安全扫描工具须包含但不限于以下功能：</w:t>
            </w:r>
          </w:p>
          <w:p w14:paraId="0AF9C6B3">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1、支持识别 Web 应用系统及各类中间件；</w:t>
            </w:r>
            <w:r>
              <w:rPr>
                <w:rFonts w:hint="eastAsia" w:ascii="Times New Roman" w:hAnsi="Times New Roman" w:eastAsia="宋体" w:cstheme="minorBidi"/>
                <w:kern w:val="2"/>
                <w:sz w:val="21"/>
                <w:szCs w:val="21"/>
                <w:highlight w:val="none"/>
                <w:lang w:val="en-US" w:eastAsia="zh-CN" w:bidi="ar-SA"/>
                <w14:ligatures w14:val="standardContextual"/>
              </w:rPr>
              <w:br w:type="textWrapping"/>
            </w:r>
            <w:r>
              <w:rPr>
                <w:rFonts w:hint="eastAsia" w:ascii="Times New Roman" w:hAnsi="Times New Roman" w:eastAsia="宋体" w:cstheme="minorBidi"/>
                <w:kern w:val="2"/>
                <w:sz w:val="21"/>
                <w:szCs w:val="21"/>
                <w:highlight w:val="none"/>
                <w:lang w:val="en-US" w:eastAsia="zh-CN" w:bidi="ar-SA"/>
                <w14:ligatures w14:val="standardContextual"/>
              </w:rPr>
              <w:t>2、支持对Web 应用系统及中间件开展漏洞检测与安全扫描。</w:t>
            </w:r>
          </w:p>
          <w:p w14:paraId="5CF346F7">
            <w:pPr>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Web应用安全扫描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6C2A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2AC3A9F3">
            <w:pPr>
              <w:pStyle w:val="6"/>
              <w:numPr>
                <w:ilvl w:val="0"/>
                <w:numId w:val="1"/>
              </w:numPr>
              <w:jc w:val="center"/>
              <w:rPr>
                <w:rFonts w:ascii="Times New Roman" w:hAnsi="Times New Roman" w:eastAsia="宋体"/>
                <w:szCs w:val="21"/>
              </w:rPr>
            </w:pPr>
          </w:p>
        </w:tc>
        <w:tc>
          <w:tcPr>
            <w:tcW w:w="589" w:type="pct"/>
            <w:vMerge w:val="continue"/>
            <w:vAlign w:val="center"/>
          </w:tcPr>
          <w:p w14:paraId="4E621825">
            <w:pPr>
              <w:jc w:val="center"/>
              <w:rPr>
                <w:rFonts w:ascii="Times New Roman" w:hAnsi="Times New Roman" w:eastAsia="宋体"/>
                <w:szCs w:val="21"/>
              </w:rPr>
            </w:pPr>
          </w:p>
        </w:tc>
        <w:tc>
          <w:tcPr>
            <w:tcW w:w="323" w:type="pct"/>
            <w:vMerge w:val="continue"/>
            <w:vAlign w:val="center"/>
          </w:tcPr>
          <w:p w14:paraId="0427B072">
            <w:pPr>
              <w:jc w:val="center"/>
              <w:rPr>
                <w:rFonts w:ascii="Times New Roman" w:hAnsi="Times New Roman" w:eastAsia="宋体"/>
                <w:szCs w:val="21"/>
              </w:rPr>
            </w:pPr>
          </w:p>
        </w:tc>
        <w:tc>
          <w:tcPr>
            <w:tcW w:w="407" w:type="pct"/>
            <w:vMerge w:val="continue"/>
            <w:vAlign w:val="center"/>
          </w:tcPr>
          <w:p w14:paraId="144F1C19">
            <w:pPr>
              <w:jc w:val="center"/>
              <w:rPr>
                <w:rFonts w:ascii="Times New Roman" w:hAnsi="Times New Roman" w:eastAsia="宋体"/>
                <w:szCs w:val="21"/>
              </w:rPr>
            </w:pPr>
          </w:p>
        </w:tc>
        <w:tc>
          <w:tcPr>
            <w:tcW w:w="747" w:type="pct"/>
            <w:vAlign w:val="center"/>
          </w:tcPr>
          <w:p w14:paraId="5FE21932">
            <w:pPr>
              <w:jc w:val="center"/>
              <w:rPr>
                <w:rFonts w:ascii="Times New Roman" w:hAnsi="Times New Roman" w:eastAsia="宋体"/>
                <w:szCs w:val="21"/>
              </w:rPr>
            </w:pPr>
            <w:r>
              <w:rPr>
                <w:rFonts w:hint="eastAsia" w:ascii="Times New Roman" w:hAnsi="Times New Roman" w:eastAsia="宋体"/>
                <w:szCs w:val="21"/>
              </w:rPr>
              <w:t>软件测试工具：</w:t>
            </w:r>
          </w:p>
          <w:p w14:paraId="1B1CB36C">
            <w:pPr>
              <w:jc w:val="center"/>
              <w:rPr>
                <w:rFonts w:ascii="Times New Roman" w:hAnsi="Times New Roman" w:eastAsia="宋体"/>
                <w:szCs w:val="21"/>
              </w:rPr>
            </w:pPr>
            <w:r>
              <w:rPr>
                <w:rFonts w:hint="eastAsia" w:ascii="Times New Roman" w:hAnsi="Times New Roman" w:eastAsia="宋体"/>
                <w:szCs w:val="21"/>
              </w:rPr>
              <w:t>（4）源代码测试工具，如fortify（4分）</w:t>
            </w:r>
          </w:p>
        </w:tc>
        <w:tc>
          <w:tcPr>
            <w:tcW w:w="1372" w:type="pct"/>
            <w:vAlign w:val="center"/>
          </w:tcPr>
          <w:p w14:paraId="6F752FF7">
            <w:pPr>
              <w:ind w:firstLine="420" w:firstLineChars="200"/>
              <w:rPr>
                <w:rFonts w:ascii="Times New Roman" w:hAnsi="Times New Roman" w:eastAsia="宋体"/>
                <w:szCs w:val="21"/>
              </w:rPr>
            </w:pPr>
            <w:r>
              <w:rPr>
                <w:rFonts w:hint="eastAsia" w:ascii="Times New Roman" w:hAnsi="Times New Roman" w:eastAsia="宋体"/>
                <w:szCs w:val="21"/>
              </w:rPr>
              <w:t>请问，具有“源代码测试”相关功能的、但未在所列举工具清单中（如“</w:t>
            </w:r>
            <w:r>
              <w:rPr>
                <w:rFonts w:ascii="Times New Roman" w:hAnsi="Times New Roman" w:eastAsia="宋体"/>
                <w:szCs w:val="21"/>
              </w:rPr>
              <w:t>奇安信网神代码卫士系统</w:t>
            </w:r>
            <w:r>
              <w:rPr>
                <w:rFonts w:hint="eastAsia" w:ascii="Times New Roman" w:hAnsi="Times New Roman" w:eastAsia="宋体"/>
                <w:szCs w:val="21"/>
              </w:rPr>
              <w:t>、klocwork、Jtest等”），是否也能算是满足评分要求的工具？</w:t>
            </w:r>
          </w:p>
        </w:tc>
        <w:tc>
          <w:tcPr>
            <w:tcW w:w="1372" w:type="pct"/>
            <w:vAlign w:val="center"/>
          </w:tcPr>
          <w:p w14:paraId="31AB9044">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本评审分项要素所列工具名称（如fortify）仅为示例，源代码测试工具须包含但不限于以下功能：</w:t>
            </w:r>
          </w:p>
          <w:p w14:paraId="34AD19D6">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1、支持对源代码进行深度扫描与分析；</w:t>
            </w:r>
          </w:p>
          <w:p w14:paraId="79FDE2CC">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2、具备检测代码安全漏洞、逻辑缺陷及代码规范违规问题的能力。</w:t>
            </w:r>
          </w:p>
          <w:p w14:paraId="4A32E7C4">
            <w:pPr>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源代码测试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689D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01044624">
            <w:pPr>
              <w:pStyle w:val="6"/>
              <w:numPr>
                <w:ilvl w:val="0"/>
                <w:numId w:val="1"/>
              </w:numPr>
              <w:jc w:val="center"/>
              <w:rPr>
                <w:rFonts w:ascii="Times New Roman" w:hAnsi="Times New Roman" w:eastAsia="宋体"/>
                <w:szCs w:val="21"/>
              </w:rPr>
            </w:pPr>
          </w:p>
        </w:tc>
        <w:tc>
          <w:tcPr>
            <w:tcW w:w="589" w:type="pct"/>
            <w:vMerge w:val="continue"/>
            <w:vAlign w:val="center"/>
          </w:tcPr>
          <w:p w14:paraId="26AFB3C3">
            <w:pPr>
              <w:jc w:val="center"/>
              <w:rPr>
                <w:rFonts w:ascii="Times New Roman" w:hAnsi="Times New Roman" w:eastAsia="宋体"/>
                <w:szCs w:val="21"/>
              </w:rPr>
            </w:pPr>
          </w:p>
        </w:tc>
        <w:tc>
          <w:tcPr>
            <w:tcW w:w="323" w:type="pct"/>
            <w:vMerge w:val="continue"/>
            <w:vAlign w:val="center"/>
          </w:tcPr>
          <w:p w14:paraId="6C89B9DE">
            <w:pPr>
              <w:jc w:val="center"/>
              <w:rPr>
                <w:rFonts w:ascii="Times New Roman" w:hAnsi="Times New Roman" w:eastAsia="宋体"/>
                <w:szCs w:val="21"/>
              </w:rPr>
            </w:pPr>
          </w:p>
        </w:tc>
        <w:tc>
          <w:tcPr>
            <w:tcW w:w="407" w:type="pct"/>
            <w:vMerge w:val="continue"/>
            <w:vAlign w:val="center"/>
          </w:tcPr>
          <w:p w14:paraId="3BD7588F">
            <w:pPr>
              <w:jc w:val="center"/>
              <w:rPr>
                <w:rFonts w:ascii="Times New Roman" w:hAnsi="Times New Roman" w:eastAsia="宋体"/>
                <w:szCs w:val="21"/>
              </w:rPr>
            </w:pPr>
          </w:p>
        </w:tc>
        <w:tc>
          <w:tcPr>
            <w:tcW w:w="747" w:type="pct"/>
            <w:vAlign w:val="center"/>
          </w:tcPr>
          <w:p w14:paraId="506663A1">
            <w:pPr>
              <w:jc w:val="center"/>
              <w:rPr>
                <w:rFonts w:ascii="Times New Roman" w:hAnsi="Times New Roman" w:eastAsia="宋体"/>
                <w:szCs w:val="21"/>
              </w:rPr>
            </w:pPr>
            <w:r>
              <w:rPr>
                <w:rFonts w:hint="eastAsia" w:ascii="Times New Roman" w:hAnsi="Times New Roman" w:eastAsia="宋体"/>
                <w:szCs w:val="21"/>
              </w:rPr>
              <w:t>测试辅助工具：</w:t>
            </w:r>
          </w:p>
          <w:p w14:paraId="780344CC">
            <w:pPr>
              <w:jc w:val="center"/>
              <w:rPr>
                <w:rFonts w:ascii="Times New Roman" w:hAnsi="Times New Roman" w:eastAsia="宋体"/>
                <w:szCs w:val="21"/>
              </w:rPr>
            </w:pPr>
            <w:r>
              <w:rPr>
                <w:rFonts w:hint="eastAsia" w:ascii="Times New Roman" w:hAnsi="Times New Roman" w:eastAsia="宋体"/>
                <w:szCs w:val="21"/>
              </w:rPr>
              <w:t>（1）测试过程管理系统；如测评精灵（2分）</w:t>
            </w:r>
          </w:p>
        </w:tc>
        <w:tc>
          <w:tcPr>
            <w:tcW w:w="1372" w:type="pct"/>
            <w:vAlign w:val="center"/>
          </w:tcPr>
          <w:p w14:paraId="284F8606">
            <w:pPr>
              <w:ind w:firstLine="420" w:firstLineChars="200"/>
              <w:rPr>
                <w:rFonts w:ascii="Times New Roman" w:hAnsi="Times New Roman" w:eastAsia="宋体"/>
                <w:szCs w:val="21"/>
              </w:rPr>
            </w:pPr>
            <w:r>
              <w:rPr>
                <w:rFonts w:hint="eastAsia" w:ascii="Times New Roman" w:hAnsi="Times New Roman" w:eastAsia="宋体"/>
                <w:szCs w:val="21"/>
              </w:rPr>
              <w:t>请问，具有“测试过程管理”相关功能的、但未在所列举工具清单中（如“快测系统（含密评模块）、密鉴系统等”），是否也能算是满足评分要求的工具？</w:t>
            </w:r>
          </w:p>
        </w:tc>
        <w:tc>
          <w:tcPr>
            <w:tcW w:w="1372" w:type="pct"/>
            <w:vAlign w:val="center"/>
          </w:tcPr>
          <w:p w14:paraId="2253B7B7">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本评审分项要素所列工具名称（如测评精灵）仅为示例，测试过程管理系统须包含但不限于以下功能：</w:t>
            </w:r>
          </w:p>
          <w:p w14:paraId="24B3BB4F">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1、具备支撑测评项目进度、资料归集等全流程规范化管控能力；</w:t>
            </w:r>
          </w:p>
          <w:p w14:paraId="6B6BE304">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2、支持自动生成测评报告。</w:t>
            </w:r>
          </w:p>
          <w:p w14:paraId="2A470477">
            <w:pPr>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测试过程管理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76F46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1A42F783">
            <w:pPr>
              <w:pStyle w:val="6"/>
              <w:numPr>
                <w:ilvl w:val="0"/>
                <w:numId w:val="1"/>
              </w:numPr>
              <w:jc w:val="center"/>
              <w:rPr>
                <w:rFonts w:ascii="Times New Roman" w:hAnsi="Times New Roman" w:eastAsia="宋体"/>
                <w:szCs w:val="21"/>
              </w:rPr>
            </w:pPr>
          </w:p>
        </w:tc>
        <w:tc>
          <w:tcPr>
            <w:tcW w:w="589" w:type="pct"/>
            <w:vMerge w:val="continue"/>
            <w:vAlign w:val="center"/>
          </w:tcPr>
          <w:p w14:paraId="0C19A8A0">
            <w:pPr>
              <w:jc w:val="center"/>
              <w:rPr>
                <w:rFonts w:ascii="Times New Roman" w:hAnsi="Times New Roman" w:eastAsia="宋体"/>
                <w:szCs w:val="21"/>
              </w:rPr>
            </w:pPr>
          </w:p>
        </w:tc>
        <w:tc>
          <w:tcPr>
            <w:tcW w:w="323" w:type="pct"/>
            <w:vMerge w:val="continue"/>
            <w:vAlign w:val="center"/>
          </w:tcPr>
          <w:p w14:paraId="464E45FB">
            <w:pPr>
              <w:jc w:val="center"/>
              <w:rPr>
                <w:rFonts w:ascii="Times New Roman" w:hAnsi="Times New Roman" w:eastAsia="宋体"/>
                <w:szCs w:val="21"/>
              </w:rPr>
            </w:pPr>
          </w:p>
        </w:tc>
        <w:tc>
          <w:tcPr>
            <w:tcW w:w="407" w:type="pct"/>
            <w:vMerge w:val="continue"/>
            <w:vAlign w:val="center"/>
          </w:tcPr>
          <w:p w14:paraId="492DC732">
            <w:pPr>
              <w:jc w:val="center"/>
              <w:rPr>
                <w:rFonts w:ascii="Times New Roman" w:hAnsi="Times New Roman" w:eastAsia="宋体"/>
                <w:szCs w:val="21"/>
              </w:rPr>
            </w:pPr>
          </w:p>
        </w:tc>
        <w:tc>
          <w:tcPr>
            <w:tcW w:w="747" w:type="pct"/>
            <w:vAlign w:val="center"/>
          </w:tcPr>
          <w:p w14:paraId="50241A00">
            <w:pPr>
              <w:jc w:val="center"/>
              <w:rPr>
                <w:rFonts w:ascii="Times New Roman" w:hAnsi="Times New Roman" w:eastAsia="宋体"/>
                <w:szCs w:val="21"/>
              </w:rPr>
            </w:pPr>
            <w:r>
              <w:rPr>
                <w:rFonts w:hint="eastAsia" w:ascii="Times New Roman" w:hAnsi="Times New Roman" w:eastAsia="宋体"/>
                <w:szCs w:val="21"/>
              </w:rPr>
              <w:t>测试辅助工具：</w:t>
            </w:r>
          </w:p>
          <w:p w14:paraId="4E42E01A">
            <w:pPr>
              <w:jc w:val="center"/>
              <w:rPr>
                <w:rFonts w:ascii="Times New Roman" w:hAnsi="Times New Roman" w:eastAsia="宋体"/>
                <w:szCs w:val="21"/>
              </w:rPr>
            </w:pPr>
            <w:r>
              <w:rPr>
                <w:rFonts w:hint="eastAsia" w:ascii="Times New Roman" w:hAnsi="Times New Roman" w:eastAsia="宋体"/>
                <w:szCs w:val="21"/>
              </w:rPr>
              <w:t>（2）网络测试工具，如burpsuite等；（6分）</w:t>
            </w:r>
          </w:p>
        </w:tc>
        <w:tc>
          <w:tcPr>
            <w:tcW w:w="1372" w:type="pct"/>
            <w:vAlign w:val="center"/>
          </w:tcPr>
          <w:p w14:paraId="3695D2FA">
            <w:pPr>
              <w:ind w:firstLine="420" w:firstLineChars="200"/>
              <w:rPr>
                <w:rFonts w:ascii="Times New Roman" w:hAnsi="Times New Roman" w:eastAsia="宋体"/>
                <w:szCs w:val="21"/>
              </w:rPr>
            </w:pPr>
            <w:r>
              <w:rPr>
                <w:rFonts w:hint="eastAsia" w:ascii="Times New Roman" w:hAnsi="Times New Roman" w:eastAsia="宋体"/>
                <w:szCs w:val="21"/>
              </w:rPr>
              <w:t>请问，具有“网络测试”相关功能的、但未在所列举工具清单中（如“RSAS、网络安全隐患自动化快速检测及分析系统、Goby等”），是否也能算是满足评分要求的工具？</w:t>
            </w:r>
          </w:p>
        </w:tc>
        <w:tc>
          <w:tcPr>
            <w:tcW w:w="1372" w:type="pct"/>
            <w:vAlign w:val="center"/>
          </w:tcPr>
          <w:p w14:paraId="4DB4DAE9">
            <w:pPr>
              <w:rPr>
                <w:rFonts w:ascii="Times New Roman" w:hAnsi="Times New Roman" w:eastAsia="宋体"/>
                <w:szCs w:val="21"/>
              </w:rPr>
            </w:pPr>
            <w:r>
              <w:rPr>
                <w:rFonts w:hint="eastAsia" w:ascii="Times New Roman" w:hAnsi="Times New Roman" w:eastAsia="宋体"/>
                <w:szCs w:val="21"/>
              </w:rPr>
              <w:t>本评审分项要素所列工具名称（如burpsuite）仅为示例，网络测试工具须包含但不限于以下功能：</w:t>
            </w:r>
          </w:p>
          <w:p w14:paraId="31B46DC4">
            <w:pPr>
              <w:numPr>
                <w:ilvl w:val="0"/>
                <w:numId w:val="2"/>
              </w:numPr>
              <w:rPr>
                <w:rFonts w:ascii="Times New Roman" w:hAnsi="Times New Roman" w:eastAsia="宋体"/>
                <w:szCs w:val="21"/>
              </w:rPr>
            </w:pPr>
            <w:r>
              <w:rPr>
                <w:rFonts w:hint="eastAsia" w:ascii="Times New Roman" w:hAnsi="Times New Roman" w:eastAsia="宋体"/>
                <w:szCs w:val="21"/>
              </w:rPr>
              <w:t>支持 Web 应用扫描功能，且支持登录认证的Web应用扫描；</w:t>
            </w:r>
          </w:p>
          <w:p w14:paraId="352F7EA1">
            <w:pPr>
              <w:numPr>
                <w:ilvl w:val="0"/>
                <w:numId w:val="2"/>
              </w:numPr>
              <w:rPr>
                <w:rFonts w:ascii="Times New Roman" w:hAnsi="Times New Roman" w:eastAsia="宋体"/>
                <w:szCs w:val="21"/>
              </w:rPr>
            </w:pPr>
            <w:r>
              <w:rPr>
                <w:rFonts w:hint="eastAsia" w:ascii="Times New Roman" w:hAnsi="Times New Roman" w:eastAsia="宋体"/>
                <w:szCs w:val="21"/>
              </w:rPr>
              <w:t>支持编排自定义攻击方式；</w:t>
            </w:r>
          </w:p>
          <w:p w14:paraId="25BBEB84">
            <w:pPr>
              <w:numPr>
                <w:ilvl w:val="0"/>
                <w:numId w:val="2"/>
              </w:numPr>
              <w:rPr>
                <w:rFonts w:ascii="Times New Roman" w:hAnsi="Times New Roman" w:eastAsia="宋体"/>
                <w:szCs w:val="21"/>
              </w:rPr>
            </w:pPr>
            <w:r>
              <w:rPr>
                <w:rFonts w:hint="eastAsia" w:ascii="Times New Roman" w:hAnsi="Times New Roman" w:eastAsia="宋体"/>
                <w:szCs w:val="21"/>
              </w:rPr>
              <w:t>支持测试任务保存与恢复功能。</w:t>
            </w:r>
          </w:p>
          <w:p w14:paraId="17A7B1FE">
            <w:pPr>
              <w:rPr>
                <w:rFonts w:hint="eastAsia" w:ascii="Times New Roman" w:hAnsi="Times New Roman" w:eastAsia="宋体"/>
                <w:szCs w:val="21"/>
              </w:rPr>
            </w:pPr>
            <w:r>
              <w:rPr>
                <w:rFonts w:hint="eastAsia" w:ascii="Times New Roman" w:hAnsi="Times New Roman" w:eastAsia="宋体"/>
                <w:szCs w:val="21"/>
              </w:rPr>
              <w:t>供应商投标时所提供的工具须满足本评审分项要素相应类型工具（网络测试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w:t>
            </w:r>
            <w:r>
              <w:rPr>
                <w:rFonts w:hint="eastAsia" w:ascii="Times New Roman" w:hAnsi="Times New Roman" w:eastAsia="宋体" w:cstheme="minorBidi"/>
                <w:kern w:val="2"/>
                <w:sz w:val="21"/>
                <w:szCs w:val="21"/>
                <w:highlight w:val="none"/>
                <w:lang w:val="en-US" w:eastAsia="zh-CN" w:bidi="ar-SA"/>
                <w14:ligatures w14:val="standardContextual"/>
              </w:rPr>
              <w:t>（原件签订合同备查）。</w:t>
            </w:r>
          </w:p>
        </w:tc>
      </w:tr>
      <w:tr w14:paraId="7E55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64F4ED27">
            <w:pPr>
              <w:pStyle w:val="6"/>
              <w:numPr>
                <w:ilvl w:val="0"/>
                <w:numId w:val="1"/>
              </w:numPr>
              <w:jc w:val="center"/>
              <w:rPr>
                <w:rFonts w:ascii="Times New Roman" w:hAnsi="Times New Roman" w:eastAsia="宋体"/>
                <w:szCs w:val="21"/>
              </w:rPr>
            </w:pPr>
          </w:p>
        </w:tc>
        <w:tc>
          <w:tcPr>
            <w:tcW w:w="589" w:type="pct"/>
            <w:vMerge w:val="continue"/>
            <w:vAlign w:val="center"/>
          </w:tcPr>
          <w:p w14:paraId="753E57FC">
            <w:pPr>
              <w:jc w:val="center"/>
              <w:rPr>
                <w:rFonts w:ascii="Times New Roman" w:hAnsi="Times New Roman" w:eastAsia="宋体"/>
                <w:szCs w:val="21"/>
              </w:rPr>
            </w:pPr>
          </w:p>
        </w:tc>
        <w:tc>
          <w:tcPr>
            <w:tcW w:w="323" w:type="pct"/>
            <w:vMerge w:val="continue"/>
            <w:vAlign w:val="center"/>
          </w:tcPr>
          <w:p w14:paraId="3E1876A8">
            <w:pPr>
              <w:jc w:val="center"/>
              <w:rPr>
                <w:rFonts w:ascii="Times New Roman" w:hAnsi="Times New Roman" w:eastAsia="宋体"/>
                <w:szCs w:val="21"/>
              </w:rPr>
            </w:pPr>
          </w:p>
        </w:tc>
        <w:tc>
          <w:tcPr>
            <w:tcW w:w="407" w:type="pct"/>
            <w:vMerge w:val="continue"/>
            <w:vAlign w:val="center"/>
          </w:tcPr>
          <w:p w14:paraId="229DAD6A">
            <w:pPr>
              <w:jc w:val="center"/>
              <w:rPr>
                <w:rFonts w:ascii="Times New Roman" w:hAnsi="Times New Roman" w:eastAsia="宋体"/>
                <w:szCs w:val="21"/>
              </w:rPr>
            </w:pPr>
          </w:p>
        </w:tc>
        <w:tc>
          <w:tcPr>
            <w:tcW w:w="747" w:type="pct"/>
            <w:vAlign w:val="center"/>
          </w:tcPr>
          <w:p w14:paraId="2A4297B3">
            <w:pPr>
              <w:jc w:val="center"/>
              <w:rPr>
                <w:rFonts w:ascii="Times New Roman" w:hAnsi="Times New Roman" w:eastAsia="宋体"/>
                <w:szCs w:val="21"/>
              </w:rPr>
            </w:pPr>
            <w:r>
              <w:rPr>
                <w:rFonts w:hint="eastAsia" w:ascii="Times New Roman" w:hAnsi="Times New Roman" w:eastAsia="宋体"/>
                <w:szCs w:val="21"/>
              </w:rPr>
              <w:t>测试辅助工具：</w:t>
            </w:r>
          </w:p>
          <w:p w14:paraId="5E21DD9E">
            <w:pPr>
              <w:jc w:val="center"/>
              <w:rPr>
                <w:rFonts w:ascii="Times New Roman" w:hAnsi="Times New Roman" w:eastAsia="宋体"/>
                <w:szCs w:val="21"/>
              </w:rPr>
            </w:pPr>
            <w:r>
              <w:rPr>
                <w:rFonts w:hint="eastAsia" w:ascii="Times New Roman" w:hAnsi="Times New Roman" w:eastAsia="宋体"/>
                <w:szCs w:val="21"/>
              </w:rPr>
              <w:t>（3）数据库安全测试系统；如绿盟的数据库安全扫描系统（4分）</w:t>
            </w:r>
          </w:p>
        </w:tc>
        <w:tc>
          <w:tcPr>
            <w:tcW w:w="1372" w:type="pct"/>
            <w:vAlign w:val="center"/>
          </w:tcPr>
          <w:p w14:paraId="5A176D8F">
            <w:pPr>
              <w:ind w:firstLine="420" w:firstLineChars="200"/>
              <w:rPr>
                <w:rFonts w:ascii="Times New Roman" w:hAnsi="Times New Roman" w:eastAsia="宋体"/>
                <w:szCs w:val="21"/>
              </w:rPr>
            </w:pPr>
            <w:r>
              <w:rPr>
                <w:rFonts w:hint="eastAsia" w:ascii="Times New Roman" w:hAnsi="Times New Roman" w:eastAsia="宋体"/>
                <w:szCs w:val="21"/>
              </w:rPr>
              <w:t>请问，具有“数据库安全测试”相关功能的、但未在所列举工具清单中（如“</w:t>
            </w:r>
            <w:r>
              <w:rPr>
                <w:rFonts w:ascii="Times New Roman" w:hAnsi="Times New Roman" w:eastAsia="宋体"/>
                <w:szCs w:val="21"/>
              </w:rPr>
              <w:t>数据安全自动化检测平台</w:t>
            </w:r>
            <w:r>
              <w:rPr>
                <w:rFonts w:hint="eastAsia" w:ascii="Times New Roman" w:hAnsi="Times New Roman" w:eastAsia="宋体"/>
                <w:szCs w:val="21"/>
              </w:rPr>
              <w:t>、DBSCAN等”），是否也能算是满足评分要求的工具？</w:t>
            </w:r>
          </w:p>
        </w:tc>
        <w:tc>
          <w:tcPr>
            <w:tcW w:w="1372" w:type="pct"/>
            <w:vAlign w:val="center"/>
          </w:tcPr>
          <w:p w14:paraId="2EF8C3CE">
            <w:pPr>
              <w:rPr>
                <w:rFonts w:ascii="Times New Roman" w:hAnsi="Times New Roman" w:eastAsia="宋体"/>
                <w:szCs w:val="21"/>
              </w:rPr>
            </w:pPr>
            <w:r>
              <w:rPr>
                <w:rFonts w:hint="eastAsia" w:ascii="Times New Roman" w:hAnsi="Times New Roman" w:eastAsia="宋体"/>
                <w:szCs w:val="21"/>
              </w:rPr>
              <w:t>本评审分项要素所列工具名称（如绿盟的数据库安全扫描系统）仅为示例，数据库安全测试系统须包含但不限于以下功能：</w:t>
            </w:r>
          </w:p>
          <w:p w14:paraId="1EAC0CBE">
            <w:pPr>
              <w:numPr>
                <w:ilvl w:val="0"/>
                <w:numId w:val="3"/>
              </w:numPr>
              <w:rPr>
                <w:rFonts w:ascii="Times New Roman" w:hAnsi="Times New Roman" w:eastAsia="宋体"/>
                <w:szCs w:val="21"/>
              </w:rPr>
            </w:pPr>
            <w:r>
              <w:rPr>
                <w:rFonts w:hint="eastAsia" w:ascii="Times New Roman" w:hAnsi="Times New Roman" w:eastAsia="宋体"/>
                <w:szCs w:val="21"/>
              </w:rPr>
              <w:t>支持对主流数据库开展数据库自动发现安全扫描，支持Agent方式和分布式部署。</w:t>
            </w:r>
          </w:p>
          <w:p w14:paraId="1956B55E">
            <w:pPr>
              <w:rPr>
                <w:rFonts w:ascii="Times New Roman" w:hAnsi="Times New Roman" w:eastAsia="宋体"/>
                <w:szCs w:val="21"/>
              </w:rPr>
            </w:pPr>
            <w:r>
              <w:rPr>
                <w:rFonts w:hint="eastAsia" w:ascii="Times New Roman" w:hAnsi="Times New Roman" w:eastAsia="宋体"/>
                <w:szCs w:val="21"/>
              </w:rPr>
              <w:t>2、具备核查可疑行为识别、审计策略、访问控制等安全配置合规性能力。</w:t>
            </w:r>
          </w:p>
          <w:p w14:paraId="6D5CAEF1">
            <w:pPr>
              <w:rPr>
                <w:rFonts w:hint="eastAsia" w:ascii="Times New Roman" w:hAnsi="Times New Roman" w:eastAsia="宋体"/>
                <w:szCs w:val="21"/>
              </w:rPr>
            </w:pPr>
            <w:r>
              <w:rPr>
                <w:rFonts w:hint="eastAsia" w:ascii="Times New Roman" w:hAnsi="Times New Roman" w:eastAsia="宋体"/>
                <w:szCs w:val="21"/>
              </w:rPr>
              <w:t>供应商投标时所提供的工具须满足本评审分项要素相应类型工具（数据库安全测试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7C7D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6596677D">
            <w:pPr>
              <w:pStyle w:val="6"/>
              <w:numPr>
                <w:ilvl w:val="0"/>
                <w:numId w:val="1"/>
              </w:numPr>
              <w:jc w:val="center"/>
              <w:rPr>
                <w:rFonts w:ascii="Times New Roman" w:hAnsi="Times New Roman" w:eastAsia="宋体"/>
                <w:szCs w:val="21"/>
              </w:rPr>
            </w:pPr>
          </w:p>
        </w:tc>
        <w:tc>
          <w:tcPr>
            <w:tcW w:w="589" w:type="pct"/>
            <w:vMerge w:val="continue"/>
            <w:vAlign w:val="center"/>
          </w:tcPr>
          <w:p w14:paraId="3CFE2EDE">
            <w:pPr>
              <w:jc w:val="center"/>
              <w:rPr>
                <w:rFonts w:ascii="Times New Roman" w:hAnsi="Times New Roman" w:eastAsia="宋体"/>
                <w:szCs w:val="21"/>
              </w:rPr>
            </w:pPr>
          </w:p>
        </w:tc>
        <w:tc>
          <w:tcPr>
            <w:tcW w:w="323" w:type="pct"/>
            <w:vMerge w:val="continue"/>
            <w:vAlign w:val="center"/>
          </w:tcPr>
          <w:p w14:paraId="2312E884">
            <w:pPr>
              <w:jc w:val="center"/>
              <w:rPr>
                <w:rFonts w:ascii="Times New Roman" w:hAnsi="Times New Roman" w:eastAsia="宋体"/>
                <w:szCs w:val="21"/>
              </w:rPr>
            </w:pPr>
          </w:p>
        </w:tc>
        <w:tc>
          <w:tcPr>
            <w:tcW w:w="407" w:type="pct"/>
            <w:vMerge w:val="continue"/>
            <w:vAlign w:val="center"/>
          </w:tcPr>
          <w:p w14:paraId="72B166AA">
            <w:pPr>
              <w:jc w:val="center"/>
              <w:rPr>
                <w:rFonts w:ascii="Times New Roman" w:hAnsi="Times New Roman" w:eastAsia="宋体"/>
                <w:szCs w:val="21"/>
              </w:rPr>
            </w:pPr>
          </w:p>
        </w:tc>
        <w:tc>
          <w:tcPr>
            <w:tcW w:w="747" w:type="pct"/>
            <w:vAlign w:val="center"/>
          </w:tcPr>
          <w:p w14:paraId="7B88C710">
            <w:pPr>
              <w:jc w:val="center"/>
              <w:rPr>
                <w:rFonts w:ascii="Times New Roman" w:hAnsi="Times New Roman" w:eastAsia="宋体"/>
                <w:szCs w:val="21"/>
              </w:rPr>
            </w:pPr>
            <w:r>
              <w:rPr>
                <w:rFonts w:hint="eastAsia" w:ascii="Times New Roman" w:hAnsi="Times New Roman" w:eastAsia="宋体"/>
                <w:szCs w:val="21"/>
              </w:rPr>
              <w:t>测试辅助工具：</w:t>
            </w:r>
          </w:p>
          <w:p w14:paraId="4EA52CC7">
            <w:pPr>
              <w:jc w:val="center"/>
              <w:rPr>
                <w:rFonts w:ascii="Times New Roman" w:hAnsi="Times New Roman" w:eastAsia="宋体"/>
                <w:szCs w:val="21"/>
              </w:rPr>
            </w:pPr>
            <w:r>
              <w:rPr>
                <w:rFonts w:hint="eastAsia" w:ascii="Times New Roman" w:hAnsi="Times New Roman" w:eastAsia="宋体"/>
                <w:szCs w:val="21"/>
              </w:rPr>
              <w:t>（4）</w:t>
            </w:r>
            <w:bookmarkStart w:id="6" w:name="OLE_LINK6"/>
            <w:r>
              <w:rPr>
                <w:rFonts w:hint="eastAsia" w:ascii="Times New Roman" w:hAnsi="Times New Roman" w:eastAsia="宋体"/>
                <w:szCs w:val="21"/>
              </w:rPr>
              <w:t>深度安全检测系统。如长矛深度安全检测系统</w:t>
            </w:r>
            <w:bookmarkEnd w:id="6"/>
            <w:r>
              <w:rPr>
                <w:rFonts w:hint="eastAsia" w:ascii="Times New Roman" w:hAnsi="Times New Roman" w:eastAsia="宋体"/>
                <w:szCs w:val="21"/>
              </w:rPr>
              <w:t>（4分）</w:t>
            </w:r>
          </w:p>
        </w:tc>
        <w:tc>
          <w:tcPr>
            <w:tcW w:w="1372" w:type="pct"/>
            <w:vAlign w:val="center"/>
          </w:tcPr>
          <w:p w14:paraId="697334E3">
            <w:pPr>
              <w:ind w:firstLine="420" w:firstLineChars="200"/>
              <w:rPr>
                <w:rFonts w:ascii="Times New Roman" w:hAnsi="Times New Roman" w:eastAsia="宋体"/>
                <w:szCs w:val="21"/>
              </w:rPr>
            </w:pPr>
            <w:r>
              <w:rPr>
                <w:rFonts w:hint="eastAsia" w:ascii="Times New Roman" w:hAnsi="Times New Roman" w:eastAsia="宋体"/>
                <w:szCs w:val="21"/>
              </w:rPr>
              <w:t>请问，具有“深度安全检测”相关功能的、但未在所列举工具清单中（如“密码应用深度安全检测及数据自动化分析系统、墨云Vackbot自动渗透测试平台等”），是否也能算是满足评分要求的工具？</w:t>
            </w:r>
          </w:p>
        </w:tc>
        <w:tc>
          <w:tcPr>
            <w:tcW w:w="1372" w:type="pct"/>
            <w:vAlign w:val="center"/>
          </w:tcPr>
          <w:p w14:paraId="1BCB022D">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本评审分项要素所列工具名称（如长矛深度安全检测系统）仅为示例，深度安全检测系统须包含但不限于以下功能：</w:t>
            </w:r>
          </w:p>
          <w:p w14:paraId="0A53EC99">
            <w:pPr>
              <w:numPr>
                <w:ilvl w:val="0"/>
                <w:numId w:val="4"/>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支持深入检测系统内部的安全威胁；</w:t>
            </w:r>
          </w:p>
          <w:p w14:paraId="28A8B95A">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2、具备实现智能渗透测试或手动渗透、密码暴力猜测等能力。</w:t>
            </w:r>
          </w:p>
          <w:p w14:paraId="3125DE1A">
            <w:pPr>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深度安全检测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74A4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 w:type="pct"/>
            <w:vAlign w:val="center"/>
          </w:tcPr>
          <w:p w14:paraId="7EDA793B">
            <w:pPr>
              <w:pStyle w:val="6"/>
              <w:numPr>
                <w:ilvl w:val="0"/>
                <w:numId w:val="1"/>
              </w:numPr>
              <w:jc w:val="center"/>
              <w:rPr>
                <w:rFonts w:ascii="Times New Roman" w:hAnsi="Times New Roman" w:eastAsia="宋体"/>
                <w:szCs w:val="21"/>
              </w:rPr>
            </w:pPr>
          </w:p>
        </w:tc>
        <w:tc>
          <w:tcPr>
            <w:tcW w:w="589" w:type="pct"/>
            <w:vAlign w:val="center"/>
          </w:tcPr>
          <w:p w14:paraId="0F3261AA">
            <w:pPr>
              <w:jc w:val="center"/>
              <w:rPr>
                <w:rFonts w:ascii="Times New Roman" w:hAnsi="Times New Roman" w:eastAsia="宋体"/>
                <w:szCs w:val="21"/>
              </w:rPr>
            </w:pPr>
          </w:p>
        </w:tc>
        <w:tc>
          <w:tcPr>
            <w:tcW w:w="323" w:type="pct"/>
            <w:vAlign w:val="center"/>
          </w:tcPr>
          <w:p w14:paraId="546CE825">
            <w:pPr>
              <w:jc w:val="center"/>
              <w:rPr>
                <w:rFonts w:ascii="Times New Roman" w:hAnsi="Times New Roman" w:eastAsia="宋体"/>
                <w:szCs w:val="21"/>
              </w:rPr>
            </w:pPr>
          </w:p>
        </w:tc>
        <w:tc>
          <w:tcPr>
            <w:tcW w:w="407" w:type="pct"/>
            <w:vAlign w:val="center"/>
          </w:tcPr>
          <w:p w14:paraId="102E6162">
            <w:pPr>
              <w:jc w:val="center"/>
              <w:rPr>
                <w:rFonts w:ascii="Times New Roman" w:hAnsi="Times New Roman" w:eastAsia="宋体"/>
                <w:szCs w:val="21"/>
              </w:rPr>
            </w:pPr>
          </w:p>
        </w:tc>
        <w:tc>
          <w:tcPr>
            <w:tcW w:w="747" w:type="pct"/>
            <w:vAlign w:val="center"/>
          </w:tcPr>
          <w:p w14:paraId="731E6ED1">
            <w:pPr>
              <w:jc w:val="center"/>
              <w:rPr>
                <w:rFonts w:hint="eastAsia" w:ascii="Times New Roman" w:hAnsi="Times New Roman" w:eastAsia="宋体"/>
                <w:szCs w:val="21"/>
              </w:rPr>
            </w:pPr>
          </w:p>
        </w:tc>
        <w:tc>
          <w:tcPr>
            <w:tcW w:w="1372" w:type="pct"/>
            <w:vAlign w:val="center"/>
          </w:tcPr>
          <w:p w14:paraId="600AF168">
            <w:pPr>
              <w:ind w:firstLine="420" w:firstLineChars="200"/>
              <w:rPr>
                <w:rFonts w:hint="eastAsia" w:ascii="Times New Roman" w:hAnsi="Times New Roman" w:eastAsia="宋体"/>
                <w:szCs w:val="21"/>
              </w:rPr>
            </w:pPr>
          </w:p>
        </w:tc>
        <w:tc>
          <w:tcPr>
            <w:tcW w:w="1372" w:type="pct"/>
            <w:vAlign w:val="center"/>
          </w:tcPr>
          <w:p w14:paraId="5F413C66">
            <w:pPr>
              <w:rPr>
                <w:rFonts w:hint="eastAsia" w:ascii="Times New Roman" w:hAnsi="Times New Roman" w:eastAsia="宋体" w:cstheme="minorBidi"/>
                <w:kern w:val="2"/>
                <w:sz w:val="21"/>
                <w:szCs w:val="21"/>
                <w:highlight w:val="none"/>
                <w:lang w:val="en-US" w:eastAsia="zh-CN" w:bidi="ar-SA"/>
                <w14:ligatures w14:val="standardContextual"/>
              </w:rPr>
            </w:pPr>
          </w:p>
        </w:tc>
      </w:tr>
      <w:bookmarkEnd w:id="2"/>
    </w:tbl>
    <w:p w14:paraId="19438559">
      <w:pPr>
        <w:spacing w:line="360" w:lineRule="auto"/>
        <w:jc w:val="center"/>
        <w:rPr>
          <w:rFonts w:hint="eastAsia" w:ascii="Times New Roman" w:hAnsi="Times New Roman" w:eastAsia="宋体"/>
          <w:b/>
          <w:bCs/>
          <w:sz w:val="28"/>
          <w:szCs w:val="32"/>
        </w:rPr>
      </w:pPr>
    </w:p>
    <w:p w14:paraId="05399FB5">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C0A6A"/>
    <w:multiLevelType w:val="singleLevel"/>
    <w:tmpl w:val="FBEC0A6A"/>
    <w:lvl w:ilvl="0" w:tentative="0">
      <w:start w:val="1"/>
      <w:numFmt w:val="decimal"/>
      <w:suff w:val="nothing"/>
      <w:lvlText w:val="%1、"/>
      <w:lvlJc w:val="left"/>
    </w:lvl>
  </w:abstractNum>
  <w:abstractNum w:abstractNumId="1">
    <w:nsid w:val="67AF235E"/>
    <w:multiLevelType w:val="singleLevel"/>
    <w:tmpl w:val="67AF235E"/>
    <w:lvl w:ilvl="0" w:tentative="0">
      <w:start w:val="1"/>
      <w:numFmt w:val="decimal"/>
      <w:suff w:val="nothing"/>
      <w:lvlText w:val="%1、"/>
      <w:lvlJc w:val="left"/>
    </w:lvl>
  </w:abstractNum>
  <w:abstractNum w:abstractNumId="2">
    <w:nsid w:val="6AF75A07"/>
    <w:multiLevelType w:val="multilevel"/>
    <w:tmpl w:val="6AF75A07"/>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EFD5393"/>
    <w:multiLevelType w:val="singleLevel"/>
    <w:tmpl w:val="7EFD5393"/>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33C15"/>
    <w:rsid w:val="0B7C7EB1"/>
    <w:rsid w:val="2FD74B59"/>
    <w:rsid w:val="34C6520E"/>
    <w:rsid w:val="39D571B7"/>
    <w:rsid w:val="3DF74D7D"/>
    <w:rsid w:val="3E7D892C"/>
    <w:rsid w:val="3F7FBD11"/>
    <w:rsid w:val="40402E91"/>
    <w:rsid w:val="4FD8300C"/>
    <w:rsid w:val="588E6D11"/>
    <w:rsid w:val="5B721D7C"/>
    <w:rsid w:val="632E0BC3"/>
    <w:rsid w:val="63D33C15"/>
    <w:rsid w:val="66EF18C6"/>
    <w:rsid w:val="707DEF94"/>
    <w:rsid w:val="72384542"/>
    <w:rsid w:val="77EA7B75"/>
    <w:rsid w:val="77EFE3EB"/>
    <w:rsid w:val="77FB1276"/>
    <w:rsid w:val="77FF48F2"/>
    <w:rsid w:val="7B826EDE"/>
    <w:rsid w:val="7EFCBEA6"/>
    <w:rsid w:val="7EFF3549"/>
    <w:rsid w:val="7F15F30B"/>
    <w:rsid w:val="7FBF1795"/>
    <w:rsid w:val="7FC39861"/>
    <w:rsid w:val="7FD7B5B9"/>
    <w:rsid w:val="7FFF76BD"/>
    <w:rsid w:val="937B38D9"/>
    <w:rsid w:val="9FBB82FD"/>
    <w:rsid w:val="BBFF4007"/>
    <w:rsid w:val="BF1D5A00"/>
    <w:rsid w:val="BFEFB531"/>
    <w:rsid w:val="CEEF5213"/>
    <w:rsid w:val="DEF723BF"/>
    <w:rsid w:val="E5FF4069"/>
    <w:rsid w:val="E6CE12A0"/>
    <w:rsid w:val="EDDE14CE"/>
    <w:rsid w:val="EE7D767A"/>
    <w:rsid w:val="EF7E2A89"/>
    <w:rsid w:val="EFFBFCBC"/>
    <w:rsid w:val="FDA658CB"/>
    <w:rsid w:val="FDDE7A2A"/>
    <w:rsid w:val="FEED4248"/>
    <w:rsid w:val="FF474F25"/>
    <w:rsid w:val="FFEF9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中讯邮电咨询设计院有限公司</Company>
  <Pages>7</Pages>
  <Words>2941</Words>
  <Characters>3124</Characters>
  <Lines>0</Lines>
  <Paragraphs>0</Paragraphs>
  <TotalTime>0</TotalTime>
  <ScaleCrop>false</ScaleCrop>
  <LinksUpToDate>false</LinksUpToDate>
  <CharactersWithSpaces>3135</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2026-05-21T02:27:00Z</dcterms:created>
  <dc:creator>80571</dc:creator>
  <cp:lastModifiedBy>XC~leiml</cp:lastModifiedBy>
  <dcterms:modified xsi:type="dcterms:W3CDTF">2026-05-25T11:19:13Z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4C0BE703AF1CA30AB1BF136A2779491E_43</vt:lpwstr>
  </property>
  <property fmtid="{D5CDD505-2E9C-101B-9397-08002B2CF9AE}" pid="4" name="WondersoftTag">
    <vt:lpwstr>97D1134D-C330-d64c-9A61-CC39DFBAA316#2#E96E2AA3-948F4AE6-92B373A4-D89A20C5##0</vt:lpwstr>
  </property>
  <property fmtid="{D5CDD505-2E9C-101B-9397-08002B2CF9AE}" pid="5" name="KSOTemplateDocerSaveRecord">
    <vt:lpwstr>eyJoZGlkIjoiMThiNzE0NDcxNjIwODliNDI1ZTZjYzRjYWZkOTUzYzMiLCJ1c2VySWQiOiI0Mzg4OTg0MTYifQ==</vt:lpwstr>
  </property>
</Properties>
</file>