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2DC30">
      <w:pPr>
        <w:pStyle w:val="9"/>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32"/>
          <w:szCs w:val="32"/>
          <w:highlight w:val="none"/>
          <w:u w:val="none"/>
          <w:lang w:val="en-US" w:eastAsia="zh-CN"/>
        </w:rPr>
        <w:t>标段1.</w:t>
      </w:r>
      <w:bookmarkStart w:id="1" w:name="_GoBack"/>
      <w:bookmarkEnd w:id="1"/>
      <w:r>
        <w:rPr>
          <w:rFonts w:hint="eastAsia" w:asciiTheme="minorEastAsia" w:hAnsiTheme="minorEastAsia" w:eastAsiaTheme="minorEastAsia" w:cstheme="minorEastAsia"/>
          <w:b/>
          <w:bCs/>
          <w:snapToGrid w:val="0"/>
          <w:color w:val="auto"/>
          <w:kern w:val="0"/>
          <w:sz w:val="32"/>
          <w:szCs w:val="32"/>
          <w:highlight w:val="none"/>
          <w:u w:val="none"/>
          <w:lang w:val="en-US" w:eastAsia="zh-CN"/>
        </w:rPr>
        <w:t>220千伏车城站第3台主变扩建工程监理</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14:paraId="5C31ACF9">
      <w:pPr>
        <w:pStyle w:val="9"/>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235C7255">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3"/>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3BBE8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14:paraId="0439B96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14:paraId="35B6A7A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14:paraId="0B60D89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4FEF0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7A44CBE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1A2DB9B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14:paraId="390FD3C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val="0"/>
                <w:bCs w:val="0"/>
                <w:kern w:val="0"/>
                <w:sz w:val="24"/>
                <w:szCs w:val="24"/>
                <w:highlight w:val="none"/>
                <w:lang w:val="en-US" w:eastAsia="zh-CN" w:bidi="ar"/>
              </w:rPr>
              <w:t>广供电基〔2024〕</w:t>
            </w:r>
            <w:r>
              <w:rPr>
                <w:rFonts w:hint="eastAsia" w:hAnsi="宋体" w:cs="宋体"/>
                <w:b w:val="0"/>
                <w:bCs w:val="0"/>
                <w:kern w:val="0"/>
                <w:sz w:val="24"/>
                <w:szCs w:val="24"/>
                <w:highlight w:val="none"/>
                <w:lang w:val="en-US" w:eastAsia="zh-CN" w:bidi="ar"/>
              </w:rPr>
              <w:t>5</w:t>
            </w:r>
            <w:r>
              <w:rPr>
                <w:rFonts w:hint="eastAsia" w:ascii="宋体" w:hAnsi="宋体" w:eastAsia="宋体" w:cs="宋体"/>
                <w:b w:val="0"/>
                <w:bCs w:val="0"/>
                <w:kern w:val="0"/>
                <w:sz w:val="24"/>
                <w:szCs w:val="24"/>
                <w:highlight w:val="none"/>
                <w:lang w:val="en-US" w:eastAsia="zh-CN" w:bidi="ar"/>
              </w:rPr>
              <w:t>号</w:t>
            </w:r>
          </w:p>
        </w:tc>
      </w:tr>
      <w:tr w14:paraId="5B582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4C6CE83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2726000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shd w:val="clear" w:color="auto" w:fill="auto"/>
            <w:noWrap w:val="0"/>
            <w:vAlign w:val="center"/>
          </w:tcPr>
          <w:p w14:paraId="6765DBB9">
            <w:pPr>
              <w:pStyle w:val="10"/>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80" w:lineRule="exact"/>
              <w:ind w:left="0" w:leftChars="0" w:right="0" w:rightChars="0"/>
              <w:jc w:val="cente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宋体" w:hAnsi="宋体" w:eastAsia="宋体" w:cs="宋体"/>
                <w:b w:val="0"/>
                <w:bCs w:val="0"/>
                <w:kern w:val="0"/>
                <w:sz w:val="24"/>
                <w:szCs w:val="24"/>
                <w:highlight w:val="none"/>
                <w:lang w:val="en-US" w:eastAsia="zh-CN" w:bidi="ar"/>
              </w:rPr>
              <w:t>穗发改核准〔2024〕7号</w:t>
            </w:r>
          </w:p>
        </w:tc>
      </w:tr>
      <w:tr w14:paraId="144C1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785A8CA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18927F3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14:paraId="24E643E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宋体" w:hAnsi="宋体" w:eastAsia="宋体" w:cs="宋体"/>
                <w:b w:val="0"/>
                <w:bCs w:val="0"/>
                <w:kern w:val="0"/>
                <w:sz w:val="24"/>
                <w:szCs w:val="24"/>
                <w:highlight w:val="none"/>
                <w:lang w:val="en-US" w:eastAsia="zh-CN" w:bidi="ar"/>
              </w:rPr>
              <w:t>广供电资〔2024〕</w:t>
            </w:r>
            <w:r>
              <w:rPr>
                <w:rFonts w:hint="eastAsia" w:hAnsi="宋体" w:cs="宋体"/>
                <w:b w:val="0"/>
                <w:bCs w:val="0"/>
                <w:kern w:val="0"/>
                <w:sz w:val="24"/>
                <w:szCs w:val="24"/>
                <w:highlight w:val="none"/>
                <w:lang w:val="en-US" w:eastAsia="zh-CN" w:bidi="ar"/>
              </w:rPr>
              <w:t>57</w:t>
            </w:r>
            <w:r>
              <w:rPr>
                <w:rFonts w:hint="eastAsia" w:ascii="宋体" w:hAnsi="宋体" w:eastAsia="宋体" w:cs="宋体"/>
                <w:b w:val="0"/>
                <w:bCs w:val="0"/>
                <w:kern w:val="0"/>
                <w:sz w:val="24"/>
                <w:szCs w:val="24"/>
                <w:highlight w:val="none"/>
                <w:lang w:val="en-US" w:eastAsia="zh-CN" w:bidi="ar"/>
              </w:rPr>
              <w:t>号</w:t>
            </w:r>
          </w:p>
        </w:tc>
      </w:tr>
      <w:tr w14:paraId="6E485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24081CE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648BE40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006CF4B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1E84C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2FF918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7E708AD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526A5EB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宋体" w:hAnsi="宋体" w:eastAsia="宋体" w:cs="宋体"/>
                <w:b w:val="0"/>
                <w:bCs w:val="0"/>
                <w:kern w:val="0"/>
                <w:sz w:val="24"/>
                <w:szCs w:val="24"/>
                <w:highlight w:val="none"/>
                <w:lang w:val="en-US" w:eastAsia="zh-CN" w:bidi="ar"/>
              </w:rPr>
              <w:t>广州市</w:t>
            </w:r>
            <w:r>
              <w:rPr>
                <w:rFonts w:hint="eastAsia" w:hAnsi="宋体" w:cs="宋体"/>
                <w:b w:val="0"/>
                <w:bCs w:val="0"/>
                <w:kern w:val="0"/>
                <w:sz w:val="24"/>
                <w:szCs w:val="24"/>
                <w:highlight w:val="none"/>
                <w:lang w:val="en-US" w:eastAsia="zh-CN" w:bidi="ar"/>
              </w:rPr>
              <w:t>花都</w:t>
            </w:r>
            <w:r>
              <w:rPr>
                <w:rFonts w:hint="eastAsia" w:ascii="宋体" w:hAnsi="宋体" w:eastAsia="宋体" w:cs="宋体"/>
                <w:b w:val="0"/>
                <w:bCs w:val="0"/>
                <w:kern w:val="0"/>
                <w:sz w:val="24"/>
                <w:szCs w:val="24"/>
                <w:highlight w:val="none"/>
                <w:lang w:val="en-US" w:eastAsia="zh-CN" w:bidi="ar"/>
              </w:rPr>
              <w:t>区</w:t>
            </w:r>
          </w:p>
        </w:tc>
      </w:tr>
      <w:tr w14:paraId="23F94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14:paraId="232F0B8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14:paraId="1FFAE5E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14:paraId="6F3DC32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宋体" w:hAnsi="宋体" w:eastAsia="宋体" w:cs="宋体"/>
                <w:b w:val="0"/>
                <w:bCs w:val="0"/>
                <w:kern w:val="0"/>
                <w:sz w:val="24"/>
                <w:szCs w:val="24"/>
                <w:highlight w:val="none"/>
                <w:lang w:val="en-US" w:eastAsia="zh-CN" w:bidi="ar"/>
              </w:rPr>
              <w:t>广州汇隽电力工程设计有限公司</w:t>
            </w:r>
          </w:p>
        </w:tc>
      </w:tr>
      <w:tr w14:paraId="0422A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exact"/>
          <w:jc w:val="center"/>
        </w:trPr>
        <w:tc>
          <w:tcPr>
            <w:tcW w:w="776" w:type="dxa"/>
            <w:noWrap w:val="0"/>
            <w:vAlign w:val="center"/>
          </w:tcPr>
          <w:p w14:paraId="48C3850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14:paraId="0A8B902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工期/服务期</w:t>
            </w:r>
          </w:p>
        </w:tc>
        <w:tc>
          <w:tcPr>
            <w:tcW w:w="5250" w:type="dxa"/>
            <w:noWrap w:val="0"/>
            <w:vAlign w:val="center"/>
          </w:tcPr>
          <w:p w14:paraId="00604C37">
            <w:pPr>
              <w:pStyle w:val="10"/>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napToGrid w:val="0"/>
              <w:spacing w:before="0" w:beforeAutospacing="0" w:after="0" w:afterAutospacing="0"/>
              <w:ind w:left="0" w:right="0"/>
              <w:jc w:val="both"/>
              <w:rPr>
                <w:rFonts w:hint="default"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lang w:val="en-US" w:eastAsia="zh-CN" w:bidi="ar"/>
              </w:rPr>
              <w:t>计划工期：</w:t>
            </w:r>
            <w:r>
              <w:rPr>
                <w:rFonts w:hint="eastAsia" w:ascii="宋体" w:hAnsi="宋体" w:cs="宋体"/>
                <w:b w:val="0"/>
                <w:bCs w:val="0"/>
                <w:kern w:val="0"/>
                <w:sz w:val="24"/>
                <w:szCs w:val="24"/>
                <w:highlight w:val="none"/>
                <w:lang w:val="en-US" w:eastAsia="zh-CN" w:bidi="ar"/>
              </w:rPr>
              <w:t>143</w:t>
            </w:r>
            <w:r>
              <w:rPr>
                <w:rFonts w:hint="eastAsia" w:ascii="宋体" w:hAnsi="宋体" w:eastAsia="宋体" w:cs="宋体"/>
                <w:b w:val="0"/>
                <w:bCs w:val="0"/>
                <w:kern w:val="0"/>
                <w:sz w:val="24"/>
                <w:szCs w:val="24"/>
                <w:highlight w:val="none"/>
                <w:lang w:val="en-US" w:eastAsia="zh-CN" w:bidi="ar"/>
              </w:rPr>
              <w:t>日历天</w:t>
            </w:r>
          </w:p>
          <w:p w14:paraId="6C587A0C">
            <w:pPr>
              <w:pStyle w:val="10"/>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napToGrid w:val="0"/>
              <w:spacing w:before="0" w:beforeAutospacing="0" w:after="0" w:afterAutospacing="0"/>
              <w:ind w:left="0" w:right="0"/>
              <w:jc w:val="both"/>
              <w:rPr>
                <w:rFonts w:hint="default"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lang w:val="en-US" w:eastAsia="zh-CN" w:bidi="ar"/>
              </w:rPr>
              <w:t>计划开工日期：202</w:t>
            </w:r>
            <w:r>
              <w:rPr>
                <w:rFonts w:hint="eastAsia" w:ascii="宋体" w:hAnsi="宋体" w:cs="宋体"/>
                <w:b w:val="0"/>
                <w:bCs w:val="0"/>
                <w:kern w:val="0"/>
                <w:sz w:val="24"/>
                <w:szCs w:val="24"/>
                <w:highlight w:val="none"/>
                <w:lang w:val="en-US" w:eastAsia="zh-CN" w:bidi="ar"/>
              </w:rPr>
              <w:t>6</w:t>
            </w:r>
            <w:r>
              <w:rPr>
                <w:rFonts w:hint="eastAsia" w:ascii="宋体" w:hAnsi="宋体" w:eastAsia="宋体" w:cs="宋体"/>
                <w:b w:val="0"/>
                <w:bCs w:val="0"/>
                <w:kern w:val="0"/>
                <w:sz w:val="24"/>
                <w:szCs w:val="24"/>
                <w:highlight w:val="none"/>
                <w:lang w:val="en-US" w:eastAsia="zh-CN" w:bidi="ar"/>
              </w:rPr>
              <w:t>年</w:t>
            </w:r>
            <w:r>
              <w:rPr>
                <w:rFonts w:hint="eastAsia" w:ascii="宋体" w:hAnsi="宋体" w:cs="宋体"/>
                <w:b w:val="0"/>
                <w:bCs w:val="0"/>
                <w:kern w:val="0"/>
                <w:sz w:val="24"/>
                <w:szCs w:val="24"/>
                <w:highlight w:val="none"/>
                <w:lang w:val="en-US" w:eastAsia="zh-CN" w:bidi="ar"/>
              </w:rPr>
              <w:t>7</w:t>
            </w:r>
            <w:r>
              <w:rPr>
                <w:rFonts w:hint="eastAsia" w:ascii="宋体" w:hAnsi="宋体" w:eastAsia="宋体" w:cs="宋体"/>
                <w:b w:val="0"/>
                <w:bCs w:val="0"/>
                <w:kern w:val="0"/>
                <w:sz w:val="24"/>
                <w:szCs w:val="24"/>
                <w:highlight w:val="none"/>
                <w:lang w:val="en-US" w:eastAsia="zh-CN" w:bidi="ar"/>
              </w:rPr>
              <w:t>月</w:t>
            </w:r>
            <w:r>
              <w:rPr>
                <w:rFonts w:hint="eastAsia" w:ascii="宋体" w:hAnsi="宋体" w:cs="宋体"/>
                <w:b w:val="0"/>
                <w:bCs w:val="0"/>
                <w:kern w:val="0"/>
                <w:sz w:val="24"/>
                <w:szCs w:val="24"/>
                <w:highlight w:val="none"/>
                <w:lang w:val="en-US" w:eastAsia="zh-CN" w:bidi="ar"/>
              </w:rPr>
              <w:t>10</w:t>
            </w:r>
            <w:r>
              <w:rPr>
                <w:rFonts w:hint="eastAsia" w:ascii="宋体" w:hAnsi="宋体" w:eastAsia="宋体" w:cs="宋体"/>
                <w:b w:val="0"/>
                <w:bCs w:val="0"/>
                <w:kern w:val="0"/>
                <w:sz w:val="24"/>
                <w:szCs w:val="24"/>
                <w:highlight w:val="none"/>
                <w:lang w:val="en-US" w:eastAsia="zh-CN" w:bidi="ar"/>
              </w:rPr>
              <w:t>日</w:t>
            </w:r>
          </w:p>
          <w:p w14:paraId="374FAAB3">
            <w:pPr>
              <w:pStyle w:val="10"/>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napToGrid w:val="0"/>
              <w:spacing w:before="0" w:beforeAutospacing="0" w:after="0" w:afterAutospacing="0"/>
              <w:ind w:left="0" w:right="0"/>
              <w:jc w:val="both"/>
              <w:rPr>
                <w:rFonts w:hint="default"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lang w:val="en-US" w:eastAsia="zh-CN" w:bidi="ar"/>
              </w:rPr>
              <w:t>计划竣工日期：2026年</w:t>
            </w:r>
            <w:r>
              <w:rPr>
                <w:rFonts w:hint="eastAsia" w:ascii="宋体" w:hAnsi="宋体" w:cs="宋体"/>
                <w:b w:val="0"/>
                <w:bCs w:val="0"/>
                <w:kern w:val="0"/>
                <w:sz w:val="24"/>
                <w:szCs w:val="24"/>
                <w:highlight w:val="none"/>
                <w:lang w:val="en-US" w:eastAsia="zh-CN" w:bidi="ar"/>
              </w:rPr>
              <w:t>11</w:t>
            </w:r>
            <w:r>
              <w:rPr>
                <w:rFonts w:hint="eastAsia" w:ascii="宋体" w:hAnsi="宋体" w:eastAsia="宋体" w:cs="宋体"/>
                <w:b w:val="0"/>
                <w:bCs w:val="0"/>
                <w:kern w:val="0"/>
                <w:sz w:val="24"/>
                <w:szCs w:val="24"/>
                <w:highlight w:val="none"/>
                <w:lang w:val="en-US" w:eastAsia="zh-CN" w:bidi="ar"/>
              </w:rPr>
              <w:t>月</w:t>
            </w:r>
            <w:r>
              <w:rPr>
                <w:rFonts w:hint="eastAsia" w:ascii="宋体" w:hAnsi="宋体" w:cs="宋体"/>
                <w:b w:val="0"/>
                <w:bCs w:val="0"/>
                <w:kern w:val="0"/>
                <w:sz w:val="24"/>
                <w:szCs w:val="24"/>
                <w:highlight w:val="none"/>
                <w:lang w:val="en-US" w:eastAsia="zh-CN" w:bidi="ar"/>
              </w:rPr>
              <w:t>29</w:t>
            </w:r>
            <w:r>
              <w:rPr>
                <w:rFonts w:hint="eastAsia" w:ascii="宋体" w:hAnsi="宋体" w:eastAsia="宋体" w:cs="宋体"/>
                <w:b w:val="0"/>
                <w:bCs w:val="0"/>
                <w:kern w:val="0"/>
                <w:sz w:val="24"/>
                <w:szCs w:val="24"/>
                <w:highlight w:val="none"/>
                <w:lang w:val="en-US" w:eastAsia="zh-CN" w:bidi="ar"/>
              </w:rPr>
              <w:t>日</w:t>
            </w:r>
          </w:p>
          <w:p w14:paraId="3EA5BC2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宋体" w:hAnsi="宋体" w:eastAsia="宋体" w:cs="宋体"/>
                <w:b w:val="0"/>
                <w:bCs w:val="0"/>
                <w:kern w:val="0"/>
                <w:sz w:val="24"/>
                <w:szCs w:val="24"/>
                <w:highlight w:val="none"/>
                <w:lang w:val="en-US" w:eastAsia="zh-CN" w:bidi="ar"/>
              </w:rPr>
              <w:t>实际工期以开工报告、竣工报告为准。</w:t>
            </w:r>
          </w:p>
        </w:tc>
      </w:tr>
    </w:tbl>
    <w:p w14:paraId="44A17B21">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08813B0A">
      <w:pP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2CA970E7">
      <w:pPr>
        <w:pStyle w:val="9"/>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※变电部分</w:t>
      </w:r>
    </w:p>
    <w:p w14:paraId="63C77B26">
      <w:pPr>
        <w:pStyle w:val="10"/>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adjustRightInd w:val="0"/>
        <w:snapToGrid w:val="0"/>
        <w:spacing w:before="0" w:beforeAutospacing="0" w:after="0" w:afterAutospacing="0" w:line="360" w:lineRule="auto"/>
        <w:ind w:left="0" w:right="0" w:firstLine="480" w:firstLineChars="200"/>
        <w:jc w:val="both"/>
        <w:rPr>
          <w:rFonts w:hint="eastAsia"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000000"/>
          <w:kern w:val="0"/>
          <w:sz w:val="24"/>
          <w:szCs w:val="24"/>
          <w:highlight w:val="none"/>
          <w:lang w:val="en-US" w:eastAsia="zh-CN" w:bidi="ar"/>
        </w:rPr>
        <w:t>1</w:t>
      </w:r>
      <w:r>
        <w:rPr>
          <w:rFonts w:hint="eastAsia" w:ascii="宋体" w:hAnsi="宋体" w:eastAsia="宋体" w:cs="宋体"/>
          <w:color w:val="000000"/>
          <w:kern w:val="0"/>
          <w:sz w:val="24"/>
          <w:szCs w:val="24"/>
          <w:highlight w:val="none"/>
          <w:lang w:val="en-US" w:eastAsia="zh-CN" w:bidi="ar"/>
        </w:rPr>
        <w:t>、220千伏车城站第3台主变扩建工程：本期新建主变压器1×240MVA，10kV出线10回，无功补偿1×4×8Mvar；终期主变压器4×240MVA，220kV出线6回，110kV出线14回，10kV出线30回，无功补偿4×5×8Mvar。</w:t>
      </w:r>
    </w:p>
    <w:p w14:paraId="37B30101">
      <w:pPr>
        <w:pStyle w:val="9"/>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u w:val="single"/>
        </w:rPr>
      </w:pPr>
      <w:r>
        <w:rPr>
          <w:rFonts w:hint="eastAsia" w:asciiTheme="minorEastAsia" w:hAnsiTheme="minorEastAsia" w:eastAsiaTheme="minorEastAsia" w:cstheme="minorEastAsia"/>
          <w:b/>
          <w:sz w:val="24"/>
          <w:szCs w:val="24"/>
          <w:highlight w:val="none"/>
          <w:u w:val="single"/>
        </w:rPr>
        <w:t>注：具体建设规模以施工图纸为准。</w:t>
      </w:r>
    </w:p>
    <w:p w14:paraId="1F9AE7B5">
      <w:pPr>
        <w:keepNext w:val="0"/>
        <w:keepLines w:val="0"/>
        <w:pageBreakBefore w:val="0"/>
        <w:kinsoku/>
        <w:wordWrap/>
        <w:overflowPunct/>
        <w:topLinePunct w:val="0"/>
        <w:autoSpaceDE/>
        <w:autoSpaceDN/>
        <w:bidi w:val="0"/>
        <w:adjustRightInd/>
        <w:snapToGrid/>
        <w:spacing w:before="157" w:beforeLines="50" w:after="157" w:afterLines="50"/>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二、招标采购范围</w:t>
      </w:r>
    </w:p>
    <w:p w14:paraId="2BCC1CA8">
      <w:pPr>
        <w:keepNext w:val="0"/>
        <w:keepLines w:val="0"/>
        <w:pageBreakBefore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pPr>
      <w:r>
        <w:rPr>
          <w:rFonts w:hint="eastAsia" w:hAnsi="宋体"/>
          <w:color w:val="auto"/>
          <w:sz w:val="24"/>
          <w:szCs w:val="24"/>
          <w:highlight w:val="none"/>
          <w:u w:val="single"/>
        </w:rPr>
        <w:t>勘察设计、施工准备（含三通一平）、施工（含通信）、竣工结算、缺陷责任期、电子化移交的全过程监理</w:t>
      </w:r>
      <w:r>
        <w:rPr>
          <w:rFonts w:hint="eastAsia" w:hAnsi="宋体"/>
          <w:color w:val="auto"/>
          <w:sz w:val="24"/>
          <w:szCs w:val="24"/>
          <w:highlight w:val="none"/>
          <w:u w:val="single"/>
          <w:lang w:eastAsia="zh-CN"/>
        </w:rPr>
        <w:t>，以及初步设计概算（或施工图预算）中监理计费范围以外但与工程相关的监理工作。</w:t>
      </w:r>
      <w:r>
        <w:rPr>
          <w:rFonts w:hint="eastAsia" w:hAnsi="宋体"/>
          <w:color w:val="auto"/>
          <w:sz w:val="24"/>
          <w:szCs w:val="24"/>
          <w:highlight w:val="none"/>
          <w:u w:val="single"/>
        </w:rPr>
        <w:t>按照建设单位要求使用工程信息管理系统</w:t>
      </w:r>
      <w:r>
        <w:rPr>
          <w:rFonts w:hint="eastAsia" w:hAnsi="宋体"/>
          <w:color w:val="auto"/>
          <w:sz w:val="24"/>
          <w:szCs w:val="24"/>
          <w:highlight w:val="none"/>
        </w:rPr>
        <w:t>。</w:t>
      </w:r>
    </w:p>
    <w:p w14:paraId="7D7809CB">
      <w:pPr>
        <w:rPr>
          <w:rFonts w:hint="eastAsia"/>
          <w:highlight w:val="none"/>
          <w:lang w:val="en-US" w:eastAsia="zh-CN"/>
        </w:rPr>
      </w:pPr>
    </w:p>
    <w:p w14:paraId="701A879C">
      <w:pPr>
        <w:pStyle w:val="5"/>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tbl>
      <w:tblPr>
        <w:tblStyle w:val="12"/>
        <w:tblpPr w:leftFromText="180" w:rightFromText="180" w:vertAnchor="text" w:horzAnchor="page" w:tblpX="1646" w:tblpY="6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242"/>
        <w:gridCol w:w="1519"/>
        <w:gridCol w:w="1033"/>
        <w:gridCol w:w="1559"/>
        <w:gridCol w:w="1134"/>
      </w:tblGrid>
      <w:tr w14:paraId="2165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bottom w:val="single" w:color="auto" w:sz="4" w:space="0"/>
            </w:tcBorders>
            <w:noWrap w:val="0"/>
            <w:vAlign w:val="center"/>
          </w:tcPr>
          <w:p w14:paraId="7D2AE64B">
            <w:pPr>
              <w:tabs>
                <w:tab w:val="left" w:pos="900"/>
              </w:tabs>
              <w:snapToGrid w:val="0"/>
              <w:ind w:right="-24"/>
              <w:jc w:val="center"/>
              <w:rPr>
                <w:rFonts w:ascii="宋体" w:hAnsi="宋体"/>
                <w:color w:val="auto"/>
                <w:highlight w:val="none"/>
              </w:rPr>
            </w:pPr>
            <w:r>
              <w:rPr>
                <w:rFonts w:hint="eastAsia" w:ascii="宋体" w:hAnsi="宋体"/>
                <w:color w:val="auto"/>
                <w:highlight w:val="none"/>
              </w:rPr>
              <w:t>序号</w:t>
            </w:r>
          </w:p>
        </w:tc>
        <w:tc>
          <w:tcPr>
            <w:tcW w:w="2242" w:type="dxa"/>
            <w:tcBorders>
              <w:bottom w:val="single" w:color="auto" w:sz="4" w:space="0"/>
            </w:tcBorders>
            <w:noWrap w:val="0"/>
            <w:vAlign w:val="center"/>
          </w:tcPr>
          <w:p w14:paraId="1DB7F652">
            <w:pPr>
              <w:tabs>
                <w:tab w:val="left" w:pos="900"/>
              </w:tabs>
              <w:snapToGrid w:val="0"/>
              <w:ind w:left="282" w:right="-24"/>
              <w:jc w:val="center"/>
              <w:rPr>
                <w:rFonts w:ascii="宋体" w:hAnsi="宋体"/>
                <w:color w:val="auto"/>
                <w:highlight w:val="none"/>
              </w:rPr>
            </w:pPr>
            <w:r>
              <w:rPr>
                <w:rFonts w:hint="eastAsia" w:ascii="宋体" w:hAnsi="宋体"/>
                <w:color w:val="auto"/>
                <w:highlight w:val="none"/>
              </w:rPr>
              <w:t>费用名称</w:t>
            </w:r>
          </w:p>
        </w:tc>
        <w:tc>
          <w:tcPr>
            <w:tcW w:w="1519" w:type="dxa"/>
            <w:noWrap w:val="0"/>
            <w:vAlign w:val="top"/>
          </w:tcPr>
          <w:p w14:paraId="4F0685DE">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最高投标限价(元)</w:t>
            </w:r>
          </w:p>
        </w:tc>
        <w:tc>
          <w:tcPr>
            <w:tcW w:w="1033" w:type="dxa"/>
            <w:tcBorders>
              <w:bottom w:val="single" w:color="auto" w:sz="4" w:space="0"/>
            </w:tcBorders>
            <w:noWrap w:val="0"/>
            <w:vAlign w:val="center"/>
          </w:tcPr>
          <w:p w14:paraId="7EBD9CF7">
            <w:pPr>
              <w:tabs>
                <w:tab w:val="left" w:pos="900"/>
              </w:tabs>
              <w:snapToGrid w:val="0"/>
              <w:spacing w:before="120" w:after="120"/>
              <w:ind w:right="-24"/>
              <w:jc w:val="center"/>
              <w:rPr>
                <w:rFonts w:hint="eastAsia" w:ascii="宋体" w:hAnsi="宋体" w:eastAsia="宋体"/>
                <w:b/>
                <w:color w:val="auto"/>
                <w:highlight w:val="none"/>
                <w:lang w:eastAsia="zh-CN"/>
              </w:rPr>
            </w:pPr>
            <w:r>
              <w:rPr>
                <w:rFonts w:hint="eastAsia" w:ascii="宋体" w:hAnsi="宋体"/>
                <w:b w:val="0"/>
                <w:bCs/>
                <w:color w:val="auto"/>
                <w:highlight w:val="none"/>
              </w:rPr>
              <w:t>投标下浮率</w:t>
            </w:r>
          </w:p>
        </w:tc>
        <w:tc>
          <w:tcPr>
            <w:tcW w:w="1559" w:type="dxa"/>
            <w:tcBorders>
              <w:bottom w:val="single" w:color="auto" w:sz="4" w:space="0"/>
            </w:tcBorders>
            <w:noWrap w:val="0"/>
            <w:vAlign w:val="top"/>
          </w:tcPr>
          <w:p w14:paraId="589B08DF">
            <w:pPr>
              <w:tabs>
                <w:tab w:val="left" w:pos="900"/>
              </w:tabs>
              <w:snapToGrid w:val="0"/>
              <w:spacing w:before="120" w:after="120"/>
              <w:ind w:right="-24"/>
              <w:jc w:val="center"/>
              <w:rPr>
                <w:rFonts w:ascii="宋体" w:hAnsi="宋体"/>
                <w:color w:val="auto"/>
                <w:highlight w:val="none"/>
              </w:rPr>
            </w:pPr>
            <w:r>
              <w:rPr>
                <w:rFonts w:hint="eastAsia" w:ascii="宋体" w:hAnsi="宋体" w:cs="宋体"/>
                <w:color w:val="auto"/>
                <w:kern w:val="0"/>
                <w:szCs w:val="21"/>
                <w:highlight w:val="none"/>
                <w:lang w:bidi="ar"/>
              </w:rPr>
              <w:t>投标报价</w:t>
            </w:r>
            <w:r>
              <w:rPr>
                <w:rFonts w:hint="eastAsia" w:ascii="宋体" w:hAnsi="宋体"/>
                <w:color w:val="auto"/>
                <w:highlight w:val="none"/>
              </w:rPr>
              <w:t>(元)</w:t>
            </w:r>
          </w:p>
        </w:tc>
        <w:tc>
          <w:tcPr>
            <w:tcW w:w="1134" w:type="dxa"/>
            <w:tcBorders>
              <w:bottom w:val="single" w:color="auto" w:sz="4" w:space="0"/>
            </w:tcBorders>
            <w:noWrap w:val="0"/>
            <w:vAlign w:val="center"/>
          </w:tcPr>
          <w:p w14:paraId="4AF198BD">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备注</w:t>
            </w:r>
          </w:p>
        </w:tc>
      </w:tr>
      <w:tr w14:paraId="2ED1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14:paraId="2B8840D2">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b/>
                <w:bCs/>
                <w:i w:val="0"/>
                <w:iCs w:val="0"/>
                <w:color w:val="000000"/>
                <w:kern w:val="0"/>
                <w:sz w:val="21"/>
                <w:szCs w:val="21"/>
                <w:highlight w:val="none"/>
                <w:u w:val="none"/>
                <w:lang w:val="en-US" w:eastAsia="zh-CN" w:bidi="ar"/>
              </w:rPr>
              <w:t>一</w:t>
            </w:r>
          </w:p>
        </w:tc>
        <w:tc>
          <w:tcPr>
            <w:tcW w:w="2242" w:type="dxa"/>
            <w:tcBorders>
              <w:top w:val="single" w:color="auto" w:sz="4" w:space="0"/>
              <w:bottom w:val="single" w:color="auto" w:sz="4" w:space="0"/>
            </w:tcBorders>
            <w:noWrap w:val="0"/>
            <w:vAlign w:val="center"/>
          </w:tcPr>
          <w:p w14:paraId="7CA01533">
            <w:pPr>
              <w:keepNext w:val="0"/>
              <w:keepLines w:val="0"/>
              <w:widowControl/>
              <w:suppressLineNumbers w:val="0"/>
              <w:jc w:val="left"/>
              <w:textAlignment w:val="center"/>
              <w:rPr>
                <w:rFonts w:ascii="宋体" w:hAnsi="宋体"/>
                <w:color w:val="auto"/>
                <w:highlight w:val="none"/>
              </w:rPr>
            </w:pPr>
            <w:r>
              <w:rPr>
                <w:rFonts w:hint="eastAsia" w:ascii="宋体" w:hAnsi="宋体" w:eastAsia="宋体" w:cs="宋体"/>
                <w:b/>
                <w:bCs/>
                <w:i w:val="0"/>
                <w:iCs w:val="0"/>
                <w:color w:val="000000"/>
                <w:kern w:val="0"/>
                <w:sz w:val="21"/>
                <w:szCs w:val="21"/>
                <w:highlight w:val="none"/>
                <w:u w:val="none"/>
                <w:lang w:val="en-US" w:eastAsia="zh-CN" w:bidi="ar"/>
              </w:rPr>
              <w:t>变电工程</w:t>
            </w:r>
          </w:p>
        </w:tc>
        <w:tc>
          <w:tcPr>
            <w:tcW w:w="1519" w:type="dxa"/>
            <w:noWrap w:val="0"/>
            <w:vAlign w:val="center"/>
          </w:tcPr>
          <w:p w14:paraId="2328B12A">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b/>
                <w:bCs/>
                <w:i w:val="0"/>
                <w:iCs w:val="0"/>
                <w:color w:val="000000"/>
                <w:kern w:val="0"/>
                <w:sz w:val="21"/>
                <w:szCs w:val="21"/>
                <w:highlight w:val="none"/>
                <w:u w:val="none"/>
                <w:lang w:val="en-US" w:eastAsia="zh-CN" w:bidi="ar"/>
              </w:rPr>
              <w:t>308372.06</w:t>
            </w:r>
          </w:p>
        </w:tc>
        <w:tc>
          <w:tcPr>
            <w:tcW w:w="1033" w:type="dxa"/>
            <w:vMerge w:val="restart"/>
            <w:tcBorders>
              <w:top w:val="single" w:color="auto" w:sz="4" w:space="0"/>
            </w:tcBorders>
            <w:noWrap w:val="0"/>
            <w:vAlign w:val="center"/>
          </w:tcPr>
          <w:p w14:paraId="3CBD683F">
            <w:pPr>
              <w:tabs>
                <w:tab w:val="left" w:pos="900"/>
              </w:tabs>
              <w:snapToGrid w:val="0"/>
              <w:spacing w:before="60" w:after="120"/>
              <w:ind w:right="-24"/>
              <w:jc w:val="center"/>
              <w:rPr>
                <w:rFonts w:ascii="宋体" w:hAnsi="宋体"/>
                <w:color w:val="auto"/>
                <w:highlight w:val="none"/>
              </w:rPr>
            </w:pP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val="en-US" w:eastAsia="zh-CN"/>
              </w:rPr>
              <w:t>%</w:t>
            </w:r>
          </w:p>
        </w:tc>
        <w:tc>
          <w:tcPr>
            <w:tcW w:w="1559" w:type="dxa"/>
            <w:tcBorders>
              <w:top w:val="single" w:color="auto" w:sz="4" w:space="0"/>
            </w:tcBorders>
            <w:noWrap w:val="0"/>
            <w:vAlign w:val="top"/>
          </w:tcPr>
          <w:p w14:paraId="3910194C">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371DD380">
            <w:pPr>
              <w:tabs>
                <w:tab w:val="left" w:pos="900"/>
              </w:tabs>
              <w:snapToGrid w:val="0"/>
              <w:spacing w:before="60" w:after="120"/>
              <w:ind w:right="-24"/>
              <w:jc w:val="center"/>
              <w:rPr>
                <w:rFonts w:ascii="宋体" w:hAnsi="宋体"/>
                <w:color w:val="auto"/>
                <w:highlight w:val="none"/>
              </w:rPr>
            </w:pPr>
          </w:p>
        </w:tc>
      </w:tr>
      <w:tr w14:paraId="78BD5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14:paraId="03A0EB64">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2242" w:type="dxa"/>
            <w:tcBorders>
              <w:top w:val="single" w:color="auto" w:sz="4" w:space="0"/>
              <w:bottom w:val="single" w:color="auto" w:sz="4" w:space="0"/>
            </w:tcBorders>
            <w:noWrap w:val="0"/>
            <w:vAlign w:val="center"/>
          </w:tcPr>
          <w:p w14:paraId="0F435D29">
            <w:pPr>
              <w:keepNext w:val="0"/>
              <w:keepLines w:val="0"/>
              <w:widowControl/>
              <w:suppressLineNumbers w:val="0"/>
              <w:jc w:val="left"/>
              <w:textAlignment w:val="center"/>
              <w:rPr>
                <w:rFonts w:hAnsi="宋体"/>
                <w:color w:val="auto"/>
                <w:highlight w:val="none"/>
                <w:u w:val="single"/>
              </w:rPr>
            </w:pPr>
            <w:r>
              <w:rPr>
                <w:rFonts w:hint="eastAsia" w:ascii="宋体" w:hAnsi="宋体" w:eastAsia="宋体" w:cs="宋体"/>
                <w:i w:val="0"/>
                <w:iCs w:val="0"/>
                <w:color w:val="000000"/>
                <w:kern w:val="0"/>
                <w:sz w:val="21"/>
                <w:szCs w:val="21"/>
                <w:highlight w:val="none"/>
                <w:u w:val="none"/>
                <w:lang w:val="en-US" w:eastAsia="zh-CN" w:bidi="ar"/>
              </w:rPr>
              <w:t>220千伏车城站第3台主变扩建工程</w:t>
            </w:r>
          </w:p>
        </w:tc>
        <w:tc>
          <w:tcPr>
            <w:tcW w:w="1519" w:type="dxa"/>
            <w:noWrap w:val="0"/>
            <w:vAlign w:val="center"/>
          </w:tcPr>
          <w:p w14:paraId="781D9353">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i w:val="0"/>
                <w:iCs w:val="0"/>
                <w:color w:val="000000"/>
                <w:kern w:val="0"/>
                <w:sz w:val="21"/>
                <w:szCs w:val="21"/>
                <w:highlight w:val="none"/>
                <w:u w:val="none"/>
                <w:lang w:val="en-US" w:eastAsia="zh-CN" w:bidi="ar"/>
              </w:rPr>
              <w:t xml:space="preserve">308372.06 </w:t>
            </w:r>
          </w:p>
        </w:tc>
        <w:tc>
          <w:tcPr>
            <w:tcW w:w="1033" w:type="dxa"/>
            <w:vMerge w:val="continue"/>
            <w:noWrap w:val="0"/>
            <w:vAlign w:val="center"/>
          </w:tcPr>
          <w:p w14:paraId="06ECB61C">
            <w:pPr>
              <w:tabs>
                <w:tab w:val="left" w:pos="900"/>
              </w:tabs>
              <w:snapToGrid w:val="0"/>
              <w:spacing w:before="60" w:after="120"/>
              <w:ind w:right="-24"/>
              <w:jc w:val="center"/>
              <w:rPr>
                <w:rFonts w:ascii="宋体" w:hAnsi="宋体"/>
                <w:color w:val="auto"/>
                <w:highlight w:val="none"/>
              </w:rPr>
            </w:pPr>
          </w:p>
        </w:tc>
        <w:tc>
          <w:tcPr>
            <w:tcW w:w="1559" w:type="dxa"/>
            <w:tcBorders>
              <w:top w:val="single" w:color="auto" w:sz="4" w:space="0"/>
            </w:tcBorders>
            <w:noWrap w:val="0"/>
            <w:vAlign w:val="top"/>
          </w:tcPr>
          <w:p w14:paraId="37027851">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06408332">
            <w:pPr>
              <w:tabs>
                <w:tab w:val="left" w:pos="900"/>
              </w:tabs>
              <w:snapToGrid w:val="0"/>
              <w:spacing w:before="60" w:after="120"/>
              <w:ind w:right="-24"/>
              <w:jc w:val="center"/>
              <w:rPr>
                <w:rFonts w:ascii="宋体" w:hAnsi="宋体"/>
                <w:color w:val="auto"/>
                <w:highlight w:val="none"/>
              </w:rPr>
            </w:pPr>
          </w:p>
        </w:tc>
      </w:tr>
      <w:tr w14:paraId="7C960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14:paraId="4448DFBC">
            <w:pPr>
              <w:spacing w:line="240" w:lineRule="auto"/>
              <w:jc w:val="left"/>
              <w:rPr>
                <w:rFonts w:ascii="宋体" w:hAnsi="宋体"/>
                <w:color w:val="auto"/>
                <w:highlight w:val="none"/>
              </w:rPr>
            </w:pPr>
          </w:p>
        </w:tc>
        <w:tc>
          <w:tcPr>
            <w:tcW w:w="2242" w:type="dxa"/>
            <w:tcBorders>
              <w:top w:val="single" w:color="auto" w:sz="4" w:space="0"/>
              <w:bottom w:val="single" w:color="auto" w:sz="4" w:space="0"/>
            </w:tcBorders>
            <w:noWrap w:val="0"/>
            <w:vAlign w:val="center"/>
          </w:tcPr>
          <w:p w14:paraId="28C69903">
            <w:pPr>
              <w:widowControl/>
              <w:spacing w:line="240" w:lineRule="auto"/>
              <w:jc w:val="center"/>
              <w:textAlignment w:val="center"/>
              <w:rPr>
                <w:rFonts w:hAnsi="宋体"/>
                <w:color w:val="auto"/>
                <w:highlight w:val="none"/>
                <w:u w:val="single"/>
              </w:rPr>
            </w:pPr>
            <w:r>
              <w:rPr>
                <w:rStyle w:val="17"/>
                <w:rFonts w:hint="default"/>
                <w:b/>
                <w:bCs/>
                <w:color w:val="auto"/>
                <w:sz w:val="21"/>
                <w:szCs w:val="21"/>
                <w:highlight w:val="none"/>
                <w:lang w:bidi="ar"/>
              </w:rPr>
              <w:t>合</w:t>
            </w:r>
            <w:r>
              <w:rPr>
                <w:rStyle w:val="18"/>
                <w:rFonts w:hint="eastAsia" w:ascii="宋体" w:hAnsi="宋体" w:cs="宋体"/>
                <w:b/>
                <w:bCs/>
                <w:color w:val="auto"/>
                <w:sz w:val="21"/>
                <w:szCs w:val="21"/>
                <w:highlight w:val="none"/>
                <w:lang w:bidi="ar"/>
              </w:rPr>
              <w:t xml:space="preserve">  </w:t>
            </w:r>
            <w:r>
              <w:rPr>
                <w:rStyle w:val="19"/>
                <w:rFonts w:hint="default"/>
                <w:b/>
                <w:bCs/>
                <w:color w:val="auto"/>
                <w:sz w:val="21"/>
                <w:szCs w:val="21"/>
                <w:highlight w:val="none"/>
                <w:lang w:bidi="ar"/>
              </w:rPr>
              <w:t>计</w:t>
            </w:r>
          </w:p>
        </w:tc>
        <w:tc>
          <w:tcPr>
            <w:tcW w:w="1519" w:type="dxa"/>
            <w:noWrap w:val="0"/>
            <w:vAlign w:val="center"/>
          </w:tcPr>
          <w:p w14:paraId="24D57DBF">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b/>
                <w:bCs/>
                <w:i w:val="0"/>
                <w:iCs w:val="0"/>
                <w:color w:val="000000"/>
                <w:kern w:val="0"/>
                <w:sz w:val="21"/>
                <w:szCs w:val="21"/>
                <w:highlight w:val="none"/>
                <w:u w:val="none"/>
                <w:lang w:val="en-US" w:eastAsia="zh-CN" w:bidi="ar"/>
              </w:rPr>
              <w:t xml:space="preserve">308372.06 </w:t>
            </w:r>
          </w:p>
        </w:tc>
        <w:tc>
          <w:tcPr>
            <w:tcW w:w="1033" w:type="dxa"/>
            <w:vMerge w:val="continue"/>
            <w:noWrap w:val="0"/>
            <w:vAlign w:val="center"/>
          </w:tcPr>
          <w:p w14:paraId="7B1CF2C2">
            <w:pPr>
              <w:tabs>
                <w:tab w:val="left" w:pos="900"/>
              </w:tabs>
              <w:snapToGrid w:val="0"/>
              <w:spacing w:before="60" w:after="120"/>
              <w:ind w:right="-24"/>
              <w:jc w:val="center"/>
              <w:rPr>
                <w:rFonts w:ascii="宋体" w:hAnsi="宋体"/>
                <w:color w:val="auto"/>
                <w:highlight w:val="none"/>
              </w:rPr>
            </w:pPr>
          </w:p>
        </w:tc>
        <w:tc>
          <w:tcPr>
            <w:tcW w:w="1559" w:type="dxa"/>
            <w:noWrap w:val="0"/>
            <w:vAlign w:val="top"/>
          </w:tcPr>
          <w:p w14:paraId="7E634565">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7D6AA7B5">
            <w:pPr>
              <w:tabs>
                <w:tab w:val="left" w:pos="900"/>
              </w:tabs>
              <w:snapToGrid w:val="0"/>
              <w:spacing w:before="60" w:after="120"/>
              <w:ind w:right="-24"/>
              <w:jc w:val="center"/>
              <w:rPr>
                <w:rFonts w:ascii="宋体" w:hAnsi="宋体"/>
                <w:color w:val="auto"/>
                <w:highlight w:val="none"/>
              </w:rPr>
            </w:pPr>
          </w:p>
        </w:tc>
      </w:tr>
      <w:tr w14:paraId="04E88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85" w:type="dxa"/>
            <w:gridSpan w:val="2"/>
            <w:tcBorders>
              <w:top w:val="single" w:color="auto" w:sz="4" w:space="0"/>
              <w:bottom w:val="single" w:color="auto" w:sz="4" w:space="0"/>
            </w:tcBorders>
            <w:noWrap w:val="0"/>
            <w:vAlign w:val="center"/>
          </w:tcPr>
          <w:p w14:paraId="43F74279">
            <w:pPr>
              <w:tabs>
                <w:tab w:val="left" w:pos="900"/>
              </w:tabs>
              <w:snapToGrid w:val="0"/>
              <w:spacing w:before="60" w:after="120"/>
              <w:ind w:right="-24"/>
              <w:jc w:val="center"/>
              <w:rPr>
                <w:rFonts w:ascii="宋体" w:hAnsi="宋体"/>
                <w:b/>
                <w:color w:val="auto"/>
                <w:szCs w:val="21"/>
                <w:highlight w:val="none"/>
              </w:rPr>
            </w:pPr>
            <w:r>
              <w:rPr>
                <w:rFonts w:hint="eastAsia" w:ascii="宋体" w:hAnsi="宋体"/>
                <w:b/>
                <w:color w:val="auto"/>
                <w:szCs w:val="21"/>
                <w:highlight w:val="none"/>
              </w:rPr>
              <w:t>投标报价总金额(大写)</w:t>
            </w:r>
          </w:p>
        </w:tc>
        <w:tc>
          <w:tcPr>
            <w:tcW w:w="1519" w:type="dxa"/>
            <w:tcBorders>
              <w:top w:val="single" w:color="auto" w:sz="4" w:space="0"/>
              <w:bottom w:val="single" w:color="auto" w:sz="4" w:space="0"/>
              <w:tr2bl w:val="single" w:color="auto" w:sz="4" w:space="0"/>
            </w:tcBorders>
            <w:noWrap w:val="0"/>
            <w:vAlign w:val="top"/>
          </w:tcPr>
          <w:p w14:paraId="6C6F4C6C">
            <w:pPr>
              <w:tabs>
                <w:tab w:val="left" w:pos="900"/>
              </w:tabs>
              <w:snapToGrid w:val="0"/>
              <w:spacing w:before="60" w:after="120"/>
              <w:ind w:right="-24"/>
              <w:jc w:val="center"/>
              <w:rPr>
                <w:rFonts w:ascii="宋体" w:hAnsi="宋体"/>
                <w:color w:val="auto"/>
                <w:highlight w:val="none"/>
              </w:rPr>
            </w:pPr>
          </w:p>
        </w:tc>
        <w:tc>
          <w:tcPr>
            <w:tcW w:w="1033" w:type="dxa"/>
            <w:tcBorders>
              <w:top w:val="single" w:color="auto" w:sz="4" w:space="0"/>
              <w:bottom w:val="single" w:color="auto" w:sz="4" w:space="0"/>
              <w:tr2bl w:val="single" w:color="auto" w:sz="4" w:space="0"/>
            </w:tcBorders>
            <w:noWrap w:val="0"/>
            <w:vAlign w:val="center"/>
          </w:tcPr>
          <w:p w14:paraId="7DEEE4BE">
            <w:pPr>
              <w:tabs>
                <w:tab w:val="left" w:pos="900"/>
              </w:tabs>
              <w:snapToGrid w:val="0"/>
              <w:spacing w:before="60" w:after="120"/>
              <w:ind w:right="-24"/>
              <w:jc w:val="center"/>
              <w:rPr>
                <w:rFonts w:ascii="宋体" w:hAnsi="宋体"/>
                <w:color w:val="auto"/>
                <w:highlight w:val="none"/>
              </w:rPr>
            </w:pPr>
          </w:p>
        </w:tc>
        <w:tc>
          <w:tcPr>
            <w:tcW w:w="1559" w:type="dxa"/>
            <w:tcBorders>
              <w:top w:val="single" w:color="auto" w:sz="4" w:space="0"/>
              <w:bottom w:val="single" w:color="auto" w:sz="4" w:space="0"/>
              <w:tr2bl w:val="single" w:color="auto" w:sz="4" w:space="0"/>
            </w:tcBorders>
            <w:noWrap w:val="0"/>
            <w:vAlign w:val="top"/>
          </w:tcPr>
          <w:p w14:paraId="294855F4">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3796F901">
            <w:pPr>
              <w:tabs>
                <w:tab w:val="left" w:pos="900"/>
              </w:tabs>
              <w:snapToGrid w:val="0"/>
              <w:spacing w:before="60" w:after="120"/>
              <w:ind w:right="-24"/>
              <w:jc w:val="center"/>
              <w:rPr>
                <w:rFonts w:ascii="宋体" w:hAnsi="宋体"/>
                <w:color w:val="auto"/>
                <w:highlight w:val="none"/>
              </w:rPr>
            </w:pPr>
          </w:p>
        </w:tc>
      </w:tr>
    </w:tbl>
    <w:p w14:paraId="26084324">
      <w:pPr>
        <w:pStyle w:val="4"/>
        <w:rPr>
          <w:rFonts w:hint="eastAsia"/>
          <w:highlight w:val="none"/>
          <w:lang w:val="en-US" w:eastAsia="zh-CN"/>
        </w:rPr>
      </w:pPr>
    </w:p>
    <w:p w14:paraId="306228E4">
      <w:pPr>
        <w:rPr>
          <w:rFonts w:hint="eastAsia"/>
          <w:highlight w:val="none"/>
          <w:lang w:val="en-US" w:eastAsia="zh-CN"/>
        </w:rPr>
      </w:pPr>
    </w:p>
    <w:p w14:paraId="3C2C7076">
      <w:pPr>
        <w:pStyle w:val="4"/>
        <w:rPr>
          <w:rFonts w:hint="eastAsia"/>
          <w:highlight w:val="none"/>
          <w:lang w:val="en-US" w:eastAsia="zh-CN"/>
        </w:rPr>
      </w:pPr>
    </w:p>
    <w:p w14:paraId="470066AB">
      <w:pPr>
        <w:rPr>
          <w:rFonts w:hint="eastAsia"/>
          <w:highlight w:val="none"/>
          <w:lang w:val="en-US" w:eastAsia="zh-CN"/>
        </w:rPr>
      </w:pPr>
    </w:p>
    <w:p w14:paraId="4B79BBDD">
      <w:pPr>
        <w:rPr>
          <w:rFonts w:hint="eastAsia"/>
          <w:highlight w:val="none"/>
          <w:lang w:val="en-US" w:eastAsia="zh-CN"/>
        </w:rPr>
      </w:pPr>
    </w:p>
    <w:p w14:paraId="3FF61201">
      <w:pPr>
        <w:pStyle w:val="3"/>
        <w:ind w:firstLine="240" w:firstLineChars="100"/>
        <w:rPr>
          <w:rFonts w:hint="eastAsia" w:ascii="宋体" w:hAnsi="宋体" w:eastAsia="宋体" w:cs="宋体"/>
          <w:color w:val="auto"/>
          <w:kern w:val="2"/>
          <w:sz w:val="24"/>
          <w:szCs w:val="24"/>
          <w:highlight w:val="none"/>
          <w:u w:val="none"/>
          <w:lang w:val="en-US" w:eastAsia="zh-CN" w:bidi="ar-SA"/>
        </w:rPr>
      </w:pPr>
    </w:p>
    <w:p w14:paraId="7EE6A247">
      <w:pPr>
        <w:pStyle w:val="3"/>
        <w:ind w:firstLine="240" w:firstLineChars="100"/>
        <w:rPr>
          <w:rFonts w:hint="eastAsia" w:ascii="宋体" w:hAnsi="宋体" w:eastAsia="宋体" w:cs="宋体"/>
          <w:color w:val="auto"/>
          <w:kern w:val="2"/>
          <w:sz w:val="24"/>
          <w:szCs w:val="24"/>
          <w:highlight w:val="none"/>
          <w:u w:val="none"/>
          <w:lang w:val="en-US" w:eastAsia="zh-CN" w:bidi="ar-SA"/>
        </w:rPr>
      </w:pPr>
    </w:p>
    <w:p w14:paraId="2BD336CA">
      <w:pPr>
        <w:pStyle w:val="3"/>
        <w:ind w:firstLine="240" w:firstLineChars="100"/>
        <w:rPr>
          <w:rFonts w:hint="eastAsia" w:ascii="宋体" w:hAnsi="宋体" w:eastAsia="宋体" w:cs="宋体"/>
          <w:color w:val="auto"/>
          <w:kern w:val="2"/>
          <w:sz w:val="24"/>
          <w:szCs w:val="24"/>
          <w:highlight w:val="none"/>
          <w:u w:val="none"/>
          <w:lang w:val="en-US" w:eastAsia="zh-CN" w:bidi="ar-SA"/>
        </w:rPr>
      </w:pPr>
    </w:p>
    <w:p w14:paraId="7340ABBD">
      <w:pPr>
        <w:pStyle w:val="3"/>
        <w:ind w:firstLine="240" w:firstLineChars="100"/>
        <w:rPr>
          <w:rFonts w:hint="eastAsia" w:ascii="宋体" w:hAnsi="宋体" w:eastAsia="宋体" w:cs="宋体"/>
          <w:color w:val="auto"/>
          <w:kern w:val="2"/>
          <w:sz w:val="24"/>
          <w:szCs w:val="24"/>
          <w:highlight w:val="none"/>
          <w:u w:val="none"/>
          <w:lang w:val="en-US" w:eastAsia="zh-CN" w:bidi="ar-SA"/>
        </w:rPr>
      </w:pPr>
    </w:p>
    <w:p w14:paraId="6D032542">
      <w:pPr>
        <w:pStyle w:val="3"/>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14:paraId="7ED52B1E">
      <w:pPr>
        <w:pStyle w:val="11"/>
        <w:spacing w:line="360" w:lineRule="auto"/>
        <w:jc w:val="left"/>
        <w:rPr>
          <w:rFonts w:hint="default"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1）按下浮率报价（保留两位小数，如8.88%），同时填报投标报价（投标报价=最高投标限价*（1-投标下浮率），四舍五入保留两位小数）。当投标报价与投标下浮率计算结果不一致时，以投标下浮率为准，按上述公式修订投标报价。</w:t>
      </w:r>
      <w:r>
        <w:rPr>
          <w:rFonts w:hint="eastAsia" w:ascii="宋体" w:hAnsi="宋体" w:eastAsia="宋体" w:cs="宋体"/>
          <w:color w:val="auto"/>
          <w:kern w:val="2"/>
          <w:sz w:val="24"/>
          <w:szCs w:val="24"/>
          <w:highlight w:val="none"/>
          <w:u w:val="single"/>
          <w:lang w:val="en-US" w:eastAsia="zh-CN" w:bidi="ar-SA"/>
        </w:rPr>
        <w:br w:type="textWrapping"/>
      </w:r>
      <w:r>
        <w:rPr>
          <w:rFonts w:hint="eastAsia" w:ascii="宋体" w:hAnsi="宋体" w:eastAsia="宋体" w:cs="宋体"/>
          <w:color w:val="auto"/>
          <w:kern w:val="2"/>
          <w:sz w:val="24"/>
          <w:szCs w:val="24"/>
          <w:highlight w:val="none"/>
          <w:u w:val="single"/>
          <w:lang w:val="en-US" w:eastAsia="zh-CN" w:bidi="ar-SA"/>
        </w:rPr>
        <w:t xml:space="preserve">  （2）投标下浮率不低于0%为有效报价；当投标下浮率＞10%时应附成本分析报告，充分说明单价和费用的组成、降低成本的合理措施及在其他工程中应用过的经验等，经评审通过后方可视为有效报价。</w:t>
      </w:r>
      <w:r>
        <w:rPr>
          <w:rFonts w:hint="eastAsia" w:ascii="宋体" w:hAnsi="宋体" w:eastAsia="宋体" w:cs="宋体"/>
          <w:color w:val="auto"/>
          <w:kern w:val="2"/>
          <w:sz w:val="24"/>
          <w:szCs w:val="24"/>
          <w:highlight w:val="none"/>
          <w:u w:val="single"/>
          <w:lang w:val="en-US" w:eastAsia="zh-CN" w:bidi="ar-SA"/>
        </w:rPr>
        <w:br w:type="textWrapping"/>
      </w:r>
      <w:r>
        <w:rPr>
          <w:rFonts w:hint="eastAsia" w:ascii="宋体" w:hAnsi="宋体" w:eastAsia="宋体" w:cs="宋体"/>
          <w:color w:val="auto"/>
          <w:kern w:val="2"/>
          <w:sz w:val="24"/>
          <w:szCs w:val="24"/>
          <w:highlight w:val="none"/>
          <w:u w:val="single"/>
          <w:lang w:val="en-US" w:eastAsia="zh-CN" w:bidi="ar-SA"/>
        </w:rPr>
        <w:t xml:space="preserve">  （3）价格分计算时，投标人评标价按（100-投标人填写的下浮数值）参与计算。如：下浮率为1.88％时，评标价按（100-1.88）参与计算。</w:t>
      </w:r>
    </w:p>
    <w:p w14:paraId="370B3D3E">
      <w:pPr>
        <w:rPr>
          <w:rFonts w:hint="eastAsia"/>
          <w:highlight w:val="none"/>
          <w:lang w:val="en-US" w:eastAsia="zh-CN"/>
        </w:rPr>
      </w:pPr>
    </w:p>
    <w:p w14:paraId="392BCEA4">
      <w:pPr>
        <w:pStyle w:val="5"/>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1A9B25BE">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ind w:firstLine="482" w:firstLineChars="200"/>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b/>
          <w:bCs/>
          <w:color w:val="auto"/>
          <w:kern w:val="2"/>
          <w:sz w:val="24"/>
          <w:szCs w:val="24"/>
          <w:highlight w:val="none"/>
          <w:u w:val="single"/>
          <w:lang w:val="en-US" w:eastAsia="zh-CN" w:bidi="ar-SA"/>
        </w:rPr>
        <w:t xml:space="preserve">审本合同采用总价形式，最终合同结算价为：（审定初步设计概算监理费+ 初设概算监理计费范围以外的监理工作费用）×（1-投标下浮率）±合同内约定且实际发生的相关奖罚费用 + 招标代理服务费。 </w:t>
      </w:r>
    </w:p>
    <w:p w14:paraId="3C595302">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ind w:firstLine="482" w:firstLineChars="200"/>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5403592B">
      <w:pPr>
        <w:pStyle w:val="2"/>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14:paraId="155EC614">
      <w:pPr>
        <w:pStyle w:val="2"/>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14:paraId="72E3E8B0">
      <w:pPr>
        <w:pStyle w:val="11"/>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                                     </w:t>
      </w:r>
    </w:p>
    <w:p w14:paraId="7BBC5DAD">
      <w:pPr>
        <w:pStyle w:val="11"/>
        <w:spacing w:line="360" w:lineRule="auto"/>
        <w:jc w:val="left"/>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第二部分.技术标准、要求及图纸（对应招标文件 第五章）</w:t>
      </w:r>
    </w:p>
    <w:p w14:paraId="7B004E37">
      <w:pPr>
        <w:pStyle w:val="5"/>
        <w:spacing w:before="0" w:after="0" w:line="36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p>
    <w:p w14:paraId="50BF74B0">
      <w:pPr>
        <w:pStyle w:val="5"/>
        <w:spacing w:before="0" w:after="0" w:line="36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p>
    <w:p w14:paraId="4122ED69">
      <w:pPr>
        <w:autoSpaceDE w:val="0"/>
        <w:autoSpaceDN w:val="0"/>
        <w:adjustRightInd w:val="0"/>
        <w:spacing w:line="360" w:lineRule="auto"/>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（一）满足中国南方电网有限责任公司《监理项目部工作手册》、中国南方电网有限责任公司基建管理制度、建设单位的质量、环境和职业健康安全管理体系文件、其他有关制度和规定。</w:t>
      </w:r>
    </w:p>
    <w:p w14:paraId="3AE5D2AF">
      <w:pPr>
        <w:pStyle w:val="5"/>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14:paraId="1AAF17A4">
      <w:pPr>
        <w:pStyle w:val="5"/>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14:paraId="0027919D">
      <w:pPr>
        <w:pStyle w:val="9"/>
        <w:numPr>
          <w:ilvl w:val="0"/>
          <w:numId w:val="0"/>
        </w:numPr>
        <w:spacing w:line="360" w:lineRule="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14:paraId="6AE779D1">
      <w:pPr>
        <w:pStyle w:val="9"/>
        <w:numPr>
          <w:ilvl w:val="0"/>
          <w:numId w:val="2"/>
        </w:numPr>
        <w:spacing w:line="360" w:lineRule="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14:paraId="7078A41B">
      <w:pPr>
        <w:pStyle w:val="9"/>
        <w:numPr>
          <w:ilvl w:val="0"/>
          <w:numId w:val="2"/>
        </w:numPr>
        <w:spacing w:line="360" w:lineRule="auto"/>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14:paraId="0B6C5B5C">
      <w:pPr>
        <w:pStyle w:val="9"/>
        <w:numPr>
          <w:ilvl w:val="0"/>
          <w:numId w:val="2"/>
        </w:numPr>
        <w:spacing w:line="360" w:lineRule="auto"/>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14:paraId="7BA3B939">
      <w:pPr>
        <w:pStyle w:val="9"/>
        <w:numPr>
          <w:ilvl w:val="0"/>
          <w:numId w:val="2"/>
        </w:numPr>
        <w:spacing w:line="360" w:lineRule="auto"/>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14:paraId="78B90834">
      <w:pPr>
        <w:pStyle w:val="9"/>
        <w:numPr>
          <w:ilvl w:val="0"/>
          <w:numId w:val="2"/>
        </w:numPr>
        <w:spacing w:line="360" w:lineRule="auto"/>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14:paraId="2F8ED030">
      <w:pPr>
        <w:pStyle w:val="9"/>
        <w:numPr>
          <w:ilvl w:val="0"/>
          <w:numId w:val="2"/>
        </w:numPr>
        <w:spacing w:line="360" w:lineRule="auto"/>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14:paraId="257947DF">
      <w:pPr>
        <w:pStyle w:val="9"/>
        <w:numPr>
          <w:ilvl w:val="0"/>
          <w:numId w:val="2"/>
        </w:numPr>
        <w:spacing w:line="360" w:lineRule="auto"/>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14:paraId="3E3EB6E4">
      <w:pPr>
        <w:pStyle w:val="9"/>
        <w:numPr>
          <w:ilvl w:val="0"/>
          <w:numId w:val="2"/>
        </w:numPr>
        <w:spacing w:line="360" w:lineRule="auto"/>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14:paraId="76EBD441">
      <w:pPr>
        <w:pStyle w:val="9"/>
        <w:numPr>
          <w:ilvl w:val="0"/>
          <w:numId w:val="2"/>
        </w:numPr>
        <w:spacing w:line="360" w:lineRule="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14:paraId="56F698A1">
      <w:pPr>
        <w:pStyle w:val="5"/>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360" w:lineRule="auto"/>
        <w:textAlignment w:val="auto"/>
        <w:rPr>
          <w:rFonts w:hint="eastAsia" w:asciiTheme="minorEastAsia" w:hAnsiTheme="minorEastAsia" w:eastAsiaTheme="minorEastAsia" w:cstheme="minorEastAsia"/>
          <w:i w:val="0"/>
          <w:iCs/>
          <w:color w:val="auto"/>
          <w:sz w:val="24"/>
          <w:szCs w:val="24"/>
          <w:highlight w:val="none"/>
          <w:lang w:eastAsia="zh-CN"/>
        </w:rPr>
      </w:pPr>
      <w:r>
        <w:rPr>
          <w:rFonts w:hint="eastAsia" w:asciiTheme="minorEastAsia" w:hAnsiTheme="minorEastAsia" w:eastAsiaTheme="minorEastAsia" w:cstheme="minorEastAsia"/>
          <w:i w:val="0"/>
          <w:iCs/>
          <w:color w:val="auto"/>
          <w:sz w:val="24"/>
          <w:szCs w:val="24"/>
          <w:highlight w:val="none"/>
          <w:lang w:eastAsia="zh-CN"/>
        </w:rPr>
        <w:t>三、图纸</w:t>
      </w:r>
    </w:p>
    <w:p w14:paraId="56E3B54D">
      <w:pPr>
        <w:spacing w:line="360" w:lineRule="auto"/>
        <w:ind w:firstLine="480" w:firstLineChars="200"/>
        <w:rPr>
          <w:rFonts w:hint="eastAsia" w:eastAsia="宋体"/>
          <w:color w:val="auto"/>
          <w:sz w:val="24"/>
          <w:szCs w:val="24"/>
          <w:highlight w:val="none"/>
          <w:lang w:val="en-US" w:eastAsia="zh-CN"/>
        </w:rPr>
      </w:pPr>
      <w:r>
        <w:rPr>
          <w:rFonts w:hint="eastAsia"/>
          <w:color w:val="auto"/>
          <w:sz w:val="24"/>
          <w:szCs w:val="24"/>
          <w:highlight w:val="none"/>
          <w:lang w:val="en-US" w:eastAsia="zh-CN"/>
        </w:rPr>
        <w:t>无。</w:t>
      </w:r>
    </w:p>
    <w:p w14:paraId="7F0730B5">
      <w:pPr>
        <w:pStyle w:val="5"/>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360" w:lineRule="auto"/>
        <w:textAlignment w:val="auto"/>
        <w:rPr>
          <w:rFonts w:hint="eastAsia" w:asciiTheme="minorEastAsia" w:hAnsiTheme="minorEastAsia" w:eastAsiaTheme="minorEastAsia" w:cstheme="minorEastAsia"/>
          <w:i w:val="0"/>
          <w:iCs/>
          <w:color w:val="auto"/>
          <w:sz w:val="24"/>
          <w:szCs w:val="24"/>
          <w:highlight w:val="none"/>
          <w:lang w:eastAsia="zh-CN"/>
        </w:rPr>
      </w:pPr>
      <w:r>
        <w:rPr>
          <w:rFonts w:hint="eastAsia" w:asciiTheme="minorEastAsia" w:hAnsiTheme="minorEastAsia" w:eastAsiaTheme="minorEastAsia" w:cstheme="minorEastAsia"/>
          <w:i w:val="0"/>
          <w:iCs/>
          <w:color w:val="auto"/>
          <w:sz w:val="24"/>
          <w:szCs w:val="24"/>
          <w:highlight w:val="none"/>
          <w:lang w:eastAsia="zh-CN"/>
        </w:rPr>
        <w:t>四、其他要求</w:t>
      </w:r>
    </w:p>
    <w:p w14:paraId="418E2C5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招标</w:t>
      </w:r>
      <w:r>
        <w:rPr>
          <w:rFonts w:hint="eastAsia" w:asciiTheme="minorEastAsia" w:hAnsiTheme="minorEastAsia" w:eastAsiaTheme="minorEastAsia" w:cstheme="minorEastAsia"/>
          <w:color w:val="auto"/>
          <w:sz w:val="24"/>
          <w:szCs w:val="24"/>
          <w:highlight w:val="none"/>
        </w:rPr>
        <w:t>人根据委托的监理范围和内容，随招标文件向投标人提供与监理范围和内容有关的以下文件、资料：</w:t>
      </w:r>
    </w:p>
    <w:p w14:paraId="62C29384">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（1）工程前期有关文件（可研及初设审批文件）；</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7920FF"/>
    <w:multiLevelType w:val="singleLevel"/>
    <w:tmpl w:val="0D7920FF"/>
    <w:lvl w:ilvl="0" w:tentative="0">
      <w:start w:val="1"/>
      <w:numFmt w:val="chineseCounting"/>
      <w:suff w:val="nothing"/>
      <w:lvlText w:val="第%1部分."/>
      <w:lvlJc w:val="left"/>
      <w:rPr>
        <w:rFonts w:hint="eastAsia"/>
      </w:rPr>
    </w:lvl>
  </w:abstractNum>
  <w:abstractNum w:abstractNumId="1">
    <w:nsid w:val="4122DDE1"/>
    <w:multiLevelType w:val="singleLevel"/>
    <w:tmpl w:val="4122DDE1"/>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7A4AD7"/>
    <w:rsid w:val="034C42F7"/>
    <w:rsid w:val="03F1316B"/>
    <w:rsid w:val="04A24F71"/>
    <w:rsid w:val="056A57F8"/>
    <w:rsid w:val="076F3B3B"/>
    <w:rsid w:val="07CA37DF"/>
    <w:rsid w:val="07CC3833"/>
    <w:rsid w:val="0ADC2637"/>
    <w:rsid w:val="0BC07002"/>
    <w:rsid w:val="0BD30473"/>
    <w:rsid w:val="0E2F4C02"/>
    <w:rsid w:val="0E3616E0"/>
    <w:rsid w:val="0E937FF7"/>
    <w:rsid w:val="0F81532F"/>
    <w:rsid w:val="107144D2"/>
    <w:rsid w:val="11472E91"/>
    <w:rsid w:val="116419AD"/>
    <w:rsid w:val="11794537"/>
    <w:rsid w:val="11DF6CFE"/>
    <w:rsid w:val="13383335"/>
    <w:rsid w:val="14440D4B"/>
    <w:rsid w:val="14B666F3"/>
    <w:rsid w:val="15056A61"/>
    <w:rsid w:val="182633AB"/>
    <w:rsid w:val="18E57496"/>
    <w:rsid w:val="1A2D5CFF"/>
    <w:rsid w:val="1A386933"/>
    <w:rsid w:val="1A4F176B"/>
    <w:rsid w:val="1A912F72"/>
    <w:rsid w:val="1B663F82"/>
    <w:rsid w:val="1C2D4629"/>
    <w:rsid w:val="1C43636C"/>
    <w:rsid w:val="1D904223"/>
    <w:rsid w:val="1F127104"/>
    <w:rsid w:val="1F653C49"/>
    <w:rsid w:val="1F6C0D31"/>
    <w:rsid w:val="1FF914D4"/>
    <w:rsid w:val="201A194B"/>
    <w:rsid w:val="20735046"/>
    <w:rsid w:val="216F4D5B"/>
    <w:rsid w:val="23B738BA"/>
    <w:rsid w:val="24676446"/>
    <w:rsid w:val="24E67795"/>
    <w:rsid w:val="24F737D8"/>
    <w:rsid w:val="25100685"/>
    <w:rsid w:val="26A73075"/>
    <w:rsid w:val="2CA17C08"/>
    <w:rsid w:val="2DDF66E3"/>
    <w:rsid w:val="2FF65FF8"/>
    <w:rsid w:val="300D195C"/>
    <w:rsid w:val="30BF37B5"/>
    <w:rsid w:val="31C955A9"/>
    <w:rsid w:val="33B200AF"/>
    <w:rsid w:val="33E61BE2"/>
    <w:rsid w:val="361736AD"/>
    <w:rsid w:val="36D200CF"/>
    <w:rsid w:val="379951F8"/>
    <w:rsid w:val="38382DC3"/>
    <w:rsid w:val="38DE045C"/>
    <w:rsid w:val="3A546240"/>
    <w:rsid w:val="3B95252E"/>
    <w:rsid w:val="3BF24D81"/>
    <w:rsid w:val="3BFE7BEA"/>
    <w:rsid w:val="3C4750A3"/>
    <w:rsid w:val="3C4A35F1"/>
    <w:rsid w:val="3C9E324A"/>
    <w:rsid w:val="3CB849AA"/>
    <w:rsid w:val="3E664B6D"/>
    <w:rsid w:val="3ED7087B"/>
    <w:rsid w:val="3F141BFC"/>
    <w:rsid w:val="43E72261"/>
    <w:rsid w:val="444D481C"/>
    <w:rsid w:val="44982260"/>
    <w:rsid w:val="44D414C9"/>
    <w:rsid w:val="46472D5E"/>
    <w:rsid w:val="47E56984"/>
    <w:rsid w:val="496A657E"/>
    <w:rsid w:val="49843C09"/>
    <w:rsid w:val="4B3A1BDA"/>
    <w:rsid w:val="4BF83760"/>
    <w:rsid w:val="4C8349B8"/>
    <w:rsid w:val="520D6E5F"/>
    <w:rsid w:val="53115540"/>
    <w:rsid w:val="55C3156A"/>
    <w:rsid w:val="5782183A"/>
    <w:rsid w:val="57BD355E"/>
    <w:rsid w:val="59A5419F"/>
    <w:rsid w:val="5B0320E2"/>
    <w:rsid w:val="5B8B11A7"/>
    <w:rsid w:val="5B9E2EC4"/>
    <w:rsid w:val="5FC56A20"/>
    <w:rsid w:val="608606DE"/>
    <w:rsid w:val="610E324A"/>
    <w:rsid w:val="61F31EFD"/>
    <w:rsid w:val="62EE1292"/>
    <w:rsid w:val="63066BC7"/>
    <w:rsid w:val="63D0487B"/>
    <w:rsid w:val="64672037"/>
    <w:rsid w:val="64911DA0"/>
    <w:rsid w:val="65945D8D"/>
    <w:rsid w:val="66C35559"/>
    <w:rsid w:val="670B3467"/>
    <w:rsid w:val="67D57489"/>
    <w:rsid w:val="68570F93"/>
    <w:rsid w:val="6A287B5E"/>
    <w:rsid w:val="6A5E57EF"/>
    <w:rsid w:val="6B303A1A"/>
    <w:rsid w:val="6DAA2FDF"/>
    <w:rsid w:val="6E121228"/>
    <w:rsid w:val="6FC971BF"/>
    <w:rsid w:val="70D1495F"/>
    <w:rsid w:val="70ED510D"/>
    <w:rsid w:val="74695E39"/>
    <w:rsid w:val="754C6F3B"/>
    <w:rsid w:val="75B11AFF"/>
    <w:rsid w:val="75D32619"/>
    <w:rsid w:val="765369C1"/>
    <w:rsid w:val="767D6887"/>
    <w:rsid w:val="77322425"/>
    <w:rsid w:val="780B6A75"/>
    <w:rsid w:val="79F83E18"/>
    <w:rsid w:val="7A262145"/>
    <w:rsid w:val="7BEC3F2B"/>
    <w:rsid w:val="7D0F76D8"/>
    <w:rsid w:val="7E3420E0"/>
    <w:rsid w:val="7E535DCD"/>
    <w:rsid w:val="7E5E7184"/>
    <w:rsid w:val="7F7B4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paragraph" w:styleId="3">
    <w:name w:val="Body Text"/>
    <w:basedOn w:val="1"/>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6">
    <w:name w:val="Normal Indent"/>
    <w:basedOn w:val="1"/>
    <w:qFormat/>
    <w:uiPriority w:val="0"/>
    <w:pPr>
      <w:ind w:firstLine="420"/>
    </w:pPr>
    <w:rPr>
      <w:rFonts w:ascii="Times New Roman" w:hAnsi="Times New Roman" w:cs="Times New Roman"/>
      <w:kern w:val="0"/>
      <w:sz w:val="20"/>
      <w:szCs w:val="20"/>
    </w:rPr>
  </w:style>
  <w:style w:type="paragraph" w:styleId="7">
    <w:name w:val="annotation text"/>
    <w:basedOn w:val="1"/>
    <w:qFormat/>
    <w:uiPriority w:val="0"/>
    <w:pPr>
      <w:jc w:val="left"/>
    </w:pPr>
  </w:style>
  <w:style w:type="paragraph" w:styleId="8">
    <w:name w:val="Body Text Indent"/>
    <w:basedOn w:val="1"/>
    <w:qFormat/>
    <w:uiPriority w:val="0"/>
    <w:pPr>
      <w:spacing w:after="120"/>
      <w:ind w:left="420" w:leftChars="200"/>
    </w:pPr>
  </w:style>
  <w:style w:type="paragraph" w:styleId="9">
    <w:name w:val="Plain Text"/>
    <w:basedOn w:val="1"/>
    <w:next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Normal (Web)"/>
    <w:basedOn w:val="1"/>
    <w:qFormat/>
    <w:uiPriority w:val="0"/>
    <w:rPr>
      <w:sz w:val="24"/>
    </w:rPr>
  </w:style>
  <w:style w:type="paragraph" w:styleId="11">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目录 21"/>
    <w:basedOn w:val="1"/>
    <w:next w:val="1"/>
    <w:qFormat/>
    <w:uiPriority w:val="0"/>
    <w:pPr>
      <w:spacing w:before="100" w:beforeAutospacing="1" w:after="100" w:afterAutospacing="1"/>
      <w:ind w:left="420" w:leftChars="200"/>
    </w:pPr>
  </w:style>
  <w:style w:type="paragraph" w:customStyle="1" w:styleId="16">
    <w:name w:val="正文首行缩进1"/>
    <w:basedOn w:val="1"/>
    <w:qFormat/>
    <w:uiPriority w:val="0"/>
    <w:pPr>
      <w:spacing w:line="360" w:lineRule="auto"/>
      <w:ind w:firstLine="200" w:firstLineChars="200"/>
    </w:pPr>
    <w:rPr>
      <w:kern w:val="2"/>
      <w:sz w:val="24"/>
      <w:szCs w:val="24"/>
    </w:rPr>
  </w:style>
  <w:style w:type="character" w:customStyle="1" w:styleId="17">
    <w:name w:val="font31"/>
    <w:qFormat/>
    <w:uiPriority w:val="0"/>
    <w:rPr>
      <w:rFonts w:hint="eastAsia" w:ascii="宋体" w:hAnsi="宋体" w:eastAsia="宋体" w:cs="宋体"/>
      <w:color w:val="000000"/>
      <w:sz w:val="24"/>
      <w:szCs w:val="24"/>
      <w:u w:val="none"/>
    </w:rPr>
  </w:style>
  <w:style w:type="character" w:customStyle="1" w:styleId="18">
    <w:name w:val="font91"/>
    <w:qFormat/>
    <w:uiPriority w:val="0"/>
    <w:rPr>
      <w:rFonts w:ascii="Arial" w:hAnsi="Arial" w:cs="Arial"/>
      <w:color w:val="000000"/>
      <w:sz w:val="24"/>
      <w:szCs w:val="24"/>
      <w:u w:val="none"/>
    </w:rPr>
  </w:style>
  <w:style w:type="character" w:customStyle="1" w:styleId="19">
    <w:name w:val="font6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1540</Words>
  <Characters>1656</Characters>
  <Lines>0</Lines>
  <Paragraphs>0</Paragraphs>
  <TotalTime>1103</TotalTime>
  <ScaleCrop>false</ScaleCrop>
  <LinksUpToDate>false</LinksUpToDate>
  <CharactersWithSpaces>1751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2026-04-28T02:52:28Z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8A8C54658E2D41C7A1BB357F29FDF6BB</vt:lpwstr>
  </property>
  <property fmtid="{D5CDD505-2E9C-101B-9397-08002B2CF9AE}" pid="4" name="KSOTemplateDocerSaveRecord">
    <vt:lpwstr>eyJoZGlkIjoiYzBhNDRiMWEyNzgyMzNiNGQ2YWM5MGU3Mjg0NWEwNzIiLCJ1c2VySWQiOiI3MDM5OTYzMzMifQ==</vt:lpwstr>
  </property>
</Properties>
</file>