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8EA96">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32"/>
          <w:szCs w:val="32"/>
          <w:highlight w:val="none"/>
          <w:u w:val="none"/>
          <w:lang w:val="en-US" w:eastAsia="zh-CN"/>
        </w:rPr>
        <w:t>标段2.110千伏凫洲至保税线路工程监理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205A346C">
      <w:pPr>
        <w:pStyle w:val="8"/>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45A9E250">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4D037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06D38703">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15378947">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1DEC7FEB">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1E99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1830E3A">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034AB80E">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247B92D6">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广供电基〔2025〕11号</w:t>
            </w:r>
          </w:p>
        </w:tc>
      </w:tr>
      <w:tr w14:paraId="2AF5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74A6DD4">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019FE9F4">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29AB3FBA">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穗发改核准〔2025〕5号</w:t>
            </w:r>
          </w:p>
        </w:tc>
      </w:tr>
      <w:tr w14:paraId="65AD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7C67E4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54885859">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32446C1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广供电资〔2025〕12号</w:t>
            </w:r>
          </w:p>
        </w:tc>
      </w:tr>
      <w:tr w14:paraId="6663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D843613">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4C07882B">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2FD13608">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546D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FCA49AB">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28D981D4">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1B391F4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广州市南沙区</w:t>
            </w:r>
          </w:p>
        </w:tc>
      </w:tr>
      <w:tr w14:paraId="3B6A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324D9FC6">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773E1DD9">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0BA84B13">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广州电力设计院有限公司</w:t>
            </w:r>
          </w:p>
        </w:tc>
      </w:tr>
      <w:tr w14:paraId="03E7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7FAF30FF">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6A1BAD10">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5253D23F">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合同签订之日起至2027年12月31日，实际工期以开工报告、竣工报告为准。</w:t>
            </w:r>
          </w:p>
        </w:tc>
      </w:tr>
    </w:tbl>
    <w:p w14:paraId="5E027C47">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4E4B1514">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58F84A9B">
      <w:pPr>
        <w:pStyle w:val="8"/>
        <w:keepNext w:val="0"/>
        <w:keepLines w:val="0"/>
        <w:pageBreakBefore w:val="0"/>
        <w:kinsoku/>
        <w:wordWrap/>
        <w:overflowPunct/>
        <w:topLinePunct w:val="0"/>
        <w:bidi w:val="0"/>
        <w:adjustRightInd w:val="0"/>
        <w:snapToGrid w:val="0"/>
        <w:spacing w:line="240" w:lineRule="auto"/>
        <w:ind w:firstLine="482" w:firstLineChars="200"/>
        <w:textAlignment w:val="auto"/>
        <w:outlineLvl w:val="9"/>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※变电</w:t>
      </w:r>
      <w:r>
        <w:rPr>
          <w:rFonts w:hint="eastAsia" w:hAnsi="宋体" w:eastAsia="宋体" w:cs="宋体"/>
          <w:b/>
          <w:bCs w:val="0"/>
          <w:color w:val="auto"/>
          <w:sz w:val="24"/>
          <w:szCs w:val="24"/>
          <w:lang w:val="en-US" w:eastAsia="zh-CN"/>
        </w:rPr>
        <w:t>工程</w:t>
      </w:r>
      <w:r>
        <w:rPr>
          <w:rFonts w:hint="eastAsia" w:ascii="宋体" w:hAnsi="宋体" w:eastAsia="宋体" w:cs="宋体"/>
          <w:b/>
          <w:bCs w:val="0"/>
          <w:color w:val="auto"/>
          <w:sz w:val="24"/>
          <w:szCs w:val="24"/>
          <w:lang w:val="en-US" w:eastAsia="zh-CN"/>
        </w:rPr>
        <w:t xml:space="preserve">: </w:t>
      </w:r>
    </w:p>
    <w:p w14:paraId="45F7D0E6">
      <w:pPr>
        <w:keepNext w:val="0"/>
        <w:keepLines w:val="0"/>
        <w:pageBreakBefore w:val="0"/>
        <w:tabs>
          <w:tab w:val="left" w:pos="1146"/>
        </w:tabs>
        <w:kinsoku/>
        <w:wordWrap/>
        <w:overflowPunct/>
        <w:topLinePunct w:val="0"/>
        <w:bidi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1.对侧220千伏保税站扩建工程</w:t>
      </w:r>
    </w:p>
    <w:p w14:paraId="4E0303F2">
      <w:pPr>
        <w:keepNext w:val="0"/>
        <w:keepLines w:val="0"/>
        <w:pageBreakBefore w:val="0"/>
        <w:tabs>
          <w:tab w:val="left" w:pos="1146"/>
        </w:tabs>
        <w:kinsoku/>
        <w:wordWrap/>
        <w:overflowPunct/>
        <w:topLinePunct w:val="0"/>
        <w:bidi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110千伏保税站本期利用110千伏合兴～保税线路与110千伏合兴～万顷沙甲线保税甲支线旁的备用电缆筒接至凫洲站110千伏侧，其余设备不变。</w:t>
      </w:r>
    </w:p>
    <w:p w14:paraId="1C235288">
      <w:pPr>
        <w:keepNext w:val="0"/>
        <w:keepLines w:val="0"/>
        <w:pageBreakBefore w:val="0"/>
        <w:tabs>
          <w:tab w:val="left" w:pos="1146"/>
        </w:tabs>
        <w:kinsoku/>
        <w:wordWrap/>
        <w:overflowPunct/>
        <w:topLinePunct w:val="0"/>
        <w:bidi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2.对侧220千伏凫洲站扩建工程</w:t>
      </w:r>
    </w:p>
    <w:p w14:paraId="27113C8C">
      <w:pPr>
        <w:keepNext w:val="0"/>
        <w:keepLines w:val="0"/>
        <w:pageBreakBefore w:val="0"/>
        <w:tabs>
          <w:tab w:val="left" w:pos="1146"/>
        </w:tabs>
        <w:kinsoku/>
        <w:wordWrap/>
        <w:overflowPunct/>
        <w:topLinePunct w:val="0"/>
        <w:bidi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220千伏凫洲站扩建2个110千伏电缆出线间隔，均接至保税站内，分别T接110千伏合兴～保税线路与T接110千伏合兴～万顷沙甲线保税甲支线；前期已经预留间隔位置，本期需要扩建相应的电气设备。 同时本期分别在#2、#3主变10千伏侧各扩建1面电抗器开关柜及1组8000千乏电抗器。</w:t>
      </w:r>
    </w:p>
    <w:p w14:paraId="5081594A">
      <w:pPr>
        <w:pStyle w:val="8"/>
        <w:keepNext w:val="0"/>
        <w:keepLines w:val="0"/>
        <w:pageBreakBefore w:val="0"/>
        <w:kinsoku/>
        <w:wordWrap/>
        <w:overflowPunct/>
        <w:topLinePunct w:val="0"/>
        <w:bidi w:val="0"/>
        <w:adjustRightInd w:val="0"/>
        <w:snapToGrid w:val="0"/>
        <w:spacing w:line="240" w:lineRule="auto"/>
        <w:ind w:firstLine="482" w:firstLineChars="200"/>
        <w:textAlignment w:val="auto"/>
        <w:outlineLvl w:val="9"/>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※线路</w:t>
      </w:r>
      <w:r>
        <w:rPr>
          <w:rFonts w:hint="eastAsia" w:hAnsi="宋体" w:eastAsia="宋体" w:cs="宋体"/>
          <w:b/>
          <w:bCs w:val="0"/>
          <w:color w:val="auto"/>
          <w:sz w:val="24"/>
          <w:szCs w:val="24"/>
          <w:lang w:val="en-US" w:eastAsia="zh-CN"/>
        </w:rPr>
        <w:t>工程</w:t>
      </w:r>
      <w:r>
        <w:rPr>
          <w:rFonts w:hint="eastAsia" w:ascii="宋体" w:hAnsi="宋体" w:eastAsia="宋体" w:cs="宋体"/>
          <w:b/>
          <w:bCs w:val="0"/>
          <w:color w:val="auto"/>
          <w:sz w:val="24"/>
          <w:szCs w:val="24"/>
          <w:lang w:val="en-US" w:eastAsia="zh-CN"/>
        </w:rPr>
        <w:t>:</w:t>
      </w:r>
    </w:p>
    <w:p w14:paraId="6B5A6F67">
      <w:pPr>
        <w:pStyle w:val="8"/>
        <w:keepNext w:val="0"/>
        <w:keepLines w:val="0"/>
        <w:pageBreakBefore w:val="0"/>
        <w:kinsoku/>
        <w:wordWrap/>
        <w:overflowPunct/>
        <w:topLinePunct w:val="0"/>
        <w:bidi w:val="0"/>
        <w:adjustRightInd w:val="0"/>
        <w:snapToGrid w:val="0"/>
        <w:spacing w:line="240" w:lineRule="auto"/>
        <w:ind w:firstLine="480" w:firstLineChars="200"/>
        <w:textAlignment w:val="auto"/>
        <w:outlineLvl w:val="9"/>
        <w:rPr>
          <w:rFonts w:hint="eastAsia" w:ascii="宋体" w:hAnsi="宋体" w:eastAsia="宋体" w:cs="宋体"/>
          <w:b/>
          <w:bCs w:val="0"/>
          <w:color w:val="auto"/>
          <w:sz w:val="24"/>
          <w:szCs w:val="24"/>
          <w:lang w:val="en-US" w:eastAsia="zh-CN"/>
        </w:rPr>
      </w:pPr>
      <w:r>
        <w:rPr>
          <w:rFonts w:hint="eastAsia" w:ascii="宋体" w:hAnsi="宋体" w:eastAsia="宋体" w:cs="宋体"/>
          <w:b w:val="0"/>
          <w:bCs/>
          <w:color w:val="auto"/>
          <w:sz w:val="24"/>
          <w:szCs w:val="24"/>
          <w:lang w:val="en-US" w:eastAsia="zh-CN"/>
        </w:rPr>
        <w:t>110千伏凫洲至保税线路工程。本工程新建2回110千伏线路。一回凫洲站T接110千伏合兴～保税线路，一回凫洲站T接110千伏合兴～保税～万顷沙线路(合万甲线)，T接点均位于保税站内。自凫洲站至保税站止，新建双回电缆线路路径长度1×9.5千米(T接合万甲线)+1×9.53千米(T接合保线)。新建电缆型号：ZA-YJLW02-Z 64/110 1×1200(隧道内)/YJLW03-Z 64/110 1×1200(隧道外)。</w:t>
      </w:r>
    </w:p>
    <w:p w14:paraId="58DC6369">
      <w:pPr>
        <w:pStyle w:val="8"/>
        <w:keepNext w:val="0"/>
        <w:keepLines w:val="0"/>
        <w:pageBreakBefore w:val="0"/>
        <w:kinsoku/>
        <w:wordWrap/>
        <w:overflowPunct/>
        <w:topLinePunct w:val="0"/>
        <w:bidi w:val="0"/>
        <w:adjustRightInd w:val="0"/>
        <w:snapToGrid w:val="0"/>
        <w:spacing w:line="240" w:lineRule="auto"/>
        <w:ind w:firstLine="482" w:firstLineChars="200"/>
        <w:textAlignment w:val="auto"/>
        <w:outlineLvl w:val="9"/>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※通信</w:t>
      </w:r>
      <w:r>
        <w:rPr>
          <w:rFonts w:hint="eastAsia" w:hAnsi="宋体" w:eastAsia="宋体" w:cs="宋体"/>
          <w:b/>
          <w:bCs w:val="0"/>
          <w:color w:val="auto"/>
          <w:sz w:val="24"/>
          <w:szCs w:val="24"/>
          <w:lang w:val="en-US" w:eastAsia="zh-CN"/>
        </w:rPr>
        <w:t>工程</w:t>
      </w:r>
      <w:r>
        <w:rPr>
          <w:rFonts w:hint="eastAsia" w:ascii="宋体" w:hAnsi="宋体" w:eastAsia="宋体" w:cs="宋体"/>
          <w:b/>
          <w:bCs w:val="0"/>
          <w:color w:val="auto"/>
          <w:sz w:val="24"/>
          <w:szCs w:val="24"/>
          <w:lang w:val="en-US" w:eastAsia="zh-CN"/>
        </w:rPr>
        <w:t>:</w:t>
      </w:r>
    </w:p>
    <w:p w14:paraId="4032F851">
      <w:pPr>
        <w:pStyle w:val="8"/>
        <w:keepNext w:val="0"/>
        <w:keepLines w:val="0"/>
        <w:pageBreakBefore w:val="0"/>
        <w:numPr>
          <w:ilvl w:val="0"/>
          <w:numId w:val="0"/>
        </w:numPr>
        <w:kinsoku/>
        <w:wordWrap/>
        <w:overflowPunct/>
        <w:topLinePunct w:val="0"/>
        <w:bidi w:val="0"/>
        <w:adjustRightInd w:val="0"/>
        <w:snapToGrid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1.110千伏凫洲至保税线路工程(管道光缆)</w:t>
      </w:r>
    </w:p>
    <w:p w14:paraId="204A9981">
      <w:pPr>
        <w:pStyle w:val="8"/>
        <w:keepNext w:val="0"/>
        <w:keepLines w:val="0"/>
        <w:pageBreakBefore w:val="0"/>
        <w:numPr>
          <w:ilvl w:val="0"/>
          <w:numId w:val="0"/>
        </w:numPr>
        <w:kinsoku/>
        <w:wordWrap/>
        <w:overflowPunct/>
        <w:topLinePunct w:val="0"/>
        <w:bidi w:val="0"/>
        <w:adjustRightInd w:val="0"/>
        <w:snapToGrid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随凫洲～保税110千伏电缆线路：敷设凫洲～保税1条48芯管道光缆，新建管道光缆长度约为1×10.62 千米。</w:t>
      </w:r>
    </w:p>
    <w:p w14:paraId="6BC90B6B">
      <w:pPr>
        <w:pStyle w:val="8"/>
        <w:keepNext w:val="0"/>
        <w:keepLines w:val="0"/>
        <w:pageBreakBefore w:val="0"/>
        <w:numPr>
          <w:ilvl w:val="0"/>
          <w:numId w:val="0"/>
        </w:numPr>
        <w:kinsoku/>
        <w:wordWrap/>
        <w:overflowPunct/>
        <w:topLinePunct w:val="0"/>
        <w:bidi w:val="0"/>
        <w:adjustRightInd w:val="0"/>
        <w:snapToGrid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2.设备配置</w:t>
      </w:r>
    </w:p>
    <w:p w14:paraId="38318A8D">
      <w:pPr>
        <w:pStyle w:val="8"/>
        <w:keepNext w:val="0"/>
        <w:keepLines w:val="0"/>
        <w:pageBreakBefore w:val="0"/>
        <w:numPr>
          <w:ilvl w:val="0"/>
          <w:numId w:val="0"/>
        </w:numPr>
        <w:kinsoku/>
        <w:wordWrap/>
        <w:overflowPunct/>
        <w:topLinePunct w:val="0"/>
        <w:bidi w:val="0"/>
        <w:adjustRightInd w:val="0"/>
        <w:snapToGrid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110千伏保税站新增1块2.5G板卡，开通传输新A网保税站～凫洲站1条2.5G光路，凫洲站设备板卡利旧。</w:t>
      </w:r>
    </w:p>
    <w:p w14:paraId="11BD3FCB">
      <w:pPr>
        <w:pStyle w:val="8"/>
        <w:keepNext w:val="0"/>
        <w:keepLines w:val="0"/>
        <w:pageBreakBefore w:val="0"/>
        <w:numPr>
          <w:ilvl w:val="0"/>
          <w:numId w:val="0"/>
        </w:numPr>
        <w:kinsoku/>
        <w:wordWrap/>
        <w:overflowPunct/>
        <w:topLinePunct w:val="0"/>
        <w:bidi w:val="0"/>
        <w:adjustRightInd w:val="0"/>
        <w:snapToGrid w:val="0"/>
        <w:spacing w:line="240" w:lineRule="auto"/>
        <w:ind w:firstLine="480" w:firstLineChars="200"/>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110千伏保税站、220千伏鱼飞站各新增1块10G板卡，开通传输新网B保税站～鱼飞站1条10G光路。</w:t>
      </w:r>
    </w:p>
    <w:p w14:paraId="7E5A7051">
      <w:pPr>
        <w:pStyle w:val="8"/>
        <w:keepNext w:val="0"/>
        <w:keepLines w:val="0"/>
        <w:pageBreakBefore w:val="0"/>
        <w:numPr>
          <w:ilvl w:val="0"/>
          <w:numId w:val="0"/>
        </w:numPr>
        <w:kinsoku/>
        <w:wordWrap/>
        <w:overflowPunct/>
        <w:topLinePunct w:val="0"/>
        <w:bidi w:val="0"/>
        <w:adjustRightInd w:val="0"/>
        <w:snapToGrid w:val="0"/>
        <w:spacing w:line="240" w:lineRule="auto"/>
        <w:textAlignment w:val="auto"/>
        <w:outlineLvl w:val="9"/>
        <w:rPr>
          <w:rFonts w:hint="eastAsia" w:ascii="宋体" w:hAnsi="宋体" w:eastAsia="宋体" w:cs="宋体"/>
          <w:b w:val="0"/>
          <w:bCs/>
          <w:color w:val="auto"/>
          <w:sz w:val="24"/>
          <w:szCs w:val="24"/>
          <w:lang w:val="en-US" w:eastAsia="zh-CN"/>
        </w:rPr>
      </w:pPr>
    </w:p>
    <w:p w14:paraId="281912AE">
      <w:pPr>
        <w:pStyle w:val="8"/>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宋体" w:hAnsi="宋体" w:eastAsia="宋体" w:cs="宋体"/>
          <w:bCs/>
          <w:color w:val="auto"/>
          <w:sz w:val="24"/>
          <w:szCs w:val="24"/>
          <w:lang w:val="en-US" w:eastAsia="zh-CN"/>
        </w:rPr>
        <w:t>具体建设规模以施工图纸为准。</w:t>
      </w:r>
    </w:p>
    <w:p w14:paraId="2B60ED00">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774CCF0D">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26B182A6">
      <w:pPr>
        <w:rPr>
          <w:rFonts w:hint="eastAsia"/>
          <w:highlight w:val="none"/>
          <w:lang w:val="en-US" w:eastAsia="zh-CN"/>
        </w:rPr>
      </w:pPr>
    </w:p>
    <w:p w14:paraId="5AD55163">
      <w:pPr>
        <w:pStyle w:val="3"/>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pPr w:leftFromText="180" w:rightFromText="180" w:vertAnchor="text" w:horzAnchor="page" w:tblpX="1646"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14:paraId="0A07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bottom w:val="single" w:color="auto" w:sz="4" w:space="0"/>
            </w:tcBorders>
            <w:noWrap w:val="0"/>
            <w:vAlign w:val="center"/>
          </w:tcPr>
          <w:p w14:paraId="70D7CA12">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2242" w:type="dxa"/>
            <w:tcBorders>
              <w:bottom w:val="single" w:color="auto" w:sz="4" w:space="0"/>
            </w:tcBorders>
            <w:noWrap w:val="0"/>
            <w:vAlign w:val="center"/>
          </w:tcPr>
          <w:p w14:paraId="211A09BE">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center"/>
          </w:tcPr>
          <w:p w14:paraId="43F3BA31">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33" w:type="dxa"/>
            <w:tcBorders>
              <w:bottom w:val="single" w:color="auto" w:sz="4" w:space="0"/>
            </w:tcBorders>
            <w:noWrap w:val="0"/>
            <w:vAlign w:val="center"/>
          </w:tcPr>
          <w:p w14:paraId="06084FC5">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9" w:type="dxa"/>
            <w:tcBorders>
              <w:bottom w:val="single" w:color="auto" w:sz="4" w:space="0"/>
            </w:tcBorders>
            <w:noWrap w:val="0"/>
            <w:vAlign w:val="center"/>
          </w:tcPr>
          <w:p w14:paraId="1F4C649D">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134" w:type="dxa"/>
            <w:tcBorders>
              <w:bottom w:val="single" w:color="auto" w:sz="4" w:space="0"/>
            </w:tcBorders>
            <w:noWrap w:val="0"/>
            <w:vAlign w:val="center"/>
          </w:tcPr>
          <w:p w14:paraId="5B8A6CCD">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14:paraId="0373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568A2D77">
            <w:pPr>
              <w:tabs>
                <w:tab w:val="left" w:pos="900"/>
              </w:tabs>
              <w:snapToGrid w:val="0"/>
              <w:spacing w:before="60" w:after="120"/>
              <w:ind w:right="-24"/>
              <w:jc w:val="center"/>
              <w:rPr>
                <w:rFonts w:ascii="宋体" w:hAnsi="宋体"/>
                <w:b/>
                <w:bCs/>
                <w:color w:val="auto"/>
                <w:highlight w:val="none"/>
              </w:rPr>
            </w:pPr>
            <w:r>
              <w:rPr>
                <w:rFonts w:hint="eastAsia" w:ascii="宋体" w:hAnsi="宋体"/>
                <w:b/>
                <w:bCs/>
                <w:color w:val="auto"/>
                <w:highlight w:val="none"/>
              </w:rPr>
              <w:t>1</w:t>
            </w:r>
          </w:p>
        </w:tc>
        <w:tc>
          <w:tcPr>
            <w:tcW w:w="2242" w:type="dxa"/>
            <w:tcBorders>
              <w:top w:val="single" w:color="auto" w:sz="4" w:space="0"/>
              <w:bottom w:val="single" w:color="auto" w:sz="4" w:space="0"/>
            </w:tcBorders>
            <w:noWrap w:val="0"/>
            <w:vAlign w:val="center"/>
          </w:tcPr>
          <w:p w14:paraId="48B34A01">
            <w:pPr>
              <w:tabs>
                <w:tab w:val="left" w:pos="900"/>
              </w:tabs>
              <w:snapToGrid w:val="0"/>
              <w:spacing w:before="60" w:after="120"/>
              <w:ind w:right="-24"/>
              <w:jc w:val="left"/>
              <w:rPr>
                <w:rFonts w:ascii="宋体" w:hAnsi="宋体"/>
                <w:b/>
                <w:bCs/>
                <w:color w:val="auto"/>
                <w:highlight w:val="none"/>
              </w:rPr>
            </w:pPr>
            <w:r>
              <w:rPr>
                <w:rFonts w:hint="eastAsia" w:hAnsi="宋体"/>
                <w:b/>
                <w:bCs/>
                <w:color w:val="auto"/>
                <w:highlight w:val="none"/>
                <w:u w:val="single"/>
              </w:rPr>
              <w:t>110千伏凫洲至保税线路工程监理</w:t>
            </w:r>
          </w:p>
        </w:tc>
        <w:tc>
          <w:tcPr>
            <w:tcW w:w="1519" w:type="dxa"/>
            <w:noWrap w:val="0"/>
            <w:vAlign w:val="center"/>
          </w:tcPr>
          <w:p w14:paraId="6CF96A01">
            <w:pPr>
              <w:tabs>
                <w:tab w:val="left" w:pos="900"/>
              </w:tabs>
              <w:snapToGrid w:val="0"/>
              <w:spacing w:before="60" w:after="120"/>
              <w:ind w:right="-24"/>
              <w:jc w:val="right"/>
              <w:rPr>
                <w:rFonts w:ascii="宋体" w:hAnsi="宋体"/>
                <w:b/>
                <w:bCs/>
                <w:color w:val="FF0000"/>
                <w:highlight w:val="none"/>
              </w:rPr>
            </w:pPr>
            <w:r>
              <w:rPr>
                <w:rFonts w:hint="eastAsia" w:ascii="宋体" w:hAnsi="宋体" w:eastAsia="宋体" w:cs="宋体"/>
                <w:b/>
                <w:bCs/>
                <w:i w:val="0"/>
                <w:color w:val="000000"/>
                <w:sz w:val="21"/>
                <w:szCs w:val="21"/>
                <w:u w:val="none"/>
                <w:lang w:val="en-US" w:eastAsia="zh-CN"/>
              </w:rPr>
              <w:t>434668.04</w:t>
            </w:r>
          </w:p>
        </w:tc>
        <w:tc>
          <w:tcPr>
            <w:tcW w:w="1033" w:type="dxa"/>
            <w:vMerge w:val="restart"/>
            <w:tcBorders>
              <w:top w:val="single" w:color="auto" w:sz="4" w:space="0"/>
            </w:tcBorders>
            <w:noWrap w:val="0"/>
            <w:vAlign w:val="center"/>
          </w:tcPr>
          <w:p w14:paraId="75D33938">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9" w:type="dxa"/>
            <w:tcBorders>
              <w:top w:val="single" w:color="auto" w:sz="4" w:space="0"/>
            </w:tcBorders>
            <w:noWrap w:val="0"/>
            <w:vAlign w:val="center"/>
          </w:tcPr>
          <w:p w14:paraId="1678CB47">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30B890BB">
            <w:pPr>
              <w:tabs>
                <w:tab w:val="left" w:pos="900"/>
              </w:tabs>
              <w:snapToGrid w:val="0"/>
              <w:spacing w:before="60" w:after="120"/>
              <w:ind w:right="-24"/>
              <w:jc w:val="center"/>
              <w:rPr>
                <w:rFonts w:ascii="宋体" w:hAnsi="宋体"/>
                <w:color w:val="auto"/>
                <w:highlight w:val="none"/>
              </w:rPr>
            </w:pPr>
          </w:p>
        </w:tc>
      </w:tr>
      <w:tr w14:paraId="3FF8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06321478">
            <w:pPr>
              <w:tabs>
                <w:tab w:val="left" w:pos="900"/>
              </w:tabs>
              <w:snapToGrid w:val="0"/>
              <w:spacing w:before="60" w:after="120"/>
              <w:ind w:right="-24"/>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1.1</w:t>
            </w:r>
          </w:p>
        </w:tc>
        <w:tc>
          <w:tcPr>
            <w:tcW w:w="2242" w:type="dxa"/>
            <w:tcBorders>
              <w:top w:val="single" w:color="auto" w:sz="4" w:space="0"/>
              <w:bottom w:val="single" w:color="auto" w:sz="4" w:space="0"/>
            </w:tcBorders>
            <w:noWrap w:val="0"/>
            <w:vAlign w:val="center"/>
          </w:tcPr>
          <w:p w14:paraId="5F16F34B">
            <w:pPr>
              <w:tabs>
                <w:tab w:val="left" w:pos="900"/>
              </w:tabs>
              <w:snapToGrid w:val="0"/>
              <w:spacing w:before="60" w:after="120"/>
              <w:ind w:right="-24"/>
              <w:jc w:val="left"/>
              <w:rPr>
                <w:rFonts w:hAnsi="宋体"/>
                <w:color w:val="auto"/>
                <w:highlight w:val="none"/>
                <w:u w:val="single"/>
              </w:rPr>
            </w:pPr>
            <w:r>
              <w:rPr>
                <w:rFonts w:hint="eastAsia" w:hAnsi="宋体"/>
                <w:color w:val="auto"/>
                <w:highlight w:val="none"/>
                <w:u w:val="single"/>
              </w:rPr>
              <w:t>其中：对侧220千伏凫洲站扩建工程监理</w:t>
            </w:r>
          </w:p>
        </w:tc>
        <w:tc>
          <w:tcPr>
            <w:tcW w:w="1519" w:type="dxa"/>
            <w:shd w:val="clear" w:color="auto" w:fill="auto"/>
            <w:noWrap w:val="0"/>
            <w:vAlign w:val="bottom"/>
          </w:tcPr>
          <w:p w14:paraId="72C283BD">
            <w:pPr>
              <w:keepNext w:val="0"/>
              <w:keepLines w:val="0"/>
              <w:widowControl/>
              <w:suppressLineNumbers w:val="0"/>
              <w:jc w:val="right"/>
              <w:textAlignment w:val="bottom"/>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b w:val="0"/>
                <w:bCs w:val="0"/>
                <w:i w:val="0"/>
                <w:color w:val="000000"/>
                <w:sz w:val="21"/>
                <w:szCs w:val="21"/>
                <w:u w:val="none"/>
                <w:lang w:val="en-US" w:eastAsia="zh-CN"/>
              </w:rPr>
              <w:t>46601.93</w:t>
            </w:r>
          </w:p>
        </w:tc>
        <w:tc>
          <w:tcPr>
            <w:tcW w:w="1033" w:type="dxa"/>
            <w:vMerge w:val="continue"/>
            <w:noWrap w:val="0"/>
            <w:vAlign w:val="center"/>
          </w:tcPr>
          <w:p w14:paraId="150A414B">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center"/>
          </w:tcPr>
          <w:p w14:paraId="0B5D319E">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2A64D3AC">
            <w:pPr>
              <w:tabs>
                <w:tab w:val="left" w:pos="900"/>
              </w:tabs>
              <w:snapToGrid w:val="0"/>
              <w:spacing w:before="60" w:after="120"/>
              <w:ind w:right="-24"/>
              <w:jc w:val="center"/>
              <w:rPr>
                <w:rFonts w:ascii="宋体" w:hAnsi="宋体"/>
                <w:color w:val="auto"/>
                <w:highlight w:val="none"/>
              </w:rPr>
            </w:pPr>
          </w:p>
        </w:tc>
      </w:tr>
      <w:tr w14:paraId="47A0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0D113811">
            <w:pPr>
              <w:tabs>
                <w:tab w:val="left" w:pos="900"/>
              </w:tabs>
              <w:snapToGrid w:val="0"/>
              <w:spacing w:before="60" w:after="120"/>
              <w:ind w:right="-24"/>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1.2</w:t>
            </w:r>
          </w:p>
        </w:tc>
        <w:tc>
          <w:tcPr>
            <w:tcW w:w="2242" w:type="dxa"/>
            <w:tcBorders>
              <w:top w:val="single" w:color="auto" w:sz="4" w:space="0"/>
              <w:bottom w:val="single" w:color="auto" w:sz="4" w:space="0"/>
            </w:tcBorders>
            <w:noWrap w:val="0"/>
            <w:vAlign w:val="center"/>
          </w:tcPr>
          <w:p w14:paraId="0B3955E5">
            <w:pPr>
              <w:tabs>
                <w:tab w:val="left" w:pos="900"/>
              </w:tabs>
              <w:snapToGrid w:val="0"/>
              <w:spacing w:before="60" w:after="120"/>
              <w:ind w:right="-24"/>
              <w:jc w:val="left"/>
              <w:rPr>
                <w:rFonts w:hAnsi="宋体"/>
                <w:color w:val="auto"/>
                <w:highlight w:val="none"/>
                <w:u w:val="single"/>
              </w:rPr>
            </w:pPr>
            <w:r>
              <w:rPr>
                <w:rFonts w:hint="eastAsia" w:hAnsi="宋体"/>
                <w:color w:val="auto"/>
                <w:highlight w:val="none"/>
                <w:u w:val="single"/>
              </w:rPr>
              <w:t>对侧110千伏保税站扩建工程监理</w:t>
            </w:r>
          </w:p>
        </w:tc>
        <w:tc>
          <w:tcPr>
            <w:tcW w:w="1519" w:type="dxa"/>
            <w:shd w:val="clear" w:color="auto" w:fill="auto"/>
            <w:noWrap w:val="0"/>
            <w:vAlign w:val="bottom"/>
          </w:tcPr>
          <w:p w14:paraId="0F9038D8">
            <w:pPr>
              <w:keepNext w:val="0"/>
              <w:keepLines w:val="0"/>
              <w:widowControl/>
              <w:suppressLineNumbers w:val="0"/>
              <w:jc w:val="right"/>
              <w:textAlignment w:val="bottom"/>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b w:val="0"/>
                <w:bCs w:val="0"/>
                <w:i w:val="0"/>
                <w:color w:val="000000"/>
                <w:sz w:val="21"/>
                <w:szCs w:val="21"/>
                <w:u w:val="none"/>
                <w:lang w:val="en-US" w:eastAsia="zh-CN"/>
              </w:rPr>
              <w:t>4078.50</w:t>
            </w:r>
          </w:p>
        </w:tc>
        <w:tc>
          <w:tcPr>
            <w:tcW w:w="1033" w:type="dxa"/>
            <w:vMerge w:val="continue"/>
            <w:noWrap w:val="0"/>
            <w:vAlign w:val="center"/>
          </w:tcPr>
          <w:p w14:paraId="0E1F5043">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center"/>
          </w:tcPr>
          <w:p w14:paraId="33186F41">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7761FC30">
            <w:pPr>
              <w:tabs>
                <w:tab w:val="left" w:pos="900"/>
              </w:tabs>
              <w:snapToGrid w:val="0"/>
              <w:spacing w:before="60" w:after="120"/>
              <w:ind w:right="-24"/>
              <w:jc w:val="center"/>
              <w:rPr>
                <w:rFonts w:ascii="宋体" w:hAnsi="宋体"/>
                <w:color w:val="auto"/>
                <w:highlight w:val="none"/>
              </w:rPr>
            </w:pPr>
          </w:p>
        </w:tc>
      </w:tr>
      <w:tr w14:paraId="1196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57202AB4">
            <w:pPr>
              <w:tabs>
                <w:tab w:val="left" w:pos="900"/>
              </w:tabs>
              <w:snapToGrid w:val="0"/>
              <w:spacing w:before="60" w:after="120"/>
              <w:ind w:right="-24"/>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1.3</w:t>
            </w:r>
          </w:p>
        </w:tc>
        <w:tc>
          <w:tcPr>
            <w:tcW w:w="2242" w:type="dxa"/>
            <w:tcBorders>
              <w:top w:val="single" w:color="auto" w:sz="4" w:space="0"/>
              <w:bottom w:val="single" w:color="auto" w:sz="4" w:space="0"/>
            </w:tcBorders>
            <w:noWrap w:val="0"/>
            <w:vAlign w:val="center"/>
          </w:tcPr>
          <w:p w14:paraId="4B564AB1">
            <w:pPr>
              <w:shd w:val="clear" w:color="auto" w:fill="auto"/>
              <w:tabs>
                <w:tab w:val="left" w:pos="900"/>
              </w:tabs>
              <w:snapToGrid w:val="0"/>
              <w:spacing w:before="60" w:after="120"/>
              <w:ind w:right="-24"/>
              <w:jc w:val="left"/>
              <w:rPr>
                <w:rFonts w:hint="eastAsia" w:ascii="宋体" w:hAnsi="宋体" w:eastAsia="宋体"/>
                <w:color w:val="auto"/>
                <w:highlight w:val="none"/>
                <w:lang w:val="en-US" w:eastAsia="zh-CN"/>
              </w:rPr>
            </w:pPr>
            <w:r>
              <w:rPr>
                <w:rFonts w:hint="eastAsia" w:hAnsi="宋体" w:cs="Times New Roman"/>
                <w:color w:val="auto"/>
                <w:highlight w:val="none"/>
                <w:u w:val="single"/>
              </w:rPr>
              <w:t>110kV凫洲至保税线路工程</w:t>
            </w:r>
            <w:r>
              <w:rPr>
                <w:rFonts w:hint="eastAsia" w:hAnsi="宋体" w:cs="Times New Roman"/>
                <w:color w:val="auto"/>
                <w:highlight w:val="none"/>
                <w:u w:val="single"/>
                <w:lang w:val="en-US" w:eastAsia="zh-CN"/>
              </w:rPr>
              <w:t>监理</w:t>
            </w:r>
          </w:p>
        </w:tc>
        <w:tc>
          <w:tcPr>
            <w:tcW w:w="1519" w:type="dxa"/>
            <w:noWrap w:val="0"/>
            <w:vAlign w:val="center"/>
          </w:tcPr>
          <w:p w14:paraId="2F0019E4">
            <w:pPr>
              <w:tabs>
                <w:tab w:val="left" w:pos="900"/>
              </w:tabs>
              <w:snapToGrid w:val="0"/>
              <w:spacing w:before="60" w:after="120"/>
              <w:ind w:right="-24"/>
              <w:jc w:val="right"/>
              <w:rPr>
                <w:rFonts w:ascii="宋体" w:hAnsi="宋体"/>
                <w:color w:val="FF0000"/>
                <w:highlight w:val="none"/>
              </w:rPr>
            </w:pPr>
            <w:r>
              <w:rPr>
                <w:rFonts w:hint="eastAsia" w:ascii="宋体" w:hAnsi="宋体" w:eastAsia="宋体" w:cs="宋体"/>
                <w:b w:val="0"/>
                <w:bCs w:val="0"/>
                <w:i w:val="0"/>
                <w:color w:val="000000"/>
                <w:sz w:val="21"/>
                <w:szCs w:val="21"/>
                <w:u w:val="none"/>
                <w:lang w:val="en-US" w:eastAsia="zh-CN"/>
              </w:rPr>
              <w:t>371702.50</w:t>
            </w:r>
          </w:p>
        </w:tc>
        <w:tc>
          <w:tcPr>
            <w:tcW w:w="1033" w:type="dxa"/>
            <w:vMerge w:val="continue"/>
            <w:noWrap w:val="0"/>
            <w:vAlign w:val="center"/>
          </w:tcPr>
          <w:p w14:paraId="14D7D9F7">
            <w:pPr>
              <w:tabs>
                <w:tab w:val="left" w:pos="900"/>
              </w:tabs>
              <w:snapToGrid w:val="0"/>
              <w:spacing w:before="60" w:after="120"/>
              <w:ind w:right="-24"/>
              <w:jc w:val="center"/>
              <w:rPr>
                <w:rFonts w:ascii="宋体" w:hAnsi="宋体"/>
                <w:color w:val="auto"/>
                <w:highlight w:val="none"/>
              </w:rPr>
            </w:pPr>
          </w:p>
        </w:tc>
        <w:tc>
          <w:tcPr>
            <w:tcW w:w="1559" w:type="dxa"/>
            <w:noWrap w:val="0"/>
            <w:vAlign w:val="center"/>
          </w:tcPr>
          <w:p w14:paraId="13350D8F">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636BCDF8">
            <w:pPr>
              <w:tabs>
                <w:tab w:val="left" w:pos="900"/>
              </w:tabs>
              <w:snapToGrid w:val="0"/>
              <w:spacing w:before="60" w:after="120"/>
              <w:ind w:right="-24"/>
              <w:jc w:val="center"/>
              <w:rPr>
                <w:rFonts w:ascii="宋体" w:hAnsi="宋体"/>
                <w:color w:val="auto"/>
                <w:highlight w:val="none"/>
              </w:rPr>
            </w:pPr>
          </w:p>
        </w:tc>
      </w:tr>
      <w:tr w14:paraId="63F5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6478A4AA">
            <w:pPr>
              <w:tabs>
                <w:tab w:val="left" w:pos="900"/>
              </w:tabs>
              <w:snapToGrid w:val="0"/>
              <w:spacing w:before="60" w:after="120"/>
              <w:ind w:right="-24"/>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1.4</w:t>
            </w:r>
          </w:p>
        </w:tc>
        <w:tc>
          <w:tcPr>
            <w:tcW w:w="2242" w:type="dxa"/>
            <w:tcBorders>
              <w:top w:val="single" w:color="auto" w:sz="4" w:space="0"/>
              <w:bottom w:val="single" w:color="auto" w:sz="4" w:space="0"/>
            </w:tcBorders>
            <w:noWrap w:val="0"/>
            <w:vAlign w:val="center"/>
          </w:tcPr>
          <w:p w14:paraId="59230FB6">
            <w:pPr>
              <w:tabs>
                <w:tab w:val="left" w:pos="900"/>
              </w:tabs>
              <w:snapToGrid w:val="0"/>
              <w:spacing w:before="60" w:after="120"/>
              <w:ind w:right="-24"/>
              <w:jc w:val="left"/>
              <w:rPr>
                <w:rFonts w:hint="eastAsia" w:hAnsi="宋体" w:eastAsia="宋体"/>
                <w:color w:val="auto"/>
                <w:highlight w:val="none"/>
                <w:u w:val="single"/>
                <w:lang w:val="en-US" w:eastAsia="zh-CN"/>
              </w:rPr>
            </w:pPr>
            <w:r>
              <w:rPr>
                <w:rFonts w:hint="eastAsia" w:hAnsi="宋体"/>
                <w:color w:val="auto"/>
                <w:highlight w:val="none"/>
                <w:u w:val="single"/>
              </w:rPr>
              <w:t>站内通信</w:t>
            </w:r>
            <w:r>
              <w:rPr>
                <w:rFonts w:hint="eastAsia" w:hAnsi="宋体"/>
                <w:color w:val="auto"/>
                <w:highlight w:val="none"/>
                <w:u w:val="single"/>
                <w:lang w:val="en-US" w:eastAsia="zh-CN"/>
              </w:rPr>
              <w:t>监理</w:t>
            </w:r>
          </w:p>
        </w:tc>
        <w:tc>
          <w:tcPr>
            <w:tcW w:w="1519" w:type="dxa"/>
            <w:shd w:val="clear" w:color="auto" w:fill="auto"/>
            <w:noWrap w:val="0"/>
            <w:vAlign w:val="bottom"/>
          </w:tcPr>
          <w:p w14:paraId="5891B8DE">
            <w:pPr>
              <w:keepNext w:val="0"/>
              <w:keepLines w:val="0"/>
              <w:widowControl/>
              <w:suppressLineNumbers w:val="0"/>
              <w:jc w:val="right"/>
              <w:textAlignment w:val="bottom"/>
              <w:rPr>
                <w:rFonts w:hint="default" w:ascii="宋体" w:hAnsi="宋体" w:eastAsia="宋体" w:cs="宋体"/>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933.94</w:t>
            </w:r>
          </w:p>
        </w:tc>
        <w:tc>
          <w:tcPr>
            <w:tcW w:w="1033" w:type="dxa"/>
            <w:vMerge w:val="continue"/>
            <w:noWrap w:val="0"/>
            <w:vAlign w:val="center"/>
          </w:tcPr>
          <w:p w14:paraId="7A3EFBC8">
            <w:pPr>
              <w:tabs>
                <w:tab w:val="left" w:pos="900"/>
              </w:tabs>
              <w:snapToGrid w:val="0"/>
              <w:spacing w:before="60" w:after="120"/>
              <w:ind w:right="-24"/>
              <w:jc w:val="center"/>
              <w:rPr>
                <w:rFonts w:ascii="宋体" w:hAnsi="宋体"/>
                <w:color w:val="auto"/>
                <w:highlight w:val="none"/>
              </w:rPr>
            </w:pPr>
          </w:p>
        </w:tc>
        <w:tc>
          <w:tcPr>
            <w:tcW w:w="1559" w:type="dxa"/>
            <w:noWrap w:val="0"/>
            <w:vAlign w:val="center"/>
          </w:tcPr>
          <w:p w14:paraId="40FC1138">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522E22CA">
            <w:pPr>
              <w:tabs>
                <w:tab w:val="left" w:pos="900"/>
              </w:tabs>
              <w:snapToGrid w:val="0"/>
              <w:spacing w:before="60" w:after="120"/>
              <w:ind w:right="-24"/>
              <w:jc w:val="center"/>
              <w:rPr>
                <w:rFonts w:ascii="宋体" w:hAnsi="宋体"/>
                <w:color w:val="auto"/>
                <w:highlight w:val="none"/>
              </w:rPr>
            </w:pPr>
          </w:p>
        </w:tc>
      </w:tr>
      <w:tr w14:paraId="06C2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4A0BFAF6">
            <w:pPr>
              <w:tabs>
                <w:tab w:val="left" w:pos="900"/>
              </w:tabs>
              <w:snapToGrid w:val="0"/>
              <w:spacing w:before="60" w:after="120"/>
              <w:ind w:right="-24"/>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1.5</w:t>
            </w:r>
          </w:p>
        </w:tc>
        <w:tc>
          <w:tcPr>
            <w:tcW w:w="2242" w:type="dxa"/>
            <w:tcBorders>
              <w:top w:val="single" w:color="auto" w:sz="4" w:space="0"/>
              <w:bottom w:val="single" w:color="auto" w:sz="4" w:space="0"/>
            </w:tcBorders>
            <w:noWrap w:val="0"/>
            <w:vAlign w:val="center"/>
          </w:tcPr>
          <w:p w14:paraId="003EEB7D">
            <w:pPr>
              <w:tabs>
                <w:tab w:val="left" w:pos="900"/>
              </w:tabs>
              <w:snapToGrid w:val="0"/>
              <w:spacing w:before="60" w:after="120"/>
              <w:ind w:right="-24"/>
              <w:jc w:val="left"/>
              <w:rPr>
                <w:rFonts w:hint="eastAsia" w:hAnsi="宋体" w:eastAsia="宋体"/>
                <w:color w:val="auto"/>
                <w:highlight w:val="none"/>
                <w:u w:val="single"/>
                <w:lang w:val="en-US" w:eastAsia="zh-CN"/>
              </w:rPr>
            </w:pPr>
            <w:r>
              <w:rPr>
                <w:rFonts w:hint="eastAsia" w:hAnsi="宋体"/>
                <w:color w:val="auto"/>
                <w:highlight w:val="none"/>
                <w:u w:val="single"/>
              </w:rPr>
              <w:t>110kV凫洲至保税线路工程（管道光缆）</w:t>
            </w:r>
            <w:r>
              <w:rPr>
                <w:rFonts w:hint="eastAsia" w:hAnsi="宋体"/>
                <w:color w:val="auto"/>
                <w:highlight w:val="none"/>
                <w:u w:val="single"/>
                <w:lang w:val="en-US" w:eastAsia="zh-CN"/>
              </w:rPr>
              <w:t>监理</w:t>
            </w:r>
          </w:p>
        </w:tc>
        <w:tc>
          <w:tcPr>
            <w:tcW w:w="1519" w:type="dxa"/>
            <w:shd w:val="clear" w:color="auto" w:fill="auto"/>
            <w:noWrap w:val="0"/>
            <w:vAlign w:val="bottom"/>
          </w:tcPr>
          <w:p w14:paraId="3EBAF2A2">
            <w:pPr>
              <w:keepNext w:val="0"/>
              <w:keepLines w:val="0"/>
              <w:widowControl/>
              <w:suppressLineNumbers w:val="0"/>
              <w:jc w:val="right"/>
              <w:textAlignment w:val="bottom"/>
              <w:rPr>
                <w:rFonts w:hint="eastAsia" w:ascii="宋体" w:hAnsi="宋体" w:eastAsia="宋体" w:cs="宋体"/>
                <w:b w:val="0"/>
                <w:bCs w:val="0"/>
                <w:i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11351.17</w:t>
            </w:r>
          </w:p>
        </w:tc>
        <w:tc>
          <w:tcPr>
            <w:tcW w:w="1033" w:type="dxa"/>
            <w:vMerge w:val="continue"/>
            <w:noWrap w:val="0"/>
            <w:vAlign w:val="center"/>
          </w:tcPr>
          <w:p w14:paraId="35E40EF2">
            <w:pPr>
              <w:tabs>
                <w:tab w:val="left" w:pos="900"/>
              </w:tabs>
              <w:snapToGrid w:val="0"/>
              <w:spacing w:before="60" w:after="120"/>
              <w:ind w:right="-24"/>
              <w:jc w:val="center"/>
              <w:rPr>
                <w:rFonts w:ascii="宋体" w:hAnsi="宋体"/>
                <w:color w:val="auto"/>
                <w:highlight w:val="none"/>
              </w:rPr>
            </w:pPr>
          </w:p>
        </w:tc>
        <w:tc>
          <w:tcPr>
            <w:tcW w:w="1559" w:type="dxa"/>
            <w:noWrap w:val="0"/>
            <w:vAlign w:val="center"/>
          </w:tcPr>
          <w:p w14:paraId="06EA820F">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7995EFF4">
            <w:pPr>
              <w:tabs>
                <w:tab w:val="left" w:pos="900"/>
              </w:tabs>
              <w:snapToGrid w:val="0"/>
              <w:spacing w:before="60" w:after="120"/>
              <w:ind w:right="-24"/>
              <w:jc w:val="center"/>
              <w:rPr>
                <w:rFonts w:ascii="宋体" w:hAnsi="宋体"/>
                <w:color w:val="auto"/>
                <w:highlight w:val="none"/>
              </w:rPr>
            </w:pPr>
          </w:p>
        </w:tc>
      </w:tr>
      <w:tr w14:paraId="0E38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top w:val="single" w:color="auto" w:sz="4" w:space="0"/>
              <w:bottom w:val="single" w:color="auto" w:sz="4" w:space="0"/>
            </w:tcBorders>
            <w:noWrap w:val="0"/>
            <w:vAlign w:val="center"/>
          </w:tcPr>
          <w:p w14:paraId="1A5F69AD">
            <w:pPr>
              <w:tabs>
                <w:tab w:val="left" w:pos="900"/>
              </w:tabs>
              <w:snapToGrid w:val="0"/>
              <w:spacing w:before="60" w:after="120"/>
              <w:ind w:right="-24"/>
              <w:jc w:val="center"/>
              <w:rPr>
                <w:rFonts w:hint="eastAsia" w:hAnsi="宋体"/>
                <w:color w:val="auto"/>
                <w:highlight w:val="none"/>
                <w:u w:val="single"/>
              </w:rPr>
            </w:pPr>
            <w:r>
              <w:rPr>
                <w:rFonts w:hint="eastAsia" w:ascii="宋体" w:hAnsi="宋体"/>
                <w:b/>
                <w:color w:val="auto"/>
                <w:szCs w:val="21"/>
                <w:highlight w:val="none"/>
              </w:rPr>
              <w:t>投标报价总金额(大写)</w:t>
            </w:r>
          </w:p>
        </w:tc>
        <w:tc>
          <w:tcPr>
            <w:tcW w:w="5245" w:type="dxa"/>
            <w:gridSpan w:val="4"/>
            <w:noWrap w:val="0"/>
            <w:vAlign w:val="center"/>
          </w:tcPr>
          <w:p w14:paraId="55A5B3CA">
            <w:pPr>
              <w:tabs>
                <w:tab w:val="left" w:pos="900"/>
              </w:tabs>
              <w:snapToGrid w:val="0"/>
              <w:spacing w:before="60" w:after="120"/>
              <w:ind w:right="-24"/>
              <w:jc w:val="center"/>
              <w:rPr>
                <w:rFonts w:ascii="宋体" w:hAnsi="宋体"/>
                <w:color w:val="auto"/>
                <w:highlight w:val="none"/>
              </w:rPr>
            </w:pPr>
          </w:p>
        </w:tc>
      </w:tr>
    </w:tbl>
    <w:p w14:paraId="1F68E2DB">
      <w:pPr>
        <w:pStyle w:val="2"/>
        <w:rPr>
          <w:rFonts w:hint="eastAsia"/>
          <w:highlight w:val="none"/>
          <w:lang w:val="en-US" w:eastAsia="zh-CN"/>
        </w:rPr>
      </w:pPr>
    </w:p>
    <w:p w14:paraId="0D6BAE3A">
      <w:pPr>
        <w:rPr>
          <w:rFonts w:hint="eastAsia"/>
          <w:highlight w:val="none"/>
          <w:lang w:val="en-US" w:eastAsia="zh-CN"/>
        </w:rPr>
      </w:pPr>
    </w:p>
    <w:p w14:paraId="1247EB6C">
      <w:pPr>
        <w:pStyle w:val="2"/>
        <w:rPr>
          <w:rFonts w:hint="eastAsia"/>
          <w:highlight w:val="none"/>
          <w:lang w:val="en-US" w:eastAsia="zh-CN"/>
        </w:rPr>
      </w:pPr>
    </w:p>
    <w:p w14:paraId="6FF000CF">
      <w:pPr>
        <w:rPr>
          <w:rFonts w:hint="eastAsia"/>
          <w:highlight w:val="none"/>
          <w:lang w:val="en-US" w:eastAsia="zh-CN"/>
        </w:rPr>
      </w:pPr>
    </w:p>
    <w:p w14:paraId="28ED0AE9">
      <w:pPr>
        <w:pStyle w:val="2"/>
        <w:rPr>
          <w:rFonts w:hint="eastAsia"/>
          <w:highlight w:val="none"/>
          <w:lang w:val="en-US" w:eastAsia="zh-CN"/>
        </w:rPr>
      </w:pPr>
    </w:p>
    <w:p w14:paraId="254AF222">
      <w:pPr>
        <w:rPr>
          <w:rFonts w:hint="eastAsia"/>
          <w:highlight w:val="none"/>
          <w:lang w:val="en-US" w:eastAsia="zh-CN"/>
        </w:rPr>
      </w:pPr>
    </w:p>
    <w:p w14:paraId="2BF5E130">
      <w:pPr>
        <w:pStyle w:val="2"/>
        <w:rPr>
          <w:rFonts w:hint="eastAsia"/>
          <w:highlight w:val="none"/>
          <w:lang w:val="en-US" w:eastAsia="zh-CN"/>
        </w:rPr>
      </w:pPr>
    </w:p>
    <w:p w14:paraId="7F1CBFF8">
      <w:pPr>
        <w:rPr>
          <w:rFonts w:hint="eastAsia"/>
          <w:highlight w:val="none"/>
          <w:lang w:val="en-US" w:eastAsia="zh-CN"/>
        </w:rPr>
      </w:pPr>
    </w:p>
    <w:p w14:paraId="268DC2D9">
      <w:pPr>
        <w:pStyle w:val="2"/>
        <w:rPr>
          <w:rFonts w:hint="eastAsia"/>
          <w:highlight w:val="none"/>
          <w:lang w:val="en-US" w:eastAsia="zh-CN"/>
        </w:rPr>
      </w:pPr>
    </w:p>
    <w:p w14:paraId="50C1FCB9">
      <w:pPr>
        <w:rPr>
          <w:rFonts w:hint="eastAsia"/>
          <w:highlight w:val="none"/>
          <w:lang w:val="en-US" w:eastAsia="zh-CN"/>
        </w:rPr>
      </w:pPr>
    </w:p>
    <w:p w14:paraId="7C41ADB6">
      <w:pPr>
        <w:pStyle w:val="2"/>
        <w:rPr>
          <w:rFonts w:hint="eastAsia"/>
          <w:highlight w:val="none"/>
          <w:lang w:val="en-US" w:eastAsia="zh-CN"/>
        </w:rPr>
      </w:pPr>
    </w:p>
    <w:p w14:paraId="720190EF">
      <w:pPr>
        <w:rPr>
          <w:rFonts w:hint="eastAsia"/>
          <w:highlight w:val="none"/>
          <w:lang w:val="en-US" w:eastAsia="zh-CN"/>
        </w:rPr>
      </w:pPr>
    </w:p>
    <w:p w14:paraId="790300E0">
      <w:pPr>
        <w:pStyle w:val="2"/>
        <w:rPr>
          <w:rFonts w:hint="eastAsia"/>
          <w:highlight w:val="none"/>
          <w:lang w:val="en-US" w:eastAsia="zh-CN"/>
        </w:rPr>
      </w:pPr>
    </w:p>
    <w:p w14:paraId="7FBAC357">
      <w:pPr>
        <w:rPr>
          <w:rFonts w:hint="eastAsia"/>
          <w:highlight w:val="none"/>
          <w:lang w:val="en-US" w:eastAsia="zh-CN"/>
        </w:rPr>
      </w:pPr>
    </w:p>
    <w:p w14:paraId="739124B1">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0A34DD42">
      <w:pPr>
        <w:pStyle w:val="9"/>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按下浮率报价（保留两位小数，如8.88%），同时填报投标报价（投标报价=最高投标限价*（1-投标下浮率），四舍五入保留两位小数）。当投标报价与投标下浮率计算结果不一致时，以投标下浮率为准，按上述公式修订投标报价，如单项报价与投标下浮率不对应的也需按投标下浮率修正单项报价。</w:t>
      </w:r>
    </w:p>
    <w:p w14:paraId="0494BEC1">
      <w:pPr>
        <w:pStyle w:val="9"/>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（2）投标下浮率不低于0%为有效报价；当投标下浮率＞10%时应附成本分析报告，充分说明单价和费用的组成、降低成本的合理措施及在其他工程中应用过的经验等，经评审通过后方可视为有效报价。</w:t>
      </w:r>
    </w:p>
    <w:p w14:paraId="7A8828E7">
      <w:pPr>
        <w:pStyle w:val="9"/>
        <w:jc w:val="left"/>
        <w:rPr>
          <w:rFonts w:hint="default"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（3）价格分计算时，投标人评标价按（100-投标人填写的下浮数值）参与计算。如：下浮率为1.88％时，评标价按（100-1.88）参与计算。</w:t>
      </w:r>
    </w:p>
    <w:p w14:paraId="5B1741FB">
      <w:pPr>
        <w:rPr>
          <w:rFonts w:hint="eastAsia"/>
          <w:highlight w:val="none"/>
          <w:lang w:val="en-US" w:eastAsia="zh-CN"/>
        </w:rPr>
      </w:pPr>
    </w:p>
    <w:p w14:paraId="7FBD23DE">
      <w:pPr>
        <w:pStyle w:val="3"/>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4547B608">
      <w:pPr>
        <w:pStyle w:val="9"/>
        <w:jc w:val="left"/>
        <w:rPr>
          <w:rFonts w:hint="default"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详见合同相关条款。</w:t>
      </w:r>
    </w:p>
    <w:p w14:paraId="27388A13">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480F2077">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010AE305">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1D931286">
      <w:pPr>
        <w:pStyle w:val="9"/>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64D8B5FF">
      <w:pPr>
        <w:rPr>
          <w:rFonts w:hint="eastAsia" w:ascii="宋体" w:hAnsi="宋体" w:eastAsia="宋体" w:cs="宋体"/>
          <w:color w:val="auto"/>
          <w:kern w:val="2"/>
          <w:sz w:val="24"/>
          <w:szCs w:val="24"/>
          <w:highlight w:val="none"/>
          <w:u w:val="single"/>
          <w:lang w:val="en-US" w:eastAsia="zh-CN" w:bidi="ar-SA"/>
        </w:rPr>
      </w:pPr>
    </w:p>
    <w:p w14:paraId="2BAFA1F5">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16E8A498">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0A73F5D4">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7B73004F">
      <w:pPr>
        <w:pStyle w:val="8"/>
        <w:rPr>
          <w:rFonts w:hint="eastAsia" w:asciiTheme="minorEastAsia" w:hAnsiTheme="minorEastAsia" w:eastAsiaTheme="minorEastAsia" w:cstheme="minorEastAsia"/>
          <w:i w:val="0"/>
          <w:iCs/>
          <w:color w:val="auto"/>
          <w:sz w:val="24"/>
          <w:szCs w:val="24"/>
          <w:highlight w:val="none"/>
        </w:rPr>
      </w:pPr>
    </w:p>
    <w:p w14:paraId="5F0E5282">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0AD3A0EA">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01EB68C0">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5A5D136E">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3F2BCE44">
      <w:pPr>
        <w:pStyle w:val="8"/>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2B5C019A">
      <w:pPr>
        <w:pStyle w:val="8"/>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3624221F">
      <w:pPr>
        <w:pStyle w:val="8"/>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4D88295F">
      <w:pPr>
        <w:pStyle w:val="8"/>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2CF212B0">
      <w:pPr>
        <w:pStyle w:val="8"/>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06CF284D">
      <w:pPr>
        <w:pStyle w:val="8"/>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551576EE">
      <w:pPr>
        <w:pStyle w:val="8"/>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02A8D0EC">
      <w:pPr>
        <w:pStyle w:val="8"/>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20E6E499">
      <w:pPr>
        <w:pStyle w:val="8"/>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5A8B40A1">
      <w:pPr>
        <w:pStyle w:val="8"/>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2C84577C">
      <w:pPr>
        <w:pStyle w:val="3"/>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45C9E315">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lang w:val="en-US" w:eastAsia="zh-CN"/>
        </w:rPr>
        <w:t>无</w:t>
      </w:r>
      <w:r>
        <w:rPr>
          <w:rFonts w:hint="eastAsia"/>
          <w:color w:val="auto"/>
          <w:sz w:val="24"/>
          <w:szCs w:val="24"/>
          <w:highlight w:val="none"/>
        </w:rPr>
        <w:t>。</w:t>
      </w:r>
    </w:p>
    <w:p w14:paraId="4BD7BC19">
      <w:pPr>
        <w:pStyle w:val="3"/>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25A58C3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6C4BC88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（1）工程项目批复文件；</w:t>
      </w:r>
    </w:p>
    <w:p w14:paraId="5434D21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）工程前期有关文件（可研及初设审批文件）。</w:t>
      </w:r>
    </w:p>
    <w:p w14:paraId="1B5BFEB8">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7D7099C8">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59742B92">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206B2AE2">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4B9378AB">
      <w:pPr>
        <w:pStyle w:val="8"/>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8" w:name="_GoBack"/>
      <w:bookmarkEnd w:id="8"/>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34C42F7"/>
    <w:rsid w:val="03F1316B"/>
    <w:rsid w:val="04A24F71"/>
    <w:rsid w:val="076F3B3B"/>
    <w:rsid w:val="07CA37DF"/>
    <w:rsid w:val="07CC3833"/>
    <w:rsid w:val="08641943"/>
    <w:rsid w:val="0BC07002"/>
    <w:rsid w:val="0BD30473"/>
    <w:rsid w:val="0E2F4C02"/>
    <w:rsid w:val="0E3616E0"/>
    <w:rsid w:val="0E937FF7"/>
    <w:rsid w:val="0F81532F"/>
    <w:rsid w:val="102A0151"/>
    <w:rsid w:val="107144D2"/>
    <w:rsid w:val="116419AD"/>
    <w:rsid w:val="11794537"/>
    <w:rsid w:val="11DF6CFE"/>
    <w:rsid w:val="13383335"/>
    <w:rsid w:val="14440D4B"/>
    <w:rsid w:val="14904B4F"/>
    <w:rsid w:val="14B666F3"/>
    <w:rsid w:val="15056A61"/>
    <w:rsid w:val="16C53498"/>
    <w:rsid w:val="182633AB"/>
    <w:rsid w:val="18E57496"/>
    <w:rsid w:val="1A2D5CFF"/>
    <w:rsid w:val="1A386933"/>
    <w:rsid w:val="1A4F176B"/>
    <w:rsid w:val="1A912F72"/>
    <w:rsid w:val="1B663F82"/>
    <w:rsid w:val="1C2D4629"/>
    <w:rsid w:val="1C43636C"/>
    <w:rsid w:val="1D904223"/>
    <w:rsid w:val="1F653C49"/>
    <w:rsid w:val="1F6C0D31"/>
    <w:rsid w:val="1FF914D4"/>
    <w:rsid w:val="20735046"/>
    <w:rsid w:val="216F4D5B"/>
    <w:rsid w:val="23B738BA"/>
    <w:rsid w:val="24E67795"/>
    <w:rsid w:val="24F737D8"/>
    <w:rsid w:val="25100685"/>
    <w:rsid w:val="26A73075"/>
    <w:rsid w:val="2AE20358"/>
    <w:rsid w:val="2CA17C08"/>
    <w:rsid w:val="2DDF66E3"/>
    <w:rsid w:val="2FF65FF8"/>
    <w:rsid w:val="300D195C"/>
    <w:rsid w:val="30BF37B5"/>
    <w:rsid w:val="31C955A9"/>
    <w:rsid w:val="33B200AF"/>
    <w:rsid w:val="33E61BE2"/>
    <w:rsid w:val="361736AD"/>
    <w:rsid w:val="36D200CF"/>
    <w:rsid w:val="379951F8"/>
    <w:rsid w:val="38382DC3"/>
    <w:rsid w:val="38DE045C"/>
    <w:rsid w:val="3A546240"/>
    <w:rsid w:val="3BF24D81"/>
    <w:rsid w:val="3BFE7BEA"/>
    <w:rsid w:val="3C4750A3"/>
    <w:rsid w:val="3C4A35F1"/>
    <w:rsid w:val="3E664B6D"/>
    <w:rsid w:val="3ED7087B"/>
    <w:rsid w:val="3F141BFC"/>
    <w:rsid w:val="444D481C"/>
    <w:rsid w:val="44982260"/>
    <w:rsid w:val="44D414C9"/>
    <w:rsid w:val="46472D5E"/>
    <w:rsid w:val="496A657E"/>
    <w:rsid w:val="49843C09"/>
    <w:rsid w:val="4B3A1BDA"/>
    <w:rsid w:val="4BF83760"/>
    <w:rsid w:val="4C8349B8"/>
    <w:rsid w:val="520D6E5F"/>
    <w:rsid w:val="53115540"/>
    <w:rsid w:val="55C3156A"/>
    <w:rsid w:val="5782183A"/>
    <w:rsid w:val="57BD355E"/>
    <w:rsid w:val="59A5419F"/>
    <w:rsid w:val="5B0320E2"/>
    <w:rsid w:val="5B8B11A7"/>
    <w:rsid w:val="5B9E2EC4"/>
    <w:rsid w:val="608606DE"/>
    <w:rsid w:val="610E324A"/>
    <w:rsid w:val="61F31EFD"/>
    <w:rsid w:val="63066BC7"/>
    <w:rsid w:val="63D0487B"/>
    <w:rsid w:val="64672037"/>
    <w:rsid w:val="64911DA0"/>
    <w:rsid w:val="65945D8D"/>
    <w:rsid w:val="66C35559"/>
    <w:rsid w:val="67D57489"/>
    <w:rsid w:val="68570F93"/>
    <w:rsid w:val="6A287B5E"/>
    <w:rsid w:val="6B303A1A"/>
    <w:rsid w:val="6DAA2FDF"/>
    <w:rsid w:val="6E121228"/>
    <w:rsid w:val="6FC971BF"/>
    <w:rsid w:val="70D1495F"/>
    <w:rsid w:val="70ED510D"/>
    <w:rsid w:val="74695E39"/>
    <w:rsid w:val="754C6F3B"/>
    <w:rsid w:val="75B11AFF"/>
    <w:rsid w:val="75D32619"/>
    <w:rsid w:val="765369C1"/>
    <w:rsid w:val="767D6887"/>
    <w:rsid w:val="780B6A75"/>
    <w:rsid w:val="79F83E18"/>
    <w:rsid w:val="7A262145"/>
    <w:rsid w:val="7BEC3F2B"/>
    <w:rsid w:val="7D0F76D8"/>
    <w:rsid w:val="7E3420E0"/>
    <w:rsid w:val="7E535DCD"/>
    <w:rsid w:val="7EBE7C76"/>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Body Text Indent"/>
    <w:basedOn w:val="1"/>
    <w:qFormat/>
    <w:uiPriority w:val="0"/>
    <w:pPr>
      <w:spacing w:after="120"/>
      <w:ind w:left="420" w:leftChars="200"/>
    </w:pPr>
  </w:style>
  <w:style w:type="paragraph" w:styleId="8">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2075</Words>
  <Characters>2297</Characters>
  <Lines>0</Lines>
  <Paragraphs>0</Paragraphs>
  <TotalTime>1</TotalTime>
  <ScaleCrop>false</ScaleCrop>
  <LinksUpToDate>false</LinksUpToDate>
  <CharactersWithSpaces>2549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2026-04-28T02:52:24Z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8A8C54658E2D41C7A1BB357F29FDF6BB</vt:lpwstr>
  </property>
  <property fmtid="{D5CDD505-2E9C-101B-9397-08002B2CF9AE}" pid="4" name="KSOTemplateDocerSaveRecord">
    <vt:lpwstr>eyJoZGlkIjoiYzBhNDRiMWEyNzgyMzNiNGQ2YWM5MGU3Mjg0NWEwNzIiLCJ1c2VySWQiOiI3MDM5OTYzMzMifQ==</vt:lpwstr>
  </property>
</Properties>
</file>