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bookmarkEnd w:id="3"/>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2026年曲靖局±500kV牛寨换流站综合楼配电室</w:t>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配电设施更换零星采购项目</w:t>
      </w:r>
      <w:r>
        <w:rPr>
          <w:rFonts w:hint="eastAsia" w:ascii="黑体" w:hAnsi="黑体" w:eastAsia="黑体"/>
          <w:b/>
          <w:color w:val="auto"/>
          <w:sz w:val="36"/>
          <w:szCs w:val="36"/>
          <w:highlight w:val="none"/>
          <w:u w:val="none"/>
        </w:rPr>
        <w:t>采购</w:t>
      </w:r>
      <w:r>
        <w:rPr>
          <w:rFonts w:hint="eastAsia" w:ascii="黑体" w:hAnsi="黑体" w:eastAsia="黑体"/>
          <w:b/>
          <w:color w:val="auto"/>
          <w:sz w:val="36"/>
          <w:szCs w:val="36"/>
          <w:highlight w:val="none"/>
          <w:u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曲靖局±500kV牛寨换流站综合楼配电室由两台深圳市泰昂能源科技股份有限公司生产的型号为MVS10N 1000A/3P的开关供电，供电范围包括综合楼办公室、值休室、食堂及电梯等所有用电设备，正常情况下两台开关具有联锁功能，一台开关故障后自动切至另一台开关进行供电。目前，综合楼配电室P1 综合楼配电柜1中的开关间机械联锁装置及开关柜交流智能监控器故障，导致开关不能正常切换，只能由运行人员就地操作，若人工操作导致两台开关均合闸，将导致开关短路，对人身安全造成威胁。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本项目所采购的设备用于曲靖局±500kV牛寨换流站综合楼配电室配电设施更换。为与原断路器参数及安装基础尺寸保持一致，开关机械连锁装置及开关柜交流智能监控器设备与原断路器可配合正常运行，满足服务配套的要求，需从原供应商深圳市泰昂能源科技股份有限公司处采购，本项采购符合《超高压输电公司非招标采购方式管理实施细则》“（一）按照有关规定或者标准，有下列情形之一的货物、工程和服务，经批准可以采用直接采购方式：5.需向原供应商采购，否则将影响施工或者功能配套要求；”可采用直接采购方式的规定。因此本次直接采购对象为深圳市泰昂能源科技股份有限公司。</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val="en-US" w:eastAsia="zh-CN"/>
        </w:rPr>
        <w:t>无</w:t>
      </w:r>
      <w:r>
        <w:rPr>
          <w:rFonts w:hint="eastAsia" w:ascii="宋体" w:hAnsi="宋体" w:cs="宋体"/>
          <w:color w:val="auto"/>
          <w:kern w:val="2"/>
          <w:sz w:val="28"/>
          <w:szCs w:val="28"/>
          <w:highlight w:val="none"/>
          <w:lang w:val="en-US" w:eastAsia="zh-CN" w:bidi="ar-SA"/>
        </w:rPr>
        <w:t>。</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2.1实施内容：开关机械联锁装置1套、开关柜交流智能监控器1</w:t>
      </w:r>
      <w:r>
        <w:rPr>
          <w:rFonts w:hint="eastAsia" w:ascii="宋体" w:hAnsi="宋体" w:cs="宋体"/>
          <w:color w:val="auto"/>
          <w:sz w:val="28"/>
          <w:szCs w:val="28"/>
          <w:highlight w:val="none"/>
          <w:lang w:val="en-US" w:eastAsia="zh-CN"/>
        </w:rPr>
        <w:t>套。</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2.2质量要求：提供的设备必须</w:t>
      </w:r>
      <w:r>
        <w:rPr>
          <w:rFonts w:hint="eastAsia" w:ascii="宋体" w:hAnsi="宋体" w:cs="宋体"/>
          <w:color w:val="auto"/>
          <w:sz w:val="28"/>
          <w:szCs w:val="28"/>
          <w:highlight w:val="none"/>
          <w:lang w:val="en-US" w:eastAsia="zh-CN"/>
        </w:rPr>
        <w:t>具有合格证</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2.3收货地址：</w:t>
      </w:r>
      <w:r>
        <w:rPr>
          <w:rFonts w:hint="eastAsia" w:ascii="宋体" w:hAnsi="宋体" w:cs="宋体"/>
          <w:color w:val="auto"/>
          <w:sz w:val="28"/>
          <w:szCs w:val="28"/>
          <w:highlight w:val="none"/>
          <w:lang w:val="en-US" w:eastAsia="zh-CN"/>
        </w:rPr>
        <w:t>云南省昭通市盐津县牛寨乡±500kV牛寨换流站</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2.4是否包安装调试：</w:t>
      </w:r>
      <w:r>
        <w:rPr>
          <w:rFonts w:hint="eastAsia" w:ascii="宋体" w:hAnsi="宋体" w:cs="宋体"/>
          <w:color w:val="auto"/>
          <w:sz w:val="28"/>
          <w:szCs w:val="28"/>
          <w:highlight w:val="none"/>
          <w:lang w:val="en-US" w:eastAsia="zh-CN"/>
        </w:rPr>
        <w:t>包含安装、调试。</w:t>
      </w:r>
      <w:r>
        <w:rPr>
          <w:rFonts w:hint="eastAsia" w:ascii="宋体" w:hAnsi="宋体" w:eastAsia="宋体" w:cs="宋体"/>
          <w:color w:val="auto"/>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2.5交货时间：202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年</w:t>
      </w:r>
      <w:r>
        <w:rPr>
          <w:rFonts w:hint="eastAsia" w:ascii="宋体" w:hAnsi="宋体" w:cs="宋体"/>
          <w:color w:val="auto"/>
          <w:sz w:val="28"/>
          <w:szCs w:val="28"/>
          <w:highlight w:val="none"/>
          <w:lang w:val="en-US" w:eastAsia="zh-CN"/>
        </w:rPr>
        <w:t>12</w:t>
      </w:r>
      <w:r>
        <w:rPr>
          <w:rFonts w:hint="eastAsia" w:ascii="宋体" w:hAnsi="宋体" w:eastAsia="宋体" w:cs="宋体"/>
          <w:color w:val="auto"/>
          <w:sz w:val="28"/>
          <w:szCs w:val="28"/>
          <w:highlight w:val="none"/>
          <w:lang w:val="en-US" w:eastAsia="zh-CN"/>
        </w:rPr>
        <w:t>月</w:t>
      </w:r>
      <w:r>
        <w:rPr>
          <w:rFonts w:hint="eastAsia" w:ascii="宋体" w:hAnsi="宋体" w:cs="宋体"/>
          <w:color w:val="auto"/>
          <w:sz w:val="28"/>
          <w:szCs w:val="28"/>
          <w:highlight w:val="none"/>
          <w:lang w:val="en-US" w:eastAsia="zh-CN"/>
        </w:rPr>
        <w:t>31</w:t>
      </w:r>
      <w:r>
        <w:rPr>
          <w:rFonts w:hint="eastAsia" w:ascii="宋体" w:hAnsi="宋体" w:eastAsia="宋体" w:cs="宋体"/>
          <w:color w:val="auto"/>
          <w:sz w:val="28"/>
          <w:szCs w:val="28"/>
          <w:highlight w:val="none"/>
          <w:lang w:val="en-US" w:eastAsia="zh-CN"/>
        </w:rPr>
        <w:t xml:space="preserve">日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2.6售后服务及质保期：质保期1年。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2.7其他要求：</w:t>
      </w:r>
      <w:r>
        <w:rPr>
          <w:rFonts w:hint="eastAsia" w:ascii="宋体" w:hAnsi="宋体" w:cs="宋体"/>
          <w:color w:val="auto"/>
          <w:sz w:val="28"/>
          <w:szCs w:val="28"/>
          <w:highlight w:val="none"/>
          <w:lang w:val="en-US" w:eastAsia="zh-CN"/>
        </w:rPr>
        <w:t>无</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2.8采购明细及报价表详见附件1</w:t>
      </w:r>
      <w:r>
        <w:rPr>
          <w:rFonts w:hint="eastAsia" w:ascii="宋体" w:hAnsi="宋体" w:cs="宋体"/>
          <w:color w:val="auto"/>
          <w:sz w:val="28"/>
          <w:szCs w:val="28"/>
          <w:highlight w:val="none"/>
          <w:lang w:val="en-US" w:eastAsia="zh-CN"/>
        </w:rPr>
        <w:t>。</w:t>
      </w:r>
    </w:p>
    <w:p>
      <w:pPr>
        <w:numPr>
          <w:ilvl w:val="0"/>
          <w:numId w:val="0"/>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三、技术要求</w:t>
      </w:r>
    </w:p>
    <w:tbl>
      <w:tblPr>
        <w:tblStyle w:val="19"/>
        <w:tblW w:w="7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1.1.涉及</w:t>
            </w:r>
            <w:r>
              <w:rPr>
                <w:rFonts w:hint="eastAsia" w:ascii="宋体" w:hAnsi="宋体" w:cs="Times New Roman"/>
                <w:color w:val="auto"/>
                <w:sz w:val="24"/>
                <w:highlight w:val="none"/>
                <w:lang w:val="en-US" w:eastAsia="zh-CN"/>
              </w:rPr>
              <w:t>采购物资信息：开关机械联锁装置1套、开关柜交流智能监控器1套。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2.物资质量要求及验收标准：提供的设备必须具有合格证。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3.其它：</w:t>
            </w:r>
            <w:r>
              <w:rPr>
                <w:rFonts w:hint="eastAsia" w:ascii="宋体" w:hAnsi="宋体" w:eastAsia="宋体" w:cs="Times New Roman"/>
                <w:color w:val="auto"/>
                <w:sz w:val="24"/>
                <w:highlight w:val="none"/>
                <w:lang w:eastAsia="zh-CN"/>
              </w:rPr>
              <w:t>无。</w:t>
            </w:r>
          </w:p>
        </w:tc>
      </w:tr>
      <w:bookmarkEnd w:id="0"/>
    </w:tbl>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四、 </w:t>
      </w:r>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78" w:type="dxa"/>
            <w:noWrap w:val="0"/>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78" w:type="dxa"/>
            <w:noWrap w:val="0"/>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lang w:val="en-US" w:eastAsia="zh-CN"/>
              </w:rPr>
              <w:t>4.3</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rPr>
              <w:t>在经营活动中无重大违法记录，在中国南方电网有限责任公司</w:t>
            </w:r>
            <w:r>
              <w:rPr>
                <w:rFonts w:hint="eastAsia" w:ascii="宋体" w:hAnsi="宋体" w:cs="Times New Roman"/>
                <w:color w:val="auto"/>
                <w:sz w:val="24"/>
                <w:highlight w:val="none"/>
                <w:vertAlign w:val="baseline"/>
                <w:lang w:eastAsia="zh-CN"/>
              </w:rPr>
              <w:t>、</w:t>
            </w:r>
            <w:r>
              <w:rPr>
                <w:rFonts w:hint="eastAsia" w:ascii="宋体" w:hAnsi="宋体" w:cs="Times New Roman"/>
                <w:color w:val="auto"/>
                <w:sz w:val="24"/>
                <w:highlight w:val="none"/>
                <w:vertAlign w:val="baseline"/>
              </w:rPr>
              <w:t>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lang w:val="en-US" w:eastAsia="zh-CN"/>
              </w:rPr>
              <w:t>4.4</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val="en-US" w:eastAsia="zh-CN"/>
              </w:rPr>
              <w:t>4.5</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eastAsia="zh-CN"/>
              </w:rPr>
              <w:t>其他资质要求：无。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val="en-US" w:eastAsia="zh-CN"/>
              </w:rPr>
              <w:t>4.6</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eastAsia="zh-CN"/>
              </w:rPr>
              <w:t>业绩要</w:t>
            </w:r>
            <w:r>
              <w:rPr>
                <w:rFonts w:hint="eastAsia" w:ascii="宋体" w:hAnsi="宋体" w:cs="Times New Roman"/>
                <w:color w:val="auto"/>
                <w:sz w:val="24"/>
                <w:highlight w:val="none"/>
                <w:vertAlign w:val="baseline"/>
                <w:lang w:eastAsia="zh-CN"/>
              </w:rPr>
              <w:t>求：</w:t>
            </w:r>
            <w:r>
              <w:rPr>
                <w:rFonts w:hint="eastAsia" w:ascii="宋体" w:hAnsi="宋体" w:cs="Times New Roman"/>
                <w:color w:val="auto"/>
                <w:sz w:val="24"/>
                <w:highlight w:val="none"/>
                <w:vertAlign w:val="baseline"/>
                <w:lang w:val="en-US" w:eastAsia="zh-CN"/>
              </w:rPr>
              <w:t>无</w:t>
            </w:r>
            <w:r>
              <w:rPr>
                <w:rFonts w:hint="eastAsia" w:ascii="宋体" w:hAnsi="宋体" w:cs="Times New Roman"/>
                <w:color w:val="auto"/>
                <w:sz w:val="24"/>
                <w:highlight w:val="none"/>
                <w:vertAlign w:val="baseline"/>
              </w:rPr>
              <w:t>。</w:t>
            </w:r>
          </w:p>
        </w:tc>
      </w:tr>
    </w:tbl>
    <w:p>
      <w:pPr>
        <w:rPr>
          <w:color w:val="auto"/>
          <w:highlight w:val="none"/>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 其他</w:t>
      </w:r>
      <w:r>
        <w:rPr>
          <w:rFonts w:hint="eastAsia" w:ascii="Times New Roman" w:hAnsi="Times New Roman" w:eastAsia="宋体" w:cs="Times New Roman"/>
          <w:b/>
          <w:color w:val="auto"/>
          <w:sz w:val="28"/>
          <w:szCs w:val="28"/>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val="en-US" w:eastAsia="zh-CN"/>
        </w:rPr>
        <w:t>报价单位可提供符合规定税率的全额增值税专用发票或增值税普通发票。（若卖方未能按要求开具发票，或实际开票税率与报价文件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5.2.1卖方应严格执行国家现行法规、规章，行业的规范，确保提供的产品或服务符合相关规定。</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5.2.2</w:t>
      </w:r>
      <w:r>
        <w:rPr>
          <w:rFonts w:hint="eastAsia" w:ascii="宋体" w:hAnsi="宋体" w:eastAsia="宋体" w:cs="宋体"/>
          <w:color w:val="auto"/>
          <w:sz w:val="28"/>
          <w:szCs w:val="28"/>
          <w:highlight w:val="none"/>
          <w:lang w:val="en-US" w:eastAsia="zh-CN"/>
        </w:rPr>
        <w:t>卖方应提供现场安装调试服务，标的物应技术功能应满足现有国家、行业规范要求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卖方负责将标的物运至采购文件约定的交货地点（另有约定除外）并完成交货，在到货同时提交书面文件及电子文档。在货物送达后，卖方应到货物交接地点办理交接手续。</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在标的物备妥发出前24小时内，卖方应以传真或函件等方式向买方提交发货通知单以告知买方货物发运日期、装箱清单、承运人信息等事项。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买方有权对标的物进行到货验收，卖方应积极配合并提供抽检所需的资料和必要条件。卖方人员未按时赶赴现场，买方自行实施或委托具备相应资质的检验机构做出的抽检结果或验收结果，卖方应认可，买方有权拒收验收不合格货物。</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标的物的质量保证期和使用寿命应当符合国家标准或行业标准的要求。没有相关标准时，各类物资的质保期和使用寿命应当满足产品设计要求。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u w:val="single"/>
          <w:lang w:val="en-US" w:eastAsia="zh-CN"/>
        </w:rPr>
        <w:t>其他要求：货物运输费用由卖方负责。</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5.2.9卖方应按买方要求签订保密协议、网络安全承诺书。</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6.2卖方若造成买方直接或间接经济损失，应全额赔偿。</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6.3卖方与买方若存在纠纷，应友好协商解决，若存在诉讼，应在买方所在地提起诉讼或仲裁。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6.4卖方应妥善作好买方所提供的文件资料的保存、回收及保密工作，不得泄漏、传播与监造设备有关的技术秘密和商业秘密。造成损失由卖方承担。</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合同货物质保期届满前，如发现卖方提供的货物有缺陷，不符合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6.7</w:t>
      </w:r>
      <w:r>
        <w:rPr>
          <w:rFonts w:hint="eastAsia" w:ascii="宋体" w:hAnsi="宋体" w:eastAsia="宋体" w:cs="宋体"/>
          <w:color w:val="auto"/>
          <w:sz w:val="28"/>
          <w:szCs w:val="28"/>
          <w:highlight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lang w:val="en-US" w:eastAsia="zh-CN"/>
        </w:rPr>
        <w:t>买方有权单方面解除合同且不承担相关责任。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color w:val="auto"/>
          <w:highlight w:val="none"/>
          <w:lang w:val="en-US" w:eastAsia="zh-CN"/>
        </w:rPr>
      </w:pPr>
      <w:r>
        <w:rPr>
          <w:rFonts w:hint="eastAsia" w:ascii="宋体" w:hAnsi="宋体" w:eastAsia="宋体" w:cs="宋体"/>
          <w:color w:val="auto"/>
          <w:sz w:val="28"/>
          <w:szCs w:val="28"/>
          <w:highlight w:val="none"/>
          <w:u w:val="single"/>
          <w:lang w:val="en-US" w:eastAsia="zh-CN"/>
        </w:rPr>
        <w:t xml:space="preserve">6.8其他责任：        无                    </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采购单位</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内，完成采购服务或供货，并经</w:t>
      </w:r>
      <w:r>
        <w:rPr>
          <w:rFonts w:hint="eastAsia" w:ascii="宋体" w:hAnsi="宋体" w:cs="宋体"/>
          <w:b w:val="0"/>
          <w:bCs/>
          <w:color w:val="auto"/>
          <w:kern w:val="2"/>
          <w:sz w:val="28"/>
          <w:szCs w:val="28"/>
          <w:highlight w:val="none"/>
          <w:lang w:val="en-US" w:eastAsia="zh-CN"/>
        </w:rPr>
        <w:t>采购</w:t>
      </w:r>
      <w:r>
        <w:rPr>
          <w:rFonts w:hint="eastAsia" w:ascii="宋体" w:hAnsi="宋体" w:eastAsia="宋体" w:cs="宋体"/>
          <w:b w:val="0"/>
          <w:bCs/>
          <w:color w:val="auto"/>
          <w:kern w:val="2"/>
          <w:sz w:val="28"/>
          <w:szCs w:val="28"/>
          <w:highlight w:val="none"/>
          <w:lang w:val="en-US" w:eastAsia="zh-CN"/>
        </w:rPr>
        <w:t>单位验收合格确认后，报价单位应按采购单位要求提供增值税</w:t>
      </w:r>
      <w:r>
        <w:rPr>
          <w:rFonts w:hint="eastAsia" w:ascii="宋体" w:hAnsi="宋体" w:cs="宋体"/>
          <w:b w:val="0"/>
          <w:bCs/>
          <w:color w:val="auto"/>
          <w:kern w:val="2"/>
          <w:sz w:val="28"/>
          <w:szCs w:val="28"/>
          <w:highlight w:val="none"/>
          <w:lang w:val="en-US" w:eastAsia="zh-CN"/>
        </w:rPr>
        <w:t>专用/普通</w:t>
      </w:r>
      <w:r>
        <w:rPr>
          <w:rFonts w:hint="eastAsia" w:ascii="宋体" w:hAnsi="宋体" w:eastAsia="宋体" w:cs="宋体"/>
          <w:b w:val="0"/>
          <w:bCs/>
          <w:color w:val="auto"/>
          <w:kern w:val="2"/>
          <w:sz w:val="28"/>
          <w:szCs w:val="28"/>
          <w:highlight w:val="none"/>
          <w:lang w:val="en-US" w:eastAsia="zh-CN"/>
        </w:rPr>
        <w:t>发票，采购单位在收到报价单位发票30个工作日完成支付。</w:t>
      </w:r>
    </w:p>
    <w:p>
      <w:pPr>
        <w:pStyle w:val="25"/>
        <w:pageBreakBefore w:val="0"/>
        <w:kinsoku/>
        <w:wordWrap/>
        <w:overflowPunct/>
        <w:topLinePunct w:val="0"/>
        <w:autoSpaceDE/>
        <w:autoSpaceDN/>
        <w:bidi w:val="0"/>
        <w:adjustRightInd/>
        <w:snapToGrid w:val="0"/>
        <w:spacing w:before="0" w:after="0" w:line="360" w:lineRule="auto"/>
        <w:ind w:firstLine="560" w:firstLineChars="20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7.2采购单位</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报价单位</w:t>
      </w:r>
      <w:r>
        <w:rPr>
          <w:rFonts w:hint="eastAsia" w:ascii="宋体" w:hAnsi="宋体" w:eastAsia="宋体" w:cs="宋体"/>
          <w:b w:val="0"/>
          <w:bCs/>
          <w:color w:val="auto"/>
          <w:kern w:val="2"/>
          <w:sz w:val="28"/>
          <w:szCs w:val="28"/>
          <w:highlight w:val="none"/>
          <w:lang w:val="en-US" w:eastAsia="zh-CN"/>
        </w:rPr>
        <w:t>账户。</w:t>
      </w:r>
    </w:p>
    <w:p>
      <w:pPr>
        <w:pageBreakBefore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八、报价文件格式要求（重要）</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8.3卖方需提供PDF报价文件（盖章版），包括但不限于：报价表、相关资质文件。</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pageBreakBefore w:val="0"/>
        <w:kinsoku/>
        <w:wordWrap/>
        <w:overflowPunct/>
        <w:topLinePunct w:val="0"/>
        <w:autoSpaceDE/>
        <w:autoSpaceDN/>
        <w:bidi w:val="0"/>
        <w:snapToGrid w:val="0"/>
        <w:spacing w:line="360" w:lineRule="auto"/>
        <w:ind w:firstLine="560" w:firstLineChars="200"/>
        <w:jc w:val="left"/>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r>
        <w:rPr>
          <w:rFonts w:hint="eastAsia" w:ascii="宋体" w:hAnsi="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p>
    <w:p>
      <w:pPr>
        <w:pStyle w:val="2"/>
        <w:rPr>
          <w:rFonts w:hint="eastAsia" w:ascii="宋体" w:hAnsi="宋体" w:eastAsia="宋体" w:cs="宋体"/>
          <w:color w:val="auto"/>
          <w:sz w:val="28"/>
          <w:szCs w:val="28"/>
          <w:highlight w:val="none"/>
          <w:lang w:val="en-US" w:eastAsia="zh-CN"/>
        </w:rPr>
      </w:pPr>
    </w:p>
    <w:p>
      <w:pPr>
        <w:rPr>
          <w:rFonts w:hint="eastAsia" w:ascii="宋体" w:hAnsi="宋体" w:eastAsia="宋体" w:cs="宋体"/>
          <w:color w:val="auto"/>
          <w:sz w:val="28"/>
          <w:szCs w:val="28"/>
          <w:highlight w:val="none"/>
          <w:lang w:val="en-US" w:eastAsia="zh-CN"/>
        </w:rPr>
      </w:pP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报价文件模板</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廉洁承诺书</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保密协议</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供应商网络安全承诺书</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附件1：（报价仅需打印以下页面即可，并逐业盖章）</w:t>
      </w:r>
    </w:p>
    <w:p>
      <w:pPr>
        <w:spacing w:line="360" w:lineRule="auto"/>
        <w:jc w:val="center"/>
        <w:outlineLvl w:val="9"/>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W w:w="146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1"/>
        <w:gridCol w:w="1705"/>
        <w:gridCol w:w="1691"/>
        <w:gridCol w:w="1748"/>
        <w:gridCol w:w="1031"/>
        <w:gridCol w:w="821"/>
        <w:gridCol w:w="1107"/>
        <w:gridCol w:w="1258"/>
        <w:gridCol w:w="2077"/>
        <w:gridCol w:w="2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031"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项目名称</w:t>
            </w:r>
          </w:p>
        </w:tc>
        <w:tc>
          <w:tcPr>
            <w:tcW w:w="1691"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748"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031" w:type="dxa"/>
            <w:vMerge w:val="restart"/>
            <w:tcBorders>
              <w:top w:val="single" w:color="000000" w:sz="8" w:space="0"/>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发票类型</w:t>
            </w:r>
          </w:p>
        </w:tc>
        <w:tc>
          <w:tcPr>
            <w:tcW w:w="82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税率</w:t>
            </w:r>
          </w:p>
        </w:tc>
        <w:tc>
          <w:tcPr>
            <w:tcW w:w="110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服务时间</w:t>
            </w:r>
          </w:p>
        </w:tc>
        <w:tc>
          <w:tcPr>
            <w:tcW w:w="1258"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服务地址</w:t>
            </w:r>
          </w:p>
        </w:tc>
        <w:tc>
          <w:tcPr>
            <w:tcW w:w="207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是否完全响应本标的物技术及服务条件全部要求</w:t>
            </w:r>
          </w:p>
        </w:tc>
        <w:tc>
          <w:tcPr>
            <w:tcW w:w="218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7" w:hRule="atLeast"/>
        </w:trPr>
        <w:tc>
          <w:tcPr>
            <w:tcW w:w="1031"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705"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69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w:t>
            </w:r>
            <w:r>
              <w:rPr>
                <w:rStyle w:val="39"/>
                <w:color w:val="auto"/>
                <w:highlight w:val="none"/>
                <w:lang w:val="en-US" w:eastAsia="zh-CN" w:bidi="ar"/>
              </w:rPr>
              <w:t>含税）</w:t>
            </w: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（不含税）</w:t>
            </w:r>
          </w:p>
        </w:tc>
        <w:tc>
          <w:tcPr>
            <w:tcW w:w="1031" w:type="dxa"/>
            <w:vMerge w:val="continue"/>
            <w:tcBorders>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82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10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258"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07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18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7" w:hRule="atLeast"/>
        </w:trPr>
        <w:tc>
          <w:tcPr>
            <w:tcW w:w="1031"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c>
          <w:tcPr>
            <w:tcW w:w="170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4"/>
                <w:color w:val="FF0000"/>
                <w:highlight w:val="none"/>
                <w:lang w:val="en-US" w:eastAsia="zh-CN" w:bidi="ar"/>
              </w:rPr>
              <w:t>元</w:t>
            </w:r>
          </w:p>
        </w:tc>
        <w:tc>
          <w:tcPr>
            <w:tcW w:w="1748" w:type="dxa"/>
            <w:tcBorders>
              <w:top w:val="nil"/>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4"/>
                <w:color w:val="FF0000"/>
                <w:highlight w:val="none"/>
                <w:lang w:val="en-US" w:eastAsia="zh-CN" w:bidi="ar"/>
              </w:rPr>
              <w:t>元</w:t>
            </w:r>
            <w:r>
              <w:rPr>
                <w:rStyle w:val="35"/>
                <w:color w:val="auto"/>
                <w:sz w:val="21"/>
                <w:szCs w:val="21"/>
                <w:highlight w:val="none"/>
                <w:lang w:val="en-US" w:eastAsia="zh-CN" w:bidi="ar"/>
              </w:rPr>
              <w:t>计算公式：</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singl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专用</w:t>
            </w:r>
          </w:p>
        </w:tc>
        <w:tc>
          <w:tcPr>
            <w:tcW w:w="82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p>
        </w:tc>
        <w:tc>
          <w:tcPr>
            <w:tcW w:w="110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按实际供货日期计算</w:t>
            </w:r>
          </w:p>
        </w:tc>
        <w:tc>
          <w:tcPr>
            <w:tcW w:w="1258"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18"/>
                <w:szCs w:val="18"/>
                <w:highlight w:val="none"/>
                <w:u w:val="none"/>
                <w:lang w:val="en-US"/>
              </w:rPr>
            </w:pPr>
            <w:r>
              <w:rPr>
                <w:rFonts w:hint="default" w:ascii="宋体" w:hAnsi="宋体" w:eastAsia="宋体" w:cs="宋体"/>
                <w:i w:val="0"/>
                <w:color w:val="auto"/>
                <w:sz w:val="18"/>
                <w:szCs w:val="18"/>
                <w:highlight w:val="none"/>
                <w:u w:val="none"/>
                <w:lang w:val="en-US"/>
              </w:rPr>
              <w:t>云南省昭通市盐津县牛寨乡牛寨换流站</w:t>
            </w:r>
          </w:p>
        </w:tc>
        <w:tc>
          <w:tcPr>
            <w:tcW w:w="207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c>
          <w:tcPr>
            <w:tcW w:w="218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none"/>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1031"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70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69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5"/>
                <w:szCs w:val="15"/>
                <w:highlight w:val="none"/>
                <w:u w:val="none"/>
              </w:rPr>
            </w:pPr>
            <w:r>
              <w:rPr>
                <w:rFonts w:hint="eastAsia" w:ascii="宋体" w:hAnsi="宋体" w:eastAsia="宋体" w:cs="宋体"/>
                <w:i w:val="0"/>
                <w:color w:val="auto"/>
                <w:kern w:val="0"/>
                <w:sz w:val="21"/>
                <w:szCs w:val="21"/>
                <w:highlight w:val="none"/>
                <w:u w:val="none"/>
                <w:lang w:val="en-US" w:eastAsia="zh-CN" w:bidi="ar"/>
              </w:rPr>
              <w:t>含税总价/（1+税率）</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lang w:eastAsia="zh-CN"/>
              </w:rPr>
            </w:pPr>
            <w:r>
              <w:rPr>
                <w:rFonts w:hint="eastAsia" w:ascii="宋体" w:hAnsi="宋体" w:eastAsia="宋体" w:cs="宋体"/>
                <w:i w:val="0"/>
                <w:color w:val="FF0000"/>
                <w:sz w:val="18"/>
                <w:szCs w:val="18"/>
                <w:highlight w:val="none"/>
                <w:u w:val="single"/>
                <w:lang w:eastAsia="zh-CN"/>
              </w:rPr>
              <w:t>□</w:t>
            </w:r>
            <w:r>
              <w:rPr>
                <w:rFonts w:hint="eastAsia" w:ascii="宋体" w:hAnsi="宋体" w:eastAsia="宋体" w:cs="宋体"/>
                <w:i w:val="0"/>
                <w:color w:val="FF0000"/>
                <w:sz w:val="18"/>
                <w:szCs w:val="18"/>
                <w:highlight w:val="none"/>
                <w:u w:val="none"/>
                <w:lang w:eastAsia="zh-CN"/>
              </w:rPr>
              <w:t>普通</w:t>
            </w:r>
          </w:p>
        </w:tc>
        <w:tc>
          <w:tcPr>
            <w:tcW w:w="82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rPr>
            </w:pPr>
          </w:p>
        </w:tc>
        <w:tc>
          <w:tcPr>
            <w:tcW w:w="110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07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18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4650" w:type="dxa"/>
            <w:gridSpan w:val="10"/>
            <w:tcBorders>
              <w:top w:val="nil"/>
              <w:left w:val="single" w:color="000000" w:sz="8" w:space="0"/>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分项报价清单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项目名称</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物资名称</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2"/>
                <w:szCs w:val="22"/>
                <w:highlight w:val="none"/>
                <w:u w:val="none"/>
                <w:lang w:val="en-US" w:eastAsia="zh-CN" w:bidi="ar"/>
              </w:rPr>
            </w:pPr>
            <w:r>
              <w:rPr>
                <w:rFonts w:hint="eastAsia" w:ascii="宋体" w:hAnsi="宋体" w:eastAsia="宋体" w:cs="宋体"/>
                <w:b/>
                <w:i w:val="0"/>
                <w:color w:val="auto"/>
                <w:kern w:val="0"/>
                <w:sz w:val="22"/>
                <w:szCs w:val="22"/>
                <w:highlight w:val="none"/>
                <w:u w:val="none"/>
                <w:lang w:val="en-US" w:eastAsia="zh-CN" w:bidi="ar"/>
              </w:rPr>
              <w:t>型号规格</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数量</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计量单位</w:t>
            </w: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单价（元）</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小计价格（元）</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705" w:type="dxa"/>
            <w:vMerge w:val="restart"/>
            <w:tcBorders>
              <w:top w:val="nil"/>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kern w:val="0"/>
                <w:sz w:val="18"/>
                <w:szCs w:val="18"/>
                <w:highlight w:val="none"/>
                <w:u w:val="none"/>
                <w:lang w:val="en-US" w:eastAsia="zh-CN" w:bidi="ar"/>
              </w:rPr>
              <w:t>XXXX</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XXXX</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000000"/>
                <w:kern w:val="0"/>
                <w:sz w:val="20"/>
                <w:szCs w:val="20"/>
                <w:u w:val="none"/>
                <w:lang w:val="en-US" w:eastAsia="zh-CN" w:bidi="ar"/>
              </w:rPr>
              <w:t>XX</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highlight w:val="none"/>
                <w:u w:val="none"/>
                <w:lang w:val="en-US" w:eastAsia="zh-CN" w:bidi="ar"/>
              </w:rPr>
              <w:t>XX</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sz w:val="20"/>
                <w:szCs w:val="20"/>
                <w:highlight w:val="none"/>
                <w:u w:val="none"/>
                <w:lang w:eastAsia="zh-CN"/>
              </w:rPr>
              <w:t>供货地址：</w:t>
            </w:r>
            <w:r>
              <w:rPr>
                <w:rFonts w:hint="eastAsia" w:ascii="宋体" w:hAnsi="宋体" w:cs="宋体"/>
                <w:i w:val="0"/>
                <w:color w:val="auto"/>
                <w:sz w:val="18"/>
                <w:szCs w:val="18"/>
                <w:highlight w:val="none"/>
                <w:u w:val="none"/>
                <w:lang w:val="en-US" w:eastAsia="zh-CN"/>
              </w:rPr>
              <w:t>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0"/>
                <w:szCs w:val="20"/>
                <w:highlight w:val="none"/>
                <w:u w:val="none"/>
                <w:lang w:val="en-US" w:eastAsia="zh-CN" w:bidi="ar"/>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0"/>
                <w:szCs w:val="20"/>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2736"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合计</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auto"/>
                <w:sz w:val="24"/>
                <w:szCs w:val="24"/>
                <w:highlight w:val="none"/>
                <w:u w:val="none"/>
              </w:rPr>
            </w:pPr>
          </w:p>
        </w:tc>
      </w:tr>
    </w:tbl>
    <w:p>
      <w:pPr>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联系人：   </w:t>
      </w: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   联系电话：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0"/>
          <w:szCs w:val="20"/>
          <w:highlight w:val="none"/>
          <w:lang w:val="en-US" w:eastAsia="zh-CN"/>
        </w:rPr>
        <w:t>(联系不上视为无效报价）</w:t>
      </w:r>
    </w:p>
    <w:p>
      <w:pPr>
        <w:wordWrap/>
        <w:spacing w:line="360" w:lineRule="auto"/>
        <w:ind w:firstLine="10816" w:firstLineChars="5200"/>
        <w:jc w:val="both"/>
        <w:rPr>
          <w:rFonts w:hint="eastAsia" w:ascii="宋体" w:hAnsi="宋体" w:cs="宋体"/>
          <w:color w:val="auto"/>
          <w:spacing w:val="-1"/>
          <w:szCs w:val="21"/>
          <w:highlight w:val="none"/>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公司（盖章）</w:t>
      </w:r>
      <w:r>
        <w:rPr>
          <w:rFonts w:hint="eastAsia" w:ascii="宋体" w:hAnsi="宋体" w:cs="宋体"/>
          <w:color w:val="auto"/>
          <w:spacing w:val="-1"/>
          <w:szCs w:val="21"/>
          <w:highlight w:val="none"/>
        </w:rPr>
        <w:t>：</w:t>
      </w:r>
    </w:p>
    <w:p>
      <w:pPr>
        <w:wordWrap/>
        <w:spacing w:line="360" w:lineRule="auto"/>
        <w:ind w:firstLine="10816" w:firstLineChars="5200"/>
        <w:jc w:val="both"/>
        <w:rPr>
          <w:rFonts w:hint="eastAsia" w:ascii="宋体" w:hAnsi="宋体" w:cs="宋体"/>
          <w:color w:val="auto"/>
          <w:spacing w:val="-1"/>
          <w:szCs w:val="21"/>
          <w:highlight w:val="none"/>
          <w:lang w:val="en-US" w:eastAsia="zh-CN"/>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年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 月</w:t>
      </w: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 xml:space="preserve">   日</w:t>
      </w:r>
    </w:p>
    <w:p>
      <w:pPr>
        <w:pStyle w:val="17"/>
        <w:rPr>
          <w:rFonts w:hint="eastAsia" w:ascii="宋体" w:hAnsi="宋体" w:cs="宋体"/>
          <w:color w:val="auto"/>
          <w:spacing w:val="-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rFonts w:hint="eastAsia" w:ascii="方正小标宋_GBK" w:hAnsi="方正小标宋_GBK" w:eastAsia="方正小标宋_GBK" w:cs="方正小标宋_GBK"/>
          <w:b w:val="0"/>
          <w:bCs w:val="0"/>
          <w:color w:val="auto"/>
          <w:spacing w:val="13"/>
          <w:kern w:val="0"/>
          <w:sz w:val="32"/>
          <w:szCs w:val="32"/>
          <w:highlight w:val="none"/>
        </w:rPr>
      </w:pPr>
      <w:r>
        <w:rPr>
          <w:rFonts w:hint="eastAsia" w:ascii="方正小标宋_GBK" w:hAnsi="方正小标宋_GBK" w:eastAsia="方正小标宋_GBK" w:cs="方正小标宋_GBK"/>
          <w:b w:val="0"/>
          <w:bCs w:val="0"/>
          <w:color w:val="auto"/>
          <w:spacing w:val="13"/>
          <w:kern w:val="0"/>
          <w:sz w:val="32"/>
          <w:szCs w:val="32"/>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pacing w:val="15"/>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其他资质文件</w:t>
      </w:r>
      <w:r>
        <w:rPr>
          <w:rFonts w:hint="eastAsia" w:ascii="方正小标宋_GBK" w:hAnsi="方正小标宋_GBK" w:eastAsia="方正小标宋_GBK" w:cs="方正小标宋_GBK"/>
          <w:b w:val="0"/>
          <w:bCs/>
          <w:color w:val="auto"/>
          <w:spacing w:val="15"/>
          <w:sz w:val="32"/>
          <w:szCs w:val="32"/>
          <w:highlight w:val="none"/>
          <w:lang w:eastAsia="zh-CN"/>
        </w:rPr>
        <w:t>（</w:t>
      </w:r>
      <w:r>
        <w:rPr>
          <w:rFonts w:hint="eastAsia" w:ascii="方正小标宋_GBK" w:hAnsi="方正小标宋_GBK" w:eastAsia="方正小标宋_GBK" w:cs="方正小标宋_GBK"/>
          <w:b w:val="0"/>
          <w:bCs/>
          <w:color w:val="auto"/>
          <w:spacing w:val="15"/>
          <w:sz w:val="32"/>
          <w:szCs w:val="32"/>
          <w:highlight w:val="none"/>
          <w:lang w:val="en-US" w:eastAsia="zh-CN"/>
        </w:rPr>
        <w:t>需盖章</w:t>
      </w:r>
      <w:r>
        <w:rPr>
          <w:rFonts w:hint="eastAsia" w:ascii="方正小标宋_GBK" w:hAnsi="方正小标宋_GBK" w:eastAsia="方正小标宋_GBK" w:cs="方正小标宋_GBK"/>
          <w:b w:val="0"/>
          <w:bCs/>
          <w:color w:val="auto"/>
          <w:spacing w:val="15"/>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报价人与授权人身份证照片（需盖章）</w:t>
      </w: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jc w:val="center"/>
        <w:rPr>
          <w:rFonts w:ascii="Calibri" w:hAnsi="Calibri" w:eastAsia="宋体" w:cs="Times New Roman"/>
          <w:b/>
          <w:bCs/>
          <w:color w:val="auto"/>
          <w:sz w:val="32"/>
          <w:szCs w:val="22"/>
          <w:highlight w:val="none"/>
        </w:rPr>
      </w:pPr>
      <w:r>
        <w:rPr>
          <w:rFonts w:hint="eastAsia" w:ascii="Calibri" w:hAnsi="Calibri" w:eastAsia="宋体" w:cs="Times New Roman"/>
          <w:b/>
          <w:bCs/>
          <w:color w:val="auto"/>
          <w:sz w:val="32"/>
          <w:szCs w:val="22"/>
          <w:highlight w:val="none"/>
        </w:rPr>
        <w:t>法定代表人授权书</w:t>
      </w:r>
    </w:p>
    <w:p>
      <w:pPr>
        <w:jc w:val="center"/>
        <w:rPr>
          <w:rFonts w:ascii="Calibri" w:hAnsi="Calibri" w:eastAsia="宋体" w:cs="Times New Roman"/>
          <w:color w:val="auto"/>
          <w:sz w:val="24"/>
          <w:szCs w:val="22"/>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snapToGrid w:val="0"/>
          <w:color w:val="auto"/>
          <w:kern w:val="24"/>
          <w:sz w:val="24"/>
          <w:szCs w:val="24"/>
          <w:highlight w:val="none"/>
          <w:u w:val="single"/>
        </w:rPr>
        <w:t>中国南方电网有限责任公司超高压输电公司</w:t>
      </w:r>
      <w:r>
        <w:rPr>
          <w:rFonts w:hint="eastAsia" w:ascii="仿宋" w:hAnsi="仿宋" w:eastAsia="仿宋" w:cs="仿宋"/>
          <w:bCs/>
          <w:snapToGrid w:val="0"/>
          <w:color w:val="auto"/>
          <w:kern w:val="24"/>
          <w:sz w:val="24"/>
          <w:szCs w:val="24"/>
          <w:highlight w:val="none"/>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（报价方名称），中华人民共和国合法企业，法定地址：</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被授权人不得转授权。</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被授权人签名（章）：________</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授权人签名（章）：________</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职             务：________</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rPr>
      </w:pP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XX</w:t>
      </w:r>
      <w:r>
        <w:rPr>
          <w:rFonts w:hint="eastAsia" w:ascii="仿宋" w:hAnsi="仿宋" w:eastAsia="仿宋" w:cs="仿宋"/>
          <w:color w:val="auto"/>
          <w:sz w:val="24"/>
          <w:szCs w:val="24"/>
          <w:highlight w:val="none"/>
        </w:rPr>
        <w:t>年XX月XX日</w:t>
      </w:r>
    </w:p>
    <w:p>
      <w:pPr>
        <w:spacing w:line="360" w:lineRule="auto"/>
        <w:rPr>
          <w:rFonts w:hint="eastAsia" w:ascii="仿宋" w:hAnsi="仿宋" w:eastAsia="仿宋" w:cs="仿宋"/>
          <w:color w:val="auto"/>
          <w:sz w:val="24"/>
          <w:szCs w:val="24"/>
          <w:highlight w:val="none"/>
        </w:rPr>
      </w:pPr>
    </w:p>
    <w:p>
      <w:pPr>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注：（1）本授权书必须由法定代表人本人签署。</w:t>
      </w:r>
    </w:p>
    <w:p>
      <w:pPr>
        <w:spacing w:line="360" w:lineRule="auto"/>
        <w:ind w:left="719" w:leftChars="171" w:hanging="360" w:hangingChars="150"/>
        <w:rPr>
          <w:rFonts w:hint="eastAsia" w:ascii="仿宋" w:hAnsi="仿宋" w:eastAsia="仿宋" w:cs="仿宋"/>
          <w:bCs/>
          <w:color w:val="auto"/>
          <w:sz w:val="28"/>
          <w:szCs w:val="28"/>
          <w:highlight w:val="none"/>
          <w:lang w:val="en-US" w:eastAsia="zh-CN"/>
        </w:rPr>
      </w:pPr>
      <w:r>
        <w:rPr>
          <w:rFonts w:hint="eastAsia" w:ascii="仿宋" w:hAnsi="仿宋" w:eastAsia="仿宋" w:cs="仿宋"/>
          <w:color w:val="auto"/>
          <w:sz w:val="24"/>
          <w:szCs w:val="24"/>
          <w:highlight w:val="none"/>
        </w:rPr>
        <w:t>（2）若被授权人有两名或两名以上，如未特别声明，则任一被授权人签署的有关文件或处理的相关事务均应视为有效。</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w:t>
      </w:r>
      <w:r>
        <w:rPr>
          <w:rFonts w:hint="eastAsia" w:ascii="宋体" w:hAnsi="宋体" w:cs="Batang"/>
          <w:b/>
          <w:color w:val="auto"/>
          <w:sz w:val="24"/>
          <w:szCs w:val="24"/>
          <w:highlight w:val="none"/>
          <w:lang w:val="en-US" w:eastAsia="zh-CN"/>
        </w:rPr>
        <w:t>2</w:t>
      </w:r>
      <w:r>
        <w:rPr>
          <w:rFonts w:hint="eastAsia" w:ascii="宋体" w:hAnsi="宋体" w:cs="Batang"/>
          <w:b/>
          <w:color w:val="auto"/>
          <w:sz w:val="24"/>
          <w:szCs w:val="24"/>
          <w:highlight w:val="none"/>
          <w:lang w:eastAsia="zh-CN"/>
        </w:rPr>
        <w:t>：廉洁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highlight w:val="none"/>
        </w:rPr>
      </w:pPr>
    </w:p>
    <w:p>
      <w:pPr>
        <w:jc w:val="right"/>
        <w:rPr>
          <w:rFonts w:ascii="宋体" w:hAnsi="宋体"/>
          <w:color w:val="auto"/>
          <w:sz w:val="24"/>
          <w:szCs w:val="24"/>
          <w:highlight w:val="none"/>
        </w:rPr>
      </w:pPr>
      <w:r>
        <w:rPr>
          <w:rFonts w:hint="eastAsia" w:ascii="宋体" w:hAnsi="宋体"/>
          <w:color w:val="auto"/>
          <w:sz w:val="24"/>
          <w:szCs w:val="24"/>
          <w:highlight w:val="none"/>
          <w:lang w:val="en-US" w:eastAsia="zh-CN"/>
        </w:rPr>
        <w:t>承诺单位</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签字/</w:t>
      </w:r>
      <w:r>
        <w:rPr>
          <w:rFonts w:hint="eastAsia" w:ascii="宋体" w:hAnsi="宋体"/>
          <w:color w:val="auto"/>
          <w:sz w:val="24"/>
          <w:szCs w:val="24"/>
          <w:highlight w:val="none"/>
        </w:rPr>
        <w:t>盖章）：</w:t>
      </w:r>
    </w:p>
    <w:p>
      <w:pPr>
        <w:snapToGrid w:val="0"/>
        <w:jc w:val="left"/>
        <w:rPr>
          <w:rFonts w:ascii="宋体" w:hAnsi="宋体"/>
          <w:color w:val="auto"/>
          <w:sz w:val="24"/>
          <w:szCs w:val="24"/>
          <w:highlight w:val="none"/>
        </w:rPr>
      </w:pPr>
      <w:r>
        <w:rPr>
          <w:rFonts w:hint="eastAsia" w:ascii="宋体" w:hAnsi="宋体"/>
          <w:color w:val="auto"/>
          <w:sz w:val="24"/>
          <w:szCs w:val="24"/>
          <w:highlight w:val="none"/>
        </w:rPr>
        <w:t xml:space="preserve">       </w:t>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 年    月   日</w:t>
      </w: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展《2026年曲靖局±500kV牛寨换流站综合楼配电室配电设施更换零星采购项目》零星采购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4</w:t>
      </w:r>
      <w:r>
        <w:rPr>
          <w:rFonts w:hint="eastAsia" w:ascii="宋体" w:hAnsi="宋体" w:eastAsia="宋体" w:cs="Batang"/>
          <w:b/>
          <w:color w:val="auto"/>
          <w:sz w:val="24"/>
          <w:szCs w:val="24"/>
          <w:highlight w:val="none"/>
          <w:lang w:val="en-US" w:eastAsia="zh-CN"/>
        </w:rPr>
        <w:t>：供应商网络安全承诺书</w:t>
      </w:r>
    </w:p>
    <w:p>
      <w:pPr>
        <w:jc w:val="center"/>
        <w:rPr>
          <w:rFonts w:ascii="黑体" w:hAnsi="黑体" w:eastAsia="黑体" w:cs="黑体"/>
          <w:sz w:val="44"/>
          <w:szCs w:val="44"/>
        </w:rPr>
      </w:pPr>
      <w:r>
        <w:rPr>
          <w:rFonts w:hint="eastAsia" w:ascii="黑体" w:hAnsi="黑体" w:eastAsia="黑体" w:cs="黑体"/>
          <w:sz w:val="44"/>
          <w:szCs w:val="44"/>
        </w:rPr>
        <w:t>供应商网络安全承诺书</w:t>
      </w:r>
    </w:p>
    <w:p>
      <w:pPr>
        <w:jc w:val="center"/>
        <w:rPr>
          <w:rFonts w:ascii="方正小标宋简体" w:eastAsia="方正小标宋简体"/>
          <w:sz w:val="44"/>
          <w:szCs w:val="44"/>
        </w:rPr>
      </w:pPr>
    </w:p>
    <w:p>
      <w:pPr>
        <w:rPr>
          <w:rFonts w:hint="eastAsia" w:ascii="仿宋_GB2312" w:eastAsia="仿宋_GB2312"/>
          <w:sz w:val="28"/>
          <w:szCs w:val="28"/>
          <w:u w:val="single"/>
          <w:lang w:val="en-US" w:eastAsia="zh-CN"/>
        </w:rPr>
      </w:pPr>
      <w:r>
        <w:rPr>
          <w:rFonts w:hint="eastAsia" w:ascii="仿宋_GB2312" w:eastAsia="仿宋_GB2312"/>
          <w:sz w:val="28"/>
          <w:szCs w:val="28"/>
        </w:rPr>
        <w:t>甲方：</w:t>
      </w:r>
      <w:r>
        <w:rPr>
          <w:rFonts w:hint="eastAsia" w:ascii="仿宋_GB2312" w:eastAsia="仿宋_GB2312"/>
          <w:sz w:val="28"/>
          <w:szCs w:val="28"/>
          <w:u w:val="single"/>
          <w:lang w:val="en-US" w:eastAsia="zh-CN"/>
        </w:rPr>
        <w:t xml:space="preserve">南方电网超高压输电公司曲靖局 </w:t>
      </w:r>
    </w:p>
    <w:p>
      <w:pPr>
        <w:rPr>
          <w:rFonts w:ascii="仿宋_GB2312" w:eastAsia="仿宋_GB2312"/>
          <w:sz w:val="28"/>
          <w:szCs w:val="28"/>
        </w:rPr>
      </w:pPr>
      <w:r>
        <w:rPr>
          <w:rFonts w:hint="eastAsia" w:ascii="仿宋_GB2312" w:eastAsia="仿宋_GB2312"/>
          <w:sz w:val="28"/>
          <w:szCs w:val="28"/>
        </w:rPr>
        <w:t>乙方：</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rPr>
          <w:rFonts w:ascii="仿宋_GB2312" w:eastAsia="仿宋_GB2312"/>
          <w:sz w:val="28"/>
          <w:szCs w:val="28"/>
        </w:rPr>
      </w:pPr>
    </w:p>
    <w:p>
      <w:pPr>
        <w:snapToGrid w:val="0"/>
        <w:spacing w:line="360" w:lineRule="auto"/>
        <w:ind w:firstLine="504" w:firstLineChars="180"/>
        <w:rPr>
          <w:rFonts w:hint="eastAsia" w:ascii="仿宋_GB2312" w:eastAsia="仿宋_GB2312"/>
          <w:sz w:val="28"/>
          <w:szCs w:val="28"/>
          <w:u w:val="single"/>
          <w:lang w:val="en-US" w:eastAsia="zh-CN"/>
        </w:rPr>
      </w:pPr>
      <w:r>
        <w:rPr>
          <w:rFonts w:hint="eastAsia" w:ascii="仿宋_GB2312" w:eastAsia="仿宋_GB2312"/>
          <w:sz w:val="28"/>
          <w:szCs w:val="30"/>
        </w:rPr>
        <w:t>我单位参与甲方</w:t>
      </w:r>
      <w:r>
        <w:rPr>
          <w:rFonts w:hint="eastAsia" w:ascii="仿宋_GB2312" w:eastAsia="仿宋_GB2312"/>
          <w:iCs/>
          <w:sz w:val="28"/>
          <w:szCs w:val="30"/>
          <w:u w:val="single"/>
        </w:rPr>
        <w:t xml:space="preserve"> </w:t>
      </w:r>
      <w:r>
        <w:rPr>
          <w:rFonts w:hint="eastAsia" w:ascii="仿宋_GB2312" w:eastAsia="仿宋_GB2312"/>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ascii="仿宋_GB2312" w:eastAsia="仿宋_GB2312"/>
          <w:sz w:val="28"/>
          <w:szCs w:val="30"/>
        </w:rPr>
      </w:pPr>
      <w:r>
        <w:rPr>
          <w:rFonts w:ascii="仿宋_GB2312" w:eastAsia="仿宋_GB2312"/>
          <w:iCs/>
          <w:sz w:val="28"/>
          <w:szCs w:val="30"/>
          <w:u w:val="single"/>
        </w:rPr>
        <w:t xml:space="preserve"> </w:t>
      </w:r>
      <w:r>
        <w:rPr>
          <w:rFonts w:hint="eastAsia" w:ascii="仿宋_GB2312" w:eastAsia="仿宋_GB2312"/>
          <w:iCs/>
          <w:sz w:val="28"/>
          <w:szCs w:val="30"/>
          <w:u w:val="single"/>
          <w:lang w:val="en-US" w:eastAsia="zh-CN"/>
        </w:rPr>
        <w:t xml:space="preserve">                </w:t>
      </w:r>
      <w:r>
        <w:rPr>
          <w:rFonts w:hint="eastAsia" w:ascii="仿宋_GB2312" w:eastAsia="仿宋_GB2312"/>
          <w:sz w:val="28"/>
          <w:szCs w:val="30"/>
        </w:rPr>
        <w:t>项目相关工作，获得接触和知悉与本项工作相关的国家秘密、商业秘密或敏感数据的资格，为此，本单位承担维护网络安全及保密义务和法律责任，严格按照本承诺书的承诺开展相关工作，接受南方</w:t>
      </w:r>
      <w:r>
        <w:rPr>
          <w:rFonts w:ascii="仿宋_GB2312" w:eastAsia="仿宋_GB2312"/>
          <w:sz w:val="28"/>
          <w:szCs w:val="30"/>
        </w:rPr>
        <w:t>电网公司督察检查，若不按照以下要求执行而导致</w:t>
      </w:r>
      <w:r>
        <w:rPr>
          <w:rFonts w:hint="eastAsia" w:ascii="仿宋_GB2312" w:eastAsia="仿宋_GB2312"/>
          <w:sz w:val="28"/>
          <w:szCs w:val="30"/>
        </w:rPr>
        <w:t>南方电网公司</w:t>
      </w:r>
      <w:r>
        <w:rPr>
          <w:rFonts w:ascii="仿宋_GB2312" w:eastAsia="仿宋_GB2312"/>
          <w:sz w:val="28"/>
          <w:szCs w:val="30"/>
        </w:rPr>
        <w:t>受影响，将自愿按照合同约定、法律法规及南方电网</w:t>
      </w:r>
      <w:r>
        <w:rPr>
          <w:rFonts w:hint="eastAsia" w:ascii="仿宋_GB2312" w:eastAsia="仿宋_GB2312"/>
          <w:sz w:val="28"/>
          <w:szCs w:val="30"/>
        </w:rPr>
        <w:t>公司</w:t>
      </w:r>
      <w:r>
        <w:rPr>
          <w:rFonts w:ascii="仿宋_GB2312" w:eastAsia="仿宋_GB2312"/>
          <w:sz w:val="28"/>
          <w:szCs w:val="30"/>
        </w:rPr>
        <w:t>有关规定承担相关责任。</w:t>
      </w:r>
      <w:r>
        <w:rPr>
          <w:rFonts w:hint="eastAsia" w:ascii="仿宋_GB2312" w:eastAsia="仿宋_GB2312"/>
          <w:sz w:val="28"/>
          <w:szCs w:val="30"/>
        </w:rPr>
        <w:t>本单位做出以下庄重承诺：</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格遵守《中华人民共和国网络安全法》、《中华人民共和国数据安全法》、《中华人民共和国个人信息保护法》、《中华人民共和国密码法》、《中华人民共和国电信条例》、《互联网信息服务管理办法》和《关键信息基础设施安全保护条例》等法律法规和规章的有关规定。</w:t>
      </w:r>
    </w:p>
    <w:p>
      <w:pPr>
        <w:numPr>
          <w:ilvl w:val="0"/>
          <w:numId w:val="3"/>
        </w:numPr>
        <w:snapToGrid w:val="0"/>
        <w:spacing w:line="360" w:lineRule="auto"/>
        <w:rPr>
          <w:rFonts w:ascii="仿宋_GB2312" w:eastAsia="仿宋_GB2312"/>
          <w:sz w:val="28"/>
          <w:szCs w:val="30"/>
        </w:rPr>
      </w:pPr>
      <w:r>
        <w:rPr>
          <w:rFonts w:hint="eastAsia" w:ascii="仿宋_GB2312" w:eastAsia="仿宋_GB2312" w:cs="宋体"/>
          <w:color w:val="000000"/>
          <w:kern w:val="0"/>
          <w:sz w:val="28"/>
          <w:szCs w:val="28"/>
        </w:rPr>
        <w:t>承担本单位工作职责范围内的网络安全责任，确保本单位接触到的各类</w:t>
      </w:r>
      <w:r>
        <w:rPr>
          <w:rFonts w:hint="eastAsia" w:ascii="仿宋_GB2312" w:eastAsia="仿宋_GB2312"/>
          <w:sz w:val="28"/>
          <w:szCs w:val="30"/>
        </w:rPr>
        <w:t>南方</w:t>
      </w:r>
      <w:r>
        <w:rPr>
          <w:rFonts w:hint="eastAsia" w:ascii="仿宋_GB2312" w:eastAsia="仿宋_GB2312" w:cs="宋体"/>
          <w:color w:val="000000"/>
          <w:kern w:val="0"/>
          <w:sz w:val="28"/>
          <w:szCs w:val="28"/>
        </w:rPr>
        <w:t>电网公司信息和数据的保密性、完整性、可用性，控制本单位员工接触、使用南方</w:t>
      </w:r>
      <w:r>
        <w:rPr>
          <w:rFonts w:ascii="仿宋_GB2312" w:eastAsia="仿宋_GB2312" w:cs="宋体"/>
          <w:color w:val="000000"/>
          <w:kern w:val="0"/>
          <w:sz w:val="28"/>
          <w:szCs w:val="28"/>
        </w:rPr>
        <w:t>电网</w:t>
      </w:r>
      <w:r>
        <w:rPr>
          <w:rFonts w:hint="eastAsia" w:ascii="仿宋_GB2312" w:eastAsia="仿宋_GB2312" w:cs="宋体"/>
          <w:color w:val="000000"/>
          <w:kern w:val="0"/>
          <w:sz w:val="28"/>
          <w:szCs w:val="28"/>
        </w:rPr>
        <w:t>公司</w:t>
      </w:r>
      <w:r>
        <w:rPr>
          <w:rFonts w:ascii="仿宋_GB2312" w:eastAsia="仿宋_GB2312" w:cs="宋体"/>
          <w:color w:val="000000"/>
          <w:kern w:val="0"/>
          <w:sz w:val="28"/>
          <w:szCs w:val="28"/>
        </w:rPr>
        <w:t>信息</w:t>
      </w:r>
      <w:r>
        <w:rPr>
          <w:rFonts w:hint="eastAsia" w:ascii="仿宋_GB2312" w:eastAsia="仿宋_GB2312" w:cs="宋体"/>
          <w:color w:val="000000"/>
          <w:kern w:val="0"/>
          <w:sz w:val="28"/>
          <w:szCs w:val="28"/>
        </w:rPr>
        <w:t>和数据</w:t>
      </w:r>
      <w:r>
        <w:rPr>
          <w:rFonts w:ascii="仿宋_GB2312" w:eastAsia="仿宋_GB2312" w:cs="宋体"/>
          <w:color w:val="000000"/>
          <w:kern w:val="0"/>
          <w:sz w:val="28"/>
          <w:szCs w:val="28"/>
        </w:rPr>
        <w:t>的范围，确保无关人员无法接触到</w:t>
      </w:r>
      <w:r>
        <w:rPr>
          <w:rFonts w:hint="eastAsia" w:ascii="仿宋_GB2312" w:eastAsia="仿宋_GB2312" w:cs="宋体"/>
          <w:color w:val="000000"/>
          <w:kern w:val="0"/>
          <w:sz w:val="28"/>
          <w:szCs w:val="28"/>
        </w:rPr>
        <w:t>南方电网公司</w:t>
      </w:r>
      <w:r>
        <w:rPr>
          <w:rFonts w:ascii="仿宋_GB2312" w:eastAsia="仿宋_GB2312" w:cs="宋体"/>
          <w:color w:val="000000"/>
          <w:kern w:val="0"/>
          <w:sz w:val="28"/>
          <w:szCs w:val="28"/>
        </w:rPr>
        <w:t>相关信息</w:t>
      </w:r>
      <w:r>
        <w:rPr>
          <w:rFonts w:hint="eastAsia" w:ascii="仿宋_GB2312" w:eastAsia="仿宋_GB2312" w:cs="宋体"/>
          <w:color w:val="000000"/>
          <w:kern w:val="0"/>
          <w:sz w:val="28"/>
          <w:szCs w:val="28"/>
        </w:rPr>
        <w:t>。</w:t>
      </w:r>
      <w:r>
        <w:rPr>
          <w:rFonts w:hint="eastAsia" w:ascii="仿宋_GB2312" w:eastAsia="仿宋_GB2312"/>
          <w:sz w:val="28"/>
          <w:szCs w:val="30"/>
        </w:rPr>
        <w:t>南方电网公司范围包括中国南方电网有限责任公司及其分子公司、厂办大集体企业和职工持股改革后企业、参控股企业等。</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负责做好本单位员工的安全意识教育与培训，做好本单位员工安全防护及安全管理。</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违规记录、存储、复制、携带国家秘密、南方电网公司秘密和敏感数据，不违规持有信息数据载体，未经南方电网公司审查批准不进行拍照、录音、录像等记录操作。国家秘密、南方电网公司秘密和敏感数据范围包括不限于个人信息、业务生产敏感数据、重要工作文件、</w:t>
      </w:r>
      <w:r>
        <w:rPr>
          <w:rFonts w:hint="eastAsia" w:ascii="仿宋_GB2312" w:eastAsia="仿宋_GB2312"/>
          <w:sz w:val="28"/>
          <w:szCs w:val="28"/>
        </w:rPr>
        <w:t>源代码、网络拓扑图、账户和口令、运维手册、网络及安全配置信息、系统安全漏洞情况、渗透测试报告、等保测试报告、安全评任报告、企业通讯录、资产清单、IP清单、加固清单及其他重要数据。</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以任何方式泄露、传播、公布、发表、转让、交换或者以其他任何方式使任何第三方知悉本公司人员所接触和知悉的国家秘密、南方电网公司秘密和敏感数据；不制造、发布或传播损害南方电网公司形象和利益的负面信息和言论；不对涉及南方电网公司的重要事件、热点话题发表不当言论，不进行无端猜测、恶意评论和炒作。</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不在互联网上使用任何方式传递、保存涉密或敏感数据（如邮箱、即时通讯工具、文库、网盘等）。</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未经南方电网公司审查批准，不擅自发表涉及南方电网公司未公开工作内容的文章、著述。</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本单位所提供的产品及服务严格遵守中华人民共和国的法律法规及国家标准。</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本单位所提供的产品及服务不带有后门、木马、病毒等恶意代码；若发现产品漏洞，立即告知客户，制定漏洞修复方案，确保不给客户带来损失。</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对本单位参与项目实施及技术服务的相关人员，开展背景调查，确保其没有违法犯罪经历，没有参加反动组织、国外间谍活动等危害国家和企业安全的行为。</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将与南方电网公司相关的开发、测试、演示系统（带有南方电网公司相关信息、标志或者南方电网公司内部数据）向互联网开放，系统出厂前使用南方电网公司真实数据。确须使用的，必须获得南方电网公司相关单位或部门同意并对数据进行脱敏。</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未经批准不接入南方电网公司网络；</w:t>
      </w:r>
      <w:r>
        <w:rPr>
          <w:rFonts w:hint="eastAsia" w:ascii="仿宋_GB2312" w:eastAsia="仿宋_GB2312"/>
          <w:color w:val="000000" w:themeColor="text1"/>
          <w:sz w:val="28"/>
          <w:szCs w:val="30"/>
          <w14:textFill>
            <w14:solidFill>
              <w14:schemeClr w14:val="tx1"/>
            </w14:solidFill>
          </w14:textFill>
        </w:rPr>
        <w:t>严禁各类帐号存在空口令、弱口令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严禁安装与工作无关来源不明的软件</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经批</w:t>
      </w:r>
      <w:r>
        <w:rPr>
          <w:rFonts w:hint="eastAsia" w:ascii="仿宋_GB2312" w:eastAsia="仿宋_GB2312"/>
          <w:sz w:val="28"/>
          <w:szCs w:val="30"/>
        </w:rPr>
        <w:t>准同意接入南方电网公司网络的，不使用无线路由器、随身</w:t>
      </w:r>
      <w:r>
        <w:rPr>
          <w:rFonts w:ascii="仿宋_GB2312" w:eastAsia="仿宋_GB2312"/>
          <w:sz w:val="28"/>
          <w:szCs w:val="30"/>
        </w:rPr>
        <w:t>WIFI</w:t>
      </w:r>
      <w:r>
        <w:rPr>
          <w:rFonts w:hint="eastAsia" w:ascii="仿宋_GB2312" w:eastAsia="仿宋_GB2312"/>
          <w:sz w:val="28"/>
          <w:szCs w:val="30"/>
        </w:rPr>
        <w:t>等工具将南方电网公司网络扩展为无线网络。</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不得在南方电网公司服务器、终端、网络防护设备等IT设备上部署远程控制程序、后门程序、病毒或其他恶意程序。</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未经授权，不得对甲方网络设备、服务器、计算机终端等信息设备进行任何形式的扫描、探测。</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不得采用任何方式故意绕开、逃避或破坏南方电网公司网络安全管控措施，如私自关闭或卸载防病毒、防泄露等桌面安全管控软件。</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不得在办公、生产等暴露区域粘贴甲方的明文密码，标识南方电网公司的完整IP地址。</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在IT设备和存储载体（计算机、U盘、移动硬盘、移动终端等）接入南方电网公司网络前，做好病毒及恶意软件查杀。</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一旦判断可能发生或发生网络安全或信息系统运行事件时，立即向南方电网公司相关人员报告，并按要求采取应急处置措施，保留有关原始记录，并积极配合开展事件调查，接受整改要求，落实整改措施。</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组织单位员工及时清除个人电脑、浏览器保存的与南方电网公司系统相关的账号口令信息、内外即时通讯工具（eLink、微信等）、邮箱（内外网邮箱、QQ邮箱等）、U盘、硬盘、代码托管网站（GitHub、Gitlab等）、互联网文库（百度文库、知乎等）、网盘等中的敏感资料，并不以任何方式泄露所接触知悉的南方电网公司敏感数据。</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严格按照合同要求开展相关工作，做好南方电网公司安排的相关工作，包括但不限于所承担的信息系统的开发实施、运维、安全防护以及其他服务工作。严格按许可操作，严禁超范围操作、超权限操作。</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严格按照合同要求和南方电网公司要求，配合开展系统加固、漏洞整改、应急处置、技术支撑等工作，对于未及时响应的，承担相应责任。</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严禁在阿里云、腾讯云、华为云、百度云等互联网云平台或者其他非南方电网公司运营的网络环境上私自搭建开发、测试及演示系统，如有发现应立即通知南方电网公司并对相关系统进行下线、删除相关信息。</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其他：【                                     】</w:t>
      </w:r>
    </w:p>
    <w:p>
      <w:pPr>
        <w:numPr>
          <w:ilvl w:val="0"/>
          <w:numId w:val="3"/>
        </w:numPr>
        <w:snapToGrid w:val="0"/>
        <w:spacing w:line="360" w:lineRule="auto"/>
        <w:rPr>
          <w:rFonts w:ascii="仿宋_GB2312" w:eastAsia="仿宋_GB2312"/>
          <w:sz w:val="28"/>
          <w:szCs w:val="30"/>
        </w:rPr>
      </w:pPr>
      <w:r>
        <w:rPr>
          <w:rFonts w:hint="eastAsia" w:ascii="仿宋_GB2312" w:eastAsia="仿宋_GB2312"/>
          <w:sz w:val="28"/>
          <w:szCs w:val="30"/>
        </w:rPr>
        <w:t>本单位如违反承诺书内容，将对由此产生的一切后果承担全部责任。</w:t>
      </w:r>
    </w:p>
    <w:p>
      <w:pPr>
        <w:numPr>
          <w:ilvl w:val="0"/>
          <w:numId w:val="3"/>
        </w:numPr>
        <w:snapToGrid w:val="0"/>
        <w:spacing w:line="360" w:lineRule="auto"/>
        <w:rPr>
          <w:rFonts w:ascii="仿宋_GB2312" w:hAnsi="宋体" w:eastAsia="仿宋_GB2312" w:cs="宋体"/>
          <w:kern w:val="0"/>
          <w:sz w:val="28"/>
          <w:szCs w:val="30"/>
        </w:rPr>
      </w:pPr>
      <w:r>
        <w:rPr>
          <w:rFonts w:hint="eastAsia" w:ascii="仿宋_GB2312" w:eastAsia="仿宋_GB2312"/>
          <w:sz w:val="28"/>
          <w:szCs w:val="30"/>
        </w:rPr>
        <w:t>本承诺书</w:t>
      </w:r>
      <w:r>
        <w:rPr>
          <w:rFonts w:hint="eastAsia" w:ascii="仿宋_GB2312" w:hAnsi="宋体" w:eastAsia="仿宋_GB2312" w:cs="宋体"/>
          <w:kern w:val="0"/>
          <w:sz w:val="28"/>
          <w:szCs w:val="30"/>
        </w:rPr>
        <w:t>自盖章之日起生效。</w:t>
      </w:r>
    </w:p>
    <w:p/>
    <w:p>
      <w:pPr>
        <w:jc w:val="right"/>
      </w:pPr>
      <w:r>
        <w:rPr>
          <w:rFonts w:hint="eastAsia" w:ascii="仿宋_GB2312" w:eastAsia="仿宋_GB2312"/>
          <w:sz w:val="28"/>
          <w:szCs w:val="28"/>
        </w:rPr>
        <w:t xml:space="preserve"> 承诺单位：</w:t>
      </w:r>
      <w:r>
        <w:rPr>
          <w:u w:val="single"/>
        </w:rPr>
        <w:t xml:space="preserve">                                </w:t>
      </w:r>
      <w:r>
        <w:rPr>
          <w:rFonts w:hint="eastAsia" w:ascii="仿宋_GB2312" w:eastAsia="仿宋_GB2312"/>
          <w:sz w:val="28"/>
          <w:szCs w:val="28"/>
        </w:rPr>
        <w:t>（盖章）</w:t>
      </w:r>
    </w:p>
    <w:p>
      <w:pPr>
        <w:wordWrap w:val="0"/>
        <w:ind w:right="280"/>
        <w:jc w:val="right"/>
        <w:rPr>
          <w:rFonts w:hint="eastAsia" w:ascii="宋体" w:hAnsi="宋体"/>
          <w:color w:val="auto"/>
          <w:sz w:val="24"/>
          <w:szCs w:val="24"/>
          <w:highlight w:val="none"/>
          <w:lang w:eastAsia="zh-CN"/>
        </w:rPr>
      </w:pPr>
      <w:r>
        <w:rPr>
          <w:rFonts w:hint="eastAsia" w:ascii="仿宋_GB2312" w:eastAsia="仿宋_GB2312"/>
          <w:sz w:val="28"/>
          <w:szCs w:val="28"/>
        </w:rPr>
        <w:t>日期：</w:t>
      </w:r>
      <w:r>
        <w:rPr>
          <w:rFonts w:hint="eastAsia" w:ascii="仿宋_GB2312" w:eastAsia="仿宋_GB2312"/>
          <w:sz w:val="28"/>
          <w:szCs w:val="28"/>
          <w:u w:val="single"/>
        </w:rPr>
        <w:t xml:space="preserve"> </w:t>
      </w:r>
      <w:r>
        <w:rPr>
          <w:u w:val="single"/>
        </w:rPr>
        <w:t xml:space="preserve">  </w:t>
      </w:r>
      <w:r>
        <w:rPr>
          <w:rFonts w:hint="eastAsia"/>
          <w:u w:val="single"/>
        </w:rPr>
        <w:t xml:space="preserve">                      </w:t>
      </w:r>
      <w:r>
        <w:rPr>
          <w:u w:val="single"/>
        </w:rPr>
        <w:t xml:space="preserve">                  </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y2PDfMBAADY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EDC07CA"/>
    <w:multiLevelType w:val="singleLevel"/>
    <w:tmpl w:val="4EDC07CA"/>
    <w:lvl w:ilvl="0" w:tentative="0">
      <w:start w:val="1"/>
      <w:numFmt w:val="chineseCounting"/>
      <w:suff w:val="nothing"/>
      <w:lvlText w:val="（%1）"/>
      <w:lvlJc w:val="left"/>
      <w:pPr>
        <w:ind w:left="0" w:firstLine="420"/>
      </w:pPr>
      <w:rPr>
        <w:rFonts w:hint="eastAsia"/>
      </w:rPr>
    </w:lvl>
  </w:abstractNum>
  <w:abstractNum w:abstractNumId="2">
    <w:nsid w:val="7069D000"/>
    <w:multiLevelType w:val="singleLevel"/>
    <w:tmpl w:val="7069D000"/>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22B4"/>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86E"/>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713AEC"/>
    <w:rsid w:val="01821D94"/>
    <w:rsid w:val="01B828C9"/>
    <w:rsid w:val="01B9269D"/>
    <w:rsid w:val="025E0DD8"/>
    <w:rsid w:val="02D870A3"/>
    <w:rsid w:val="034F7452"/>
    <w:rsid w:val="03B4531C"/>
    <w:rsid w:val="03C52189"/>
    <w:rsid w:val="03E32732"/>
    <w:rsid w:val="04062B5A"/>
    <w:rsid w:val="041A1B2E"/>
    <w:rsid w:val="049A5843"/>
    <w:rsid w:val="04BE3881"/>
    <w:rsid w:val="055047F3"/>
    <w:rsid w:val="05B00FCA"/>
    <w:rsid w:val="061B4495"/>
    <w:rsid w:val="062E2840"/>
    <w:rsid w:val="063F4738"/>
    <w:rsid w:val="06A863EE"/>
    <w:rsid w:val="073549D8"/>
    <w:rsid w:val="075E3E2B"/>
    <w:rsid w:val="07B6137A"/>
    <w:rsid w:val="07C37CC9"/>
    <w:rsid w:val="083B6907"/>
    <w:rsid w:val="08526B56"/>
    <w:rsid w:val="087F409B"/>
    <w:rsid w:val="08BA49DD"/>
    <w:rsid w:val="08C55260"/>
    <w:rsid w:val="092659BA"/>
    <w:rsid w:val="09F30217"/>
    <w:rsid w:val="09F9374C"/>
    <w:rsid w:val="0A2E631D"/>
    <w:rsid w:val="0A3E0126"/>
    <w:rsid w:val="0A7F3E44"/>
    <w:rsid w:val="0BC3466F"/>
    <w:rsid w:val="0C1A2F92"/>
    <w:rsid w:val="0C354A3B"/>
    <w:rsid w:val="0C734E30"/>
    <w:rsid w:val="0E54466D"/>
    <w:rsid w:val="0EC41B49"/>
    <w:rsid w:val="0EE0247C"/>
    <w:rsid w:val="0F4972DB"/>
    <w:rsid w:val="0F7949C3"/>
    <w:rsid w:val="0FDA3648"/>
    <w:rsid w:val="100C449B"/>
    <w:rsid w:val="100E26A7"/>
    <w:rsid w:val="103D2D37"/>
    <w:rsid w:val="10711896"/>
    <w:rsid w:val="1073703B"/>
    <w:rsid w:val="10C45922"/>
    <w:rsid w:val="11355FF0"/>
    <w:rsid w:val="125C3FF9"/>
    <w:rsid w:val="1295180B"/>
    <w:rsid w:val="12B47FD6"/>
    <w:rsid w:val="12E7100B"/>
    <w:rsid w:val="1314606E"/>
    <w:rsid w:val="13156B06"/>
    <w:rsid w:val="132C5BF7"/>
    <w:rsid w:val="140F06C2"/>
    <w:rsid w:val="14550A07"/>
    <w:rsid w:val="1469194F"/>
    <w:rsid w:val="14773776"/>
    <w:rsid w:val="147A7BAD"/>
    <w:rsid w:val="14946CE5"/>
    <w:rsid w:val="14BE50C3"/>
    <w:rsid w:val="15262A3E"/>
    <w:rsid w:val="155F7720"/>
    <w:rsid w:val="15F40AA8"/>
    <w:rsid w:val="16EC768C"/>
    <w:rsid w:val="1776488C"/>
    <w:rsid w:val="179558CA"/>
    <w:rsid w:val="180735DD"/>
    <w:rsid w:val="187A7DD8"/>
    <w:rsid w:val="188F7558"/>
    <w:rsid w:val="18A76B2D"/>
    <w:rsid w:val="18CF6DB2"/>
    <w:rsid w:val="19407C54"/>
    <w:rsid w:val="1AD676E6"/>
    <w:rsid w:val="1AE23044"/>
    <w:rsid w:val="1B0270BB"/>
    <w:rsid w:val="1B264AAD"/>
    <w:rsid w:val="1B713205"/>
    <w:rsid w:val="1BE060DE"/>
    <w:rsid w:val="1C3B30F3"/>
    <w:rsid w:val="1C672847"/>
    <w:rsid w:val="1CC20DC2"/>
    <w:rsid w:val="1CF27B0C"/>
    <w:rsid w:val="1D415530"/>
    <w:rsid w:val="1D517977"/>
    <w:rsid w:val="1D78359A"/>
    <w:rsid w:val="1E8F7099"/>
    <w:rsid w:val="1ECA6B07"/>
    <w:rsid w:val="1ED31749"/>
    <w:rsid w:val="1F0F5FAA"/>
    <w:rsid w:val="1F2136EC"/>
    <w:rsid w:val="1F8006F0"/>
    <w:rsid w:val="1F857D48"/>
    <w:rsid w:val="1F9C6EAC"/>
    <w:rsid w:val="203639E3"/>
    <w:rsid w:val="204F4AC1"/>
    <w:rsid w:val="207B330A"/>
    <w:rsid w:val="20851052"/>
    <w:rsid w:val="22F06585"/>
    <w:rsid w:val="22FB09A2"/>
    <w:rsid w:val="232333DF"/>
    <w:rsid w:val="235A7010"/>
    <w:rsid w:val="23B80EF7"/>
    <w:rsid w:val="23D67016"/>
    <w:rsid w:val="23D94EBE"/>
    <w:rsid w:val="24FF5367"/>
    <w:rsid w:val="25370D4C"/>
    <w:rsid w:val="25B52F31"/>
    <w:rsid w:val="25BC5D51"/>
    <w:rsid w:val="25E254EC"/>
    <w:rsid w:val="261C7998"/>
    <w:rsid w:val="266C56A8"/>
    <w:rsid w:val="26797CC9"/>
    <w:rsid w:val="26D5657B"/>
    <w:rsid w:val="26D80397"/>
    <w:rsid w:val="273676B6"/>
    <w:rsid w:val="2793060E"/>
    <w:rsid w:val="27AA3BC1"/>
    <w:rsid w:val="27D25C62"/>
    <w:rsid w:val="28354E06"/>
    <w:rsid w:val="288104FE"/>
    <w:rsid w:val="28952AAD"/>
    <w:rsid w:val="28C56849"/>
    <w:rsid w:val="28F37585"/>
    <w:rsid w:val="295918B8"/>
    <w:rsid w:val="29F64DD2"/>
    <w:rsid w:val="2A3854D0"/>
    <w:rsid w:val="2A6A606B"/>
    <w:rsid w:val="2AD36B33"/>
    <w:rsid w:val="2AD51CF7"/>
    <w:rsid w:val="2B5244B4"/>
    <w:rsid w:val="2B8A0056"/>
    <w:rsid w:val="2BAD6219"/>
    <w:rsid w:val="2BD875C5"/>
    <w:rsid w:val="2BF95138"/>
    <w:rsid w:val="2C9676F0"/>
    <w:rsid w:val="2CCD3F5D"/>
    <w:rsid w:val="2DA87C1A"/>
    <w:rsid w:val="2DB87413"/>
    <w:rsid w:val="2E4C050F"/>
    <w:rsid w:val="2E7E3F56"/>
    <w:rsid w:val="2E8944E5"/>
    <w:rsid w:val="2E8D7D2F"/>
    <w:rsid w:val="2EA04932"/>
    <w:rsid w:val="2EA66679"/>
    <w:rsid w:val="2EAC3366"/>
    <w:rsid w:val="2F3121C1"/>
    <w:rsid w:val="2F652C91"/>
    <w:rsid w:val="2F727BEB"/>
    <w:rsid w:val="2F936FE1"/>
    <w:rsid w:val="2F984150"/>
    <w:rsid w:val="2FB13F2F"/>
    <w:rsid w:val="2FCA1DCF"/>
    <w:rsid w:val="30173030"/>
    <w:rsid w:val="307909F5"/>
    <w:rsid w:val="31330842"/>
    <w:rsid w:val="32210F5A"/>
    <w:rsid w:val="32300D7B"/>
    <w:rsid w:val="323B6D41"/>
    <w:rsid w:val="326C3ABD"/>
    <w:rsid w:val="329100B4"/>
    <w:rsid w:val="3303247B"/>
    <w:rsid w:val="34350F39"/>
    <w:rsid w:val="348B67B2"/>
    <w:rsid w:val="34B5794F"/>
    <w:rsid w:val="35CF70D5"/>
    <w:rsid w:val="36152FD7"/>
    <w:rsid w:val="36280E49"/>
    <w:rsid w:val="36A42B7E"/>
    <w:rsid w:val="374D1903"/>
    <w:rsid w:val="3764168B"/>
    <w:rsid w:val="37BA45DD"/>
    <w:rsid w:val="38185806"/>
    <w:rsid w:val="387244B3"/>
    <w:rsid w:val="38DB2257"/>
    <w:rsid w:val="38ED1F5F"/>
    <w:rsid w:val="392001CB"/>
    <w:rsid w:val="39B267B5"/>
    <w:rsid w:val="3A81751F"/>
    <w:rsid w:val="3A9E048E"/>
    <w:rsid w:val="3B5A356F"/>
    <w:rsid w:val="3B8F4D02"/>
    <w:rsid w:val="3BA37894"/>
    <w:rsid w:val="3BEA0C59"/>
    <w:rsid w:val="3C2F458B"/>
    <w:rsid w:val="3C75315F"/>
    <w:rsid w:val="3CD10DB3"/>
    <w:rsid w:val="3CE8603A"/>
    <w:rsid w:val="3CEC79B3"/>
    <w:rsid w:val="3CED20A3"/>
    <w:rsid w:val="3D1F7818"/>
    <w:rsid w:val="3D5F4473"/>
    <w:rsid w:val="3D741E72"/>
    <w:rsid w:val="3E361E39"/>
    <w:rsid w:val="3E4B1963"/>
    <w:rsid w:val="3E6D0FF9"/>
    <w:rsid w:val="3E8E1D50"/>
    <w:rsid w:val="3F035FA2"/>
    <w:rsid w:val="3F6D7954"/>
    <w:rsid w:val="4014667E"/>
    <w:rsid w:val="408A5DCF"/>
    <w:rsid w:val="410E47EB"/>
    <w:rsid w:val="41463C62"/>
    <w:rsid w:val="416E0D0B"/>
    <w:rsid w:val="41F8723A"/>
    <w:rsid w:val="4242506E"/>
    <w:rsid w:val="424A3D1C"/>
    <w:rsid w:val="430F4373"/>
    <w:rsid w:val="43325685"/>
    <w:rsid w:val="43AB0076"/>
    <w:rsid w:val="44567C31"/>
    <w:rsid w:val="451C0B04"/>
    <w:rsid w:val="45292F05"/>
    <w:rsid w:val="459466F9"/>
    <w:rsid w:val="45B32254"/>
    <w:rsid w:val="46596752"/>
    <w:rsid w:val="46611E50"/>
    <w:rsid w:val="46BE2FD3"/>
    <w:rsid w:val="46C0579A"/>
    <w:rsid w:val="46F348A7"/>
    <w:rsid w:val="47337B88"/>
    <w:rsid w:val="476605F9"/>
    <w:rsid w:val="47951D7D"/>
    <w:rsid w:val="47BE1653"/>
    <w:rsid w:val="47FE1AA5"/>
    <w:rsid w:val="480A0199"/>
    <w:rsid w:val="48144B48"/>
    <w:rsid w:val="48581E9C"/>
    <w:rsid w:val="48D62855"/>
    <w:rsid w:val="492A7774"/>
    <w:rsid w:val="492E21AA"/>
    <w:rsid w:val="493E4C2C"/>
    <w:rsid w:val="4AC240CE"/>
    <w:rsid w:val="4AD00EBC"/>
    <w:rsid w:val="4BA0108B"/>
    <w:rsid w:val="4C183012"/>
    <w:rsid w:val="4C2C14E4"/>
    <w:rsid w:val="4CE679B9"/>
    <w:rsid w:val="4D075171"/>
    <w:rsid w:val="4D2151EC"/>
    <w:rsid w:val="4D337AB8"/>
    <w:rsid w:val="4D9A67C1"/>
    <w:rsid w:val="4DD7520B"/>
    <w:rsid w:val="4DFE26A6"/>
    <w:rsid w:val="4ED96C18"/>
    <w:rsid w:val="4F2802FF"/>
    <w:rsid w:val="4F4C55D1"/>
    <w:rsid w:val="4F5D4369"/>
    <w:rsid w:val="4F6958AF"/>
    <w:rsid w:val="4F6D6CE0"/>
    <w:rsid w:val="4F8657FB"/>
    <w:rsid w:val="4F9F6D7C"/>
    <w:rsid w:val="4FD2303B"/>
    <w:rsid w:val="502D7B5F"/>
    <w:rsid w:val="50B12C8B"/>
    <w:rsid w:val="50BE3974"/>
    <w:rsid w:val="50CB0291"/>
    <w:rsid w:val="512A627E"/>
    <w:rsid w:val="512E482E"/>
    <w:rsid w:val="51935E36"/>
    <w:rsid w:val="51C22051"/>
    <w:rsid w:val="520B1255"/>
    <w:rsid w:val="523F3141"/>
    <w:rsid w:val="52447517"/>
    <w:rsid w:val="52DE7476"/>
    <w:rsid w:val="5347027E"/>
    <w:rsid w:val="53755256"/>
    <w:rsid w:val="538C4C1A"/>
    <w:rsid w:val="53BD03E4"/>
    <w:rsid w:val="53E12F63"/>
    <w:rsid w:val="54267F9B"/>
    <w:rsid w:val="54665927"/>
    <w:rsid w:val="547D09A9"/>
    <w:rsid w:val="54BA7B42"/>
    <w:rsid w:val="54F32AAD"/>
    <w:rsid w:val="55275981"/>
    <w:rsid w:val="56277BE8"/>
    <w:rsid w:val="567837CC"/>
    <w:rsid w:val="567B31FF"/>
    <w:rsid w:val="56A13A40"/>
    <w:rsid w:val="56B7196F"/>
    <w:rsid w:val="570735F6"/>
    <w:rsid w:val="57A67939"/>
    <w:rsid w:val="57AD7B77"/>
    <w:rsid w:val="588C3C46"/>
    <w:rsid w:val="58E477DD"/>
    <w:rsid w:val="597727A7"/>
    <w:rsid w:val="59C70A2D"/>
    <w:rsid w:val="59CD2E7C"/>
    <w:rsid w:val="59FA7ACE"/>
    <w:rsid w:val="5A9162C7"/>
    <w:rsid w:val="5BBE5D32"/>
    <w:rsid w:val="5C4864E5"/>
    <w:rsid w:val="5C6E7B33"/>
    <w:rsid w:val="5C7A6721"/>
    <w:rsid w:val="5CAE734B"/>
    <w:rsid w:val="5DD50A81"/>
    <w:rsid w:val="5E66217E"/>
    <w:rsid w:val="5EA36B71"/>
    <w:rsid w:val="5EA745C4"/>
    <w:rsid w:val="5EB41721"/>
    <w:rsid w:val="5EB86AF5"/>
    <w:rsid w:val="5F550F18"/>
    <w:rsid w:val="5F5A21B1"/>
    <w:rsid w:val="5F5C4923"/>
    <w:rsid w:val="5FC27567"/>
    <w:rsid w:val="60777162"/>
    <w:rsid w:val="60E5658B"/>
    <w:rsid w:val="61047630"/>
    <w:rsid w:val="61527613"/>
    <w:rsid w:val="62231BDA"/>
    <w:rsid w:val="626324CF"/>
    <w:rsid w:val="626A34E8"/>
    <w:rsid w:val="634E627D"/>
    <w:rsid w:val="63616C49"/>
    <w:rsid w:val="63AB7660"/>
    <w:rsid w:val="643B6153"/>
    <w:rsid w:val="649E47CB"/>
    <w:rsid w:val="64C4255D"/>
    <w:rsid w:val="650E4193"/>
    <w:rsid w:val="65524600"/>
    <w:rsid w:val="6562603E"/>
    <w:rsid w:val="65FE4864"/>
    <w:rsid w:val="66097672"/>
    <w:rsid w:val="66175FEA"/>
    <w:rsid w:val="663527BF"/>
    <w:rsid w:val="669F4A33"/>
    <w:rsid w:val="68F44EB6"/>
    <w:rsid w:val="69B347EA"/>
    <w:rsid w:val="6A6F363F"/>
    <w:rsid w:val="6A95270A"/>
    <w:rsid w:val="6B4446DA"/>
    <w:rsid w:val="6BB256BF"/>
    <w:rsid w:val="6BCC516E"/>
    <w:rsid w:val="6CB71DEE"/>
    <w:rsid w:val="6CFA7795"/>
    <w:rsid w:val="6CFC0368"/>
    <w:rsid w:val="6D497125"/>
    <w:rsid w:val="6DD260B4"/>
    <w:rsid w:val="6DED79A2"/>
    <w:rsid w:val="6E3075A8"/>
    <w:rsid w:val="6ECA36D3"/>
    <w:rsid w:val="6F381897"/>
    <w:rsid w:val="6F9E7ED2"/>
    <w:rsid w:val="70024AAD"/>
    <w:rsid w:val="701A510A"/>
    <w:rsid w:val="701E43C5"/>
    <w:rsid w:val="70232CBC"/>
    <w:rsid w:val="70573E90"/>
    <w:rsid w:val="707B6214"/>
    <w:rsid w:val="709B56DD"/>
    <w:rsid w:val="70B23573"/>
    <w:rsid w:val="70E50C0B"/>
    <w:rsid w:val="71EE5A30"/>
    <w:rsid w:val="73116865"/>
    <w:rsid w:val="73343929"/>
    <w:rsid w:val="73D83A50"/>
    <w:rsid w:val="73E111AC"/>
    <w:rsid w:val="7447541E"/>
    <w:rsid w:val="7499252B"/>
    <w:rsid w:val="74B86110"/>
    <w:rsid w:val="7508001A"/>
    <w:rsid w:val="75252D2D"/>
    <w:rsid w:val="75296802"/>
    <w:rsid w:val="75E33BE4"/>
    <w:rsid w:val="75EE1F37"/>
    <w:rsid w:val="76485B87"/>
    <w:rsid w:val="7679632F"/>
    <w:rsid w:val="76D94EA2"/>
    <w:rsid w:val="77521D03"/>
    <w:rsid w:val="7795123D"/>
    <w:rsid w:val="77AC2415"/>
    <w:rsid w:val="782471D6"/>
    <w:rsid w:val="78DA43C2"/>
    <w:rsid w:val="791C5B9D"/>
    <w:rsid w:val="79327448"/>
    <w:rsid w:val="7A0E1F9B"/>
    <w:rsid w:val="7A100BD0"/>
    <w:rsid w:val="7A1E0A30"/>
    <w:rsid w:val="7A8C3469"/>
    <w:rsid w:val="7B874AA9"/>
    <w:rsid w:val="7BA07ADE"/>
    <w:rsid w:val="7D482DB6"/>
    <w:rsid w:val="7DCE0521"/>
    <w:rsid w:val="7E0C2EE2"/>
    <w:rsid w:val="7ED14631"/>
    <w:rsid w:val="7F731AA8"/>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26"/>
    <w:qFormat/>
    <w:uiPriority w:val="0"/>
    <w:pPr>
      <w:ind w:firstLine="420" w:firstLineChars="200"/>
    </w:pPr>
    <w:rPr>
      <w:rFonts w:ascii="Times New Roman" w:hAnsi="Times New Roman"/>
      <w:szCs w:val="20"/>
    </w:rPr>
  </w:style>
  <w:style w:type="paragraph" w:styleId="6">
    <w:name w:val="Document Map"/>
    <w:basedOn w:val="1"/>
    <w:link w:val="27"/>
    <w:unhideWhenUsed/>
    <w:qFormat/>
    <w:uiPriority w:val="99"/>
    <w:rPr>
      <w:rFonts w:ascii="宋体"/>
      <w:sz w:val="18"/>
      <w:szCs w:val="18"/>
    </w:rPr>
  </w:style>
  <w:style w:type="paragraph" w:styleId="7">
    <w:name w:val="annotation text"/>
    <w:basedOn w:val="1"/>
    <w:semiHidden/>
    <w:unhideWhenUsed/>
    <w:qFormat/>
    <w:uiPriority w:val="99"/>
    <w:pPr>
      <w:jc w:val="left"/>
    </w:pPr>
  </w:style>
  <w:style w:type="paragraph" w:styleId="8">
    <w:name w:val="Body Text"/>
    <w:basedOn w:val="9"/>
    <w:next w:val="9"/>
    <w:link w:val="28"/>
    <w:unhideWhenUsed/>
    <w:qFormat/>
    <w:uiPriority w:val="99"/>
    <w:pPr>
      <w:spacing w:after="120"/>
    </w:p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Body Text Indent"/>
    <w:basedOn w:val="1"/>
    <w:qFormat/>
    <w:uiPriority w:val="0"/>
    <w:pPr>
      <w:spacing w:after="120"/>
      <w:ind w:left="420" w:leftChars="200"/>
    </w:pPr>
  </w:style>
  <w:style w:type="paragraph" w:styleId="11">
    <w:name w:val="Plain Text"/>
    <w:basedOn w:val="1"/>
    <w:link w:val="29"/>
    <w:qFormat/>
    <w:uiPriority w:val="0"/>
    <w:rPr>
      <w:rFonts w:ascii="宋体" w:hAnsi="Courier New"/>
      <w:kern w:val="0"/>
      <w:sz w:val="20"/>
      <w:szCs w:val="20"/>
    </w:rPr>
  </w:style>
  <w:style w:type="paragraph" w:styleId="12">
    <w:name w:val="Balloon Text"/>
    <w:basedOn w:val="1"/>
    <w:link w:val="30"/>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kern w:val="0"/>
      <w:sz w:val="18"/>
      <w:szCs w:val="18"/>
    </w:rPr>
  </w:style>
  <w:style w:type="paragraph" w:styleId="14">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5">
    <w:name w:val="Normal (Web)"/>
    <w:basedOn w:val="1"/>
    <w:unhideWhenUsed/>
    <w:qFormat/>
    <w:uiPriority w:val="99"/>
    <w:rPr>
      <w:sz w:val="24"/>
    </w:rPr>
  </w:style>
  <w:style w:type="paragraph" w:styleId="16">
    <w:name w:val="Body Text First Indent"/>
    <w:basedOn w:val="1"/>
    <w:link w:val="33"/>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10"/>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styleId="24">
    <w:name w:val="List Paragraph"/>
    <w:basedOn w:val="1"/>
    <w:qFormat/>
    <w:uiPriority w:val="34"/>
    <w:pPr>
      <w:ind w:firstLine="420" w:firstLineChars="200"/>
    </w:pPr>
  </w:style>
  <w:style w:type="paragraph" w:customStyle="1" w:styleId="25">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26">
    <w:name w:val="正文缩进 Char"/>
    <w:link w:val="5"/>
    <w:qFormat/>
    <w:uiPriority w:val="0"/>
    <w:rPr>
      <w:rFonts w:ascii="Times New Roman" w:hAnsi="Times New Roman"/>
      <w:kern w:val="2"/>
      <w:sz w:val="21"/>
    </w:rPr>
  </w:style>
  <w:style w:type="character" w:customStyle="1" w:styleId="27">
    <w:name w:val="文档结构图 Char"/>
    <w:link w:val="6"/>
    <w:semiHidden/>
    <w:qFormat/>
    <w:uiPriority w:val="99"/>
    <w:rPr>
      <w:rFonts w:ascii="宋体"/>
      <w:kern w:val="2"/>
      <w:sz w:val="18"/>
      <w:szCs w:val="18"/>
    </w:rPr>
  </w:style>
  <w:style w:type="character" w:customStyle="1" w:styleId="28">
    <w:name w:val="正文文本 Char"/>
    <w:link w:val="8"/>
    <w:semiHidden/>
    <w:qFormat/>
    <w:uiPriority w:val="99"/>
    <w:rPr>
      <w:kern w:val="2"/>
      <w:sz w:val="21"/>
      <w:szCs w:val="22"/>
    </w:rPr>
  </w:style>
  <w:style w:type="character" w:customStyle="1" w:styleId="29">
    <w:name w:val="纯文本 Char"/>
    <w:link w:val="11"/>
    <w:qFormat/>
    <w:uiPriority w:val="0"/>
    <w:rPr>
      <w:rFonts w:ascii="宋体" w:hAnsi="Courier New"/>
    </w:rPr>
  </w:style>
  <w:style w:type="character" w:customStyle="1" w:styleId="30">
    <w:name w:val="批注框文本 Char"/>
    <w:link w:val="12"/>
    <w:semiHidden/>
    <w:qFormat/>
    <w:uiPriority w:val="99"/>
    <w:rPr>
      <w:kern w:val="2"/>
      <w:sz w:val="18"/>
      <w:szCs w:val="18"/>
    </w:rPr>
  </w:style>
  <w:style w:type="character" w:customStyle="1" w:styleId="31">
    <w:name w:val="页脚 Char"/>
    <w:link w:val="13"/>
    <w:qFormat/>
    <w:uiPriority w:val="99"/>
    <w:rPr>
      <w:sz w:val="18"/>
      <w:szCs w:val="18"/>
    </w:rPr>
  </w:style>
  <w:style w:type="character" w:customStyle="1" w:styleId="32">
    <w:name w:val="页眉 Char"/>
    <w:link w:val="14"/>
    <w:qFormat/>
    <w:uiPriority w:val="99"/>
    <w:rPr>
      <w:sz w:val="18"/>
      <w:szCs w:val="18"/>
    </w:rPr>
  </w:style>
  <w:style w:type="character" w:customStyle="1" w:styleId="33">
    <w:name w:val="正文首行缩进 Char"/>
    <w:link w:val="16"/>
    <w:qFormat/>
    <w:uiPriority w:val="0"/>
    <w:rPr>
      <w:rFonts w:ascii="Times New Roman" w:hAnsi="Times New Roman"/>
      <w:kern w:val="2"/>
      <w:sz w:val="24"/>
      <w:szCs w:val="24"/>
    </w:rPr>
  </w:style>
  <w:style w:type="character" w:customStyle="1" w:styleId="34">
    <w:name w:val="font51"/>
    <w:basedOn w:val="20"/>
    <w:qFormat/>
    <w:uiPriority w:val="0"/>
    <w:rPr>
      <w:rFonts w:hint="eastAsia" w:ascii="宋体" w:hAnsi="宋体" w:eastAsia="宋体" w:cs="宋体"/>
      <w:color w:val="000000"/>
      <w:sz w:val="18"/>
      <w:szCs w:val="18"/>
      <w:u w:val="none"/>
    </w:rPr>
  </w:style>
  <w:style w:type="character" w:customStyle="1" w:styleId="35">
    <w:name w:val="font01"/>
    <w:basedOn w:val="20"/>
    <w:qFormat/>
    <w:uiPriority w:val="0"/>
    <w:rPr>
      <w:rFonts w:hint="eastAsia" w:ascii="宋体" w:hAnsi="宋体" w:eastAsia="宋体" w:cs="宋体"/>
      <w:color w:val="000000"/>
      <w:sz w:val="15"/>
      <w:szCs w:val="15"/>
      <w:u w:val="none"/>
    </w:rPr>
  </w:style>
  <w:style w:type="character" w:customStyle="1" w:styleId="36">
    <w:name w:val="font21"/>
    <w:basedOn w:val="20"/>
    <w:qFormat/>
    <w:uiPriority w:val="0"/>
    <w:rPr>
      <w:rFonts w:hint="eastAsia" w:ascii="宋体" w:hAnsi="宋体" w:eastAsia="宋体" w:cs="宋体"/>
      <w:b/>
      <w:color w:val="000000"/>
      <w:sz w:val="21"/>
      <w:szCs w:val="21"/>
      <w:u w:val="none"/>
    </w:rPr>
  </w:style>
  <w:style w:type="character" w:customStyle="1" w:styleId="37">
    <w:name w:val="正文首行缩进 字符"/>
    <w:qFormat/>
    <w:uiPriority w:val="0"/>
    <w:rPr>
      <w:rFonts w:ascii="Times New Roman" w:hAnsi="Times New Roman"/>
      <w:kern w:val="2"/>
      <w:sz w:val="24"/>
      <w:szCs w:val="24"/>
    </w:rPr>
  </w:style>
  <w:style w:type="character" w:customStyle="1" w:styleId="38">
    <w:name w:val="纯文本 Char1"/>
    <w:semiHidden/>
    <w:qFormat/>
    <w:uiPriority w:val="99"/>
    <w:rPr>
      <w:rFonts w:ascii="宋体" w:hAnsi="Courier New" w:cs="Courier New"/>
      <w:kern w:val="2"/>
      <w:sz w:val="21"/>
      <w:szCs w:val="21"/>
    </w:rPr>
  </w:style>
  <w:style w:type="character" w:customStyle="1" w:styleId="39">
    <w:name w:val="font61"/>
    <w:basedOn w:val="20"/>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9284</Words>
  <Characters>9554</Characters>
  <Lines>45</Lines>
  <Paragraphs>12</Paragraphs>
  <TotalTime>2</TotalTime>
  <ScaleCrop>false</ScaleCrop>
  <LinksUpToDate>false</LinksUpToDate>
  <CharactersWithSpaces>10107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 </dc:creator>
  <cp:lastModifiedBy>00034004_cgy</cp:lastModifiedBy>
  <cp:lastPrinted>2022-07-20T02:30:00Z</cp:lastPrinted>
  <dcterms:modified xsi:type="dcterms:W3CDTF">2026-05-14T11:24:35Z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6DC4B5C2980B4FEFAE1CD1D93DEC585C</vt:lpwstr>
  </property>
</Properties>
</file>