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45CAF0">
      <w:pPr>
        <w:ind w:left="454" w:leftChars="216" w:firstLine="240" w:firstLineChars="100"/>
        <w:jc w:val="center"/>
        <w:rPr>
          <w:rFonts w:hint="eastAsia" w:ascii="宋体" w:hAnsi="宋体" w:eastAsia="宋体" w:cs="宋体"/>
          <w:sz w:val="52"/>
          <w:szCs w:val="52"/>
          <w:u w:val="single"/>
        </w:rPr>
      </w:pPr>
      <w:r>
        <w:rPr>
          <w:rFonts w:hint="eastAsia" w:ascii="宋体" w:hAnsi="宋体" w:eastAsia="宋体" w:cs="宋体"/>
          <w:i w:val="0"/>
          <w:iCs w:val="0"/>
          <w:sz w:val="24"/>
        </w:rPr>
        <w:drawing>
          <wp:anchor distT="0" distB="0" distL="114300" distR="114300" simplePos="0" relativeHeight="251659264" behindDoc="0" locked="0" layoutInCell="1" allowOverlap="1">
            <wp:simplePos x="0" y="0"/>
            <wp:positionH relativeFrom="column">
              <wp:posOffset>-1147445</wp:posOffset>
            </wp:positionH>
            <wp:positionV relativeFrom="paragraph">
              <wp:posOffset>-926465</wp:posOffset>
            </wp:positionV>
            <wp:extent cx="8053070" cy="3202305"/>
            <wp:effectExtent l="0" t="0" r="5080" b="17145"/>
            <wp:wrapNone/>
            <wp:docPr id="867" name="图片 867"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 name="图片 867" descr="模板-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a:xfrm>
                      <a:off x="0" y="0"/>
                      <a:ext cx="8053070" cy="3202305"/>
                    </a:xfrm>
                    <a:prstGeom prst="rect">
                      <a:avLst/>
                    </a:prstGeom>
                    <a:noFill/>
                    <a:ln>
                      <a:noFill/>
                    </a:ln>
                  </pic:spPr>
                </pic:pic>
              </a:graphicData>
            </a:graphic>
          </wp:anchor>
        </w:drawing>
      </w:r>
    </w:p>
    <w:p w14:paraId="2F970758">
      <w:pPr>
        <w:ind w:left="454" w:leftChars="216" w:firstLine="520" w:firstLineChars="100"/>
        <w:jc w:val="center"/>
        <w:rPr>
          <w:rFonts w:hint="eastAsia" w:ascii="宋体" w:hAnsi="宋体" w:eastAsia="宋体" w:cs="宋体"/>
          <w:sz w:val="52"/>
          <w:szCs w:val="52"/>
          <w:u w:val="single"/>
        </w:rPr>
      </w:pPr>
    </w:p>
    <w:p w14:paraId="2C215070">
      <w:pPr>
        <w:ind w:left="454" w:leftChars="216" w:firstLine="520" w:firstLineChars="100"/>
        <w:jc w:val="center"/>
        <w:rPr>
          <w:rFonts w:hint="eastAsia" w:ascii="宋体" w:hAnsi="宋体" w:eastAsia="宋体" w:cs="宋体"/>
          <w:sz w:val="52"/>
          <w:szCs w:val="52"/>
          <w:u w:val="single"/>
        </w:rPr>
      </w:pPr>
    </w:p>
    <w:p w14:paraId="2C1086C0">
      <w:pPr>
        <w:ind w:left="454" w:leftChars="216" w:firstLine="520" w:firstLineChars="100"/>
        <w:jc w:val="center"/>
        <w:rPr>
          <w:rFonts w:hint="eastAsia" w:ascii="宋体" w:hAnsi="宋体" w:eastAsia="宋体" w:cs="宋体"/>
          <w:sz w:val="52"/>
          <w:szCs w:val="52"/>
          <w:u w:val="single"/>
        </w:rPr>
      </w:pPr>
    </w:p>
    <w:p w14:paraId="76CA5C8D">
      <w:pPr>
        <w:jc w:val="center"/>
        <w:rPr>
          <w:rFonts w:hint="eastAsia" w:ascii="宋体" w:hAnsi="宋体" w:eastAsia="宋体" w:cs="宋体"/>
          <w:sz w:val="52"/>
          <w:szCs w:val="52"/>
          <w:u w:val="single"/>
        </w:rPr>
      </w:pPr>
    </w:p>
    <w:p w14:paraId="186717CD">
      <w:pPr>
        <w:jc w:val="center"/>
        <w:rPr>
          <w:rFonts w:hint="eastAsia" w:ascii="宋体" w:hAnsi="宋体" w:eastAsia="宋体" w:cs="宋体"/>
          <w:sz w:val="48"/>
          <w:szCs w:val="48"/>
          <w:u w:val="none"/>
        </w:rPr>
      </w:pPr>
    </w:p>
    <w:p w14:paraId="5DDADB7E">
      <w:pPr>
        <w:jc w:val="center"/>
        <w:rPr>
          <w:rFonts w:hint="eastAsia" w:ascii="宋体" w:hAnsi="宋体" w:eastAsia="宋体" w:cs="宋体"/>
          <w:b/>
          <w:bCs/>
          <w:sz w:val="44"/>
          <w:szCs w:val="44"/>
          <w:u w:val="none"/>
          <w:lang w:val="en-US" w:eastAsia="zh-CN"/>
        </w:rPr>
      </w:pPr>
      <w:r>
        <w:rPr>
          <w:rFonts w:hint="eastAsia" w:ascii="宋体" w:hAnsi="宋体" w:eastAsia="宋体" w:cs="宋体"/>
          <w:b/>
          <w:bCs/>
          <w:sz w:val="44"/>
          <w:szCs w:val="44"/>
          <w:u w:val="none"/>
        </w:rPr>
        <w:t>202</w:t>
      </w:r>
      <w:r>
        <w:rPr>
          <w:rFonts w:hint="eastAsia" w:ascii="宋体" w:hAnsi="宋体" w:cs="宋体"/>
          <w:b/>
          <w:bCs/>
          <w:sz w:val="44"/>
          <w:szCs w:val="44"/>
          <w:u w:val="none"/>
          <w:lang w:val="en-US" w:eastAsia="zh-CN"/>
        </w:rPr>
        <w:t>6</w:t>
      </w:r>
      <w:r>
        <w:rPr>
          <w:rFonts w:hint="eastAsia" w:ascii="宋体" w:hAnsi="宋体" w:eastAsia="宋体" w:cs="宋体"/>
          <w:b/>
          <w:bCs/>
          <w:sz w:val="44"/>
          <w:szCs w:val="44"/>
          <w:u w:val="none"/>
          <w:lang w:val="en-US" w:eastAsia="zh-CN"/>
        </w:rPr>
        <w:t>年南方电网数字</w:t>
      </w:r>
      <w:r>
        <w:rPr>
          <w:rFonts w:hint="eastAsia" w:ascii="宋体" w:hAnsi="宋体" w:cs="宋体"/>
          <w:b/>
          <w:bCs/>
          <w:sz w:val="44"/>
          <w:szCs w:val="44"/>
          <w:u w:val="none"/>
          <w:lang w:val="en-US" w:eastAsia="zh-CN"/>
        </w:rPr>
        <w:t>电网</w:t>
      </w:r>
      <w:r>
        <w:rPr>
          <w:rFonts w:hint="eastAsia" w:ascii="宋体" w:hAnsi="宋体" w:eastAsia="宋体" w:cs="宋体"/>
          <w:b/>
          <w:bCs/>
          <w:sz w:val="44"/>
          <w:szCs w:val="44"/>
          <w:u w:val="none"/>
          <w:lang w:val="en-US" w:eastAsia="zh-CN"/>
        </w:rPr>
        <w:t>集团有限公司深圳分公司电力监控机房精密空调及消防系统</w:t>
      </w:r>
      <w:r>
        <w:rPr>
          <w:rFonts w:hint="eastAsia" w:ascii="宋体" w:hAnsi="宋体" w:eastAsia="宋体" w:cs="宋体"/>
          <w:b/>
          <w:bCs/>
          <w:sz w:val="44"/>
          <w:szCs w:val="44"/>
          <w:u w:val="none"/>
        </w:rPr>
        <w:t>维保</w:t>
      </w:r>
      <w:r>
        <w:rPr>
          <w:rFonts w:hint="eastAsia" w:ascii="宋体" w:hAnsi="宋体" w:eastAsia="宋体" w:cs="宋体"/>
          <w:b/>
          <w:bCs/>
          <w:sz w:val="44"/>
          <w:szCs w:val="44"/>
          <w:u w:val="none"/>
          <w:lang w:val="en-US" w:eastAsia="zh-CN"/>
        </w:rPr>
        <w:t>项目</w:t>
      </w:r>
    </w:p>
    <w:p w14:paraId="6E2CBBAF">
      <w:pPr>
        <w:jc w:val="center"/>
        <w:rPr>
          <w:rFonts w:hint="eastAsia" w:ascii="宋体" w:hAnsi="宋体" w:eastAsia="宋体" w:cs="宋体"/>
          <w:b/>
          <w:bCs/>
          <w:sz w:val="44"/>
          <w:szCs w:val="44"/>
          <w:u w:val="none"/>
          <w:lang w:val="en-US" w:eastAsia="zh-CN"/>
        </w:rPr>
      </w:pPr>
      <w:r>
        <w:rPr>
          <w:rFonts w:hint="eastAsia" w:ascii="宋体" w:hAnsi="宋体" w:eastAsia="宋体" w:cs="宋体"/>
          <w:b/>
          <w:bCs/>
          <w:sz w:val="44"/>
          <w:szCs w:val="44"/>
          <w:u w:val="none"/>
          <w:lang w:val="en-US" w:eastAsia="zh-CN"/>
        </w:rPr>
        <w:t>技术规范书</w:t>
      </w:r>
    </w:p>
    <w:p w14:paraId="07E7DD9B">
      <w:pPr>
        <w:rPr>
          <w:rFonts w:hint="eastAsia" w:ascii="宋体" w:hAnsi="宋体" w:eastAsia="宋体" w:cs="宋体"/>
        </w:rPr>
      </w:pPr>
    </w:p>
    <w:p w14:paraId="24353FA6">
      <w:pPr>
        <w:rPr>
          <w:rFonts w:hint="eastAsia" w:ascii="宋体" w:hAnsi="宋体" w:eastAsia="宋体" w:cs="宋体"/>
        </w:rPr>
      </w:pPr>
    </w:p>
    <w:p w14:paraId="3DE460A9">
      <w:pPr>
        <w:rPr>
          <w:rFonts w:hint="eastAsia" w:ascii="宋体" w:hAnsi="宋体" w:eastAsia="宋体" w:cs="宋体"/>
        </w:rPr>
      </w:pPr>
    </w:p>
    <w:p w14:paraId="636A5E61">
      <w:pPr>
        <w:rPr>
          <w:rFonts w:hint="eastAsia" w:ascii="宋体" w:hAnsi="宋体" w:eastAsia="宋体" w:cs="宋体"/>
        </w:rPr>
      </w:pPr>
    </w:p>
    <w:p w14:paraId="7336924E">
      <w:pPr>
        <w:rPr>
          <w:rFonts w:hint="eastAsia" w:ascii="宋体" w:hAnsi="宋体" w:eastAsia="宋体" w:cs="宋体"/>
        </w:rPr>
      </w:pPr>
    </w:p>
    <w:p w14:paraId="121BBFA4">
      <w:pPr>
        <w:rPr>
          <w:rFonts w:hint="eastAsia" w:ascii="宋体" w:hAnsi="宋体" w:eastAsia="宋体" w:cs="宋体"/>
        </w:rPr>
      </w:pPr>
    </w:p>
    <w:p w14:paraId="7D40174C">
      <w:pPr>
        <w:rPr>
          <w:rFonts w:hint="eastAsia" w:ascii="宋体" w:hAnsi="宋体" w:eastAsia="宋体" w:cs="宋体"/>
        </w:rPr>
      </w:pPr>
    </w:p>
    <w:p w14:paraId="0D1A37DC">
      <w:pPr>
        <w:rPr>
          <w:rFonts w:hint="eastAsia" w:ascii="宋体" w:hAnsi="宋体" w:eastAsia="宋体" w:cs="宋体"/>
        </w:rPr>
      </w:pPr>
    </w:p>
    <w:p w14:paraId="16EB00BB">
      <w:pPr>
        <w:rPr>
          <w:rFonts w:hint="eastAsia" w:ascii="宋体" w:hAnsi="宋体" w:eastAsia="宋体" w:cs="宋体"/>
        </w:rPr>
      </w:pPr>
    </w:p>
    <w:p w14:paraId="27226BF3">
      <w:pPr>
        <w:rPr>
          <w:rFonts w:hint="eastAsia" w:ascii="宋体" w:hAnsi="宋体" w:eastAsia="宋体" w:cs="宋体"/>
          <w:sz w:val="22"/>
          <w:szCs w:val="28"/>
        </w:rPr>
      </w:pPr>
    </w:p>
    <w:p w14:paraId="55AD3A47">
      <w:pPr>
        <w:bidi w:val="0"/>
        <w:rPr>
          <w:rFonts w:hint="eastAsia" w:ascii="宋体" w:hAnsi="宋体" w:eastAsia="宋体" w:cs="宋体"/>
        </w:rPr>
      </w:pPr>
    </w:p>
    <w:p w14:paraId="4F36BE4B">
      <w:pPr>
        <w:rPr>
          <w:rFonts w:hint="eastAsia" w:ascii="宋体" w:hAnsi="宋体" w:eastAsia="宋体" w:cs="宋体"/>
        </w:rPr>
      </w:pPr>
    </w:p>
    <w:p w14:paraId="6BA25A41">
      <w:pPr>
        <w:rPr>
          <w:rFonts w:hint="eastAsia" w:ascii="宋体" w:hAnsi="宋体" w:eastAsia="宋体" w:cs="宋体"/>
        </w:rPr>
      </w:pPr>
    </w:p>
    <w:p w14:paraId="5A9D3578">
      <w:pPr>
        <w:widowControl/>
        <w:spacing w:beforeLines="50" w:afterLines="50"/>
        <w:jc w:val="center"/>
        <w:rPr>
          <w:rFonts w:hint="eastAsia" w:ascii="宋体" w:hAnsi="宋体" w:eastAsia="宋体" w:cs="宋体"/>
          <w:b/>
          <w:i w:val="0"/>
          <w:iCs w:val="0"/>
          <w:sz w:val="32"/>
          <w:szCs w:val="28"/>
          <w:lang w:eastAsia="zh-CN"/>
        </w:rPr>
      </w:pPr>
      <w:r>
        <w:rPr>
          <w:rFonts w:hint="eastAsia" w:ascii="宋体" w:hAnsi="宋体" w:eastAsia="宋体" w:cs="宋体"/>
          <w:b/>
          <w:i w:val="0"/>
          <w:iCs w:val="0"/>
          <w:sz w:val="32"/>
          <w:szCs w:val="28"/>
          <w:lang w:eastAsia="zh-CN"/>
        </w:rPr>
        <w:t>南方电网数字电网集团有限公司深圳分公司</w:t>
      </w:r>
    </w:p>
    <w:p w14:paraId="03E780AD">
      <w:pPr>
        <w:widowControl/>
        <w:spacing w:beforeLines="50" w:afterLines="50"/>
        <w:jc w:val="center"/>
        <w:rPr>
          <w:rFonts w:hint="eastAsia" w:ascii="宋体" w:hAnsi="宋体" w:eastAsia="宋体" w:cs="宋体"/>
          <w:b/>
          <w:i w:val="0"/>
          <w:iCs w:val="0"/>
          <w:sz w:val="28"/>
          <w:szCs w:val="28"/>
        </w:rPr>
      </w:pPr>
      <w:r>
        <w:rPr>
          <w:rFonts w:hint="eastAsia" w:ascii="宋体" w:hAnsi="宋体" w:eastAsia="宋体" w:cs="宋体"/>
          <w:b/>
          <w:i w:val="0"/>
          <w:iCs w:val="0"/>
          <w:sz w:val="28"/>
          <w:szCs w:val="28"/>
        </w:rPr>
        <w:t>202</w:t>
      </w:r>
      <w:r>
        <w:rPr>
          <w:rFonts w:hint="eastAsia" w:ascii="宋体" w:hAnsi="宋体" w:cs="宋体"/>
          <w:b/>
          <w:i w:val="0"/>
          <w:iCs w:val="0"/>
          <w:sz w:val="28"/>
          <w:szCs w:val="28"/>
          <w:lang w:val="en-US" w:eastAsia="zh-CN"/>
        </w:rPr>
        <w:t>6</w:t>
      </w:r>
      <w:r>
        <w:rPr>
          <w:rFonts w:hint="eastAsia" w:ascii="宋体" w:hAnsi="宋体" w:eastAsia="宋体" w:cs="宋体"/>
          <w:b/>
          <w:i w:val="0"/>
          <w:iCs w:val="0"/>
          <w:sz w:val="28"/>
          <w:szCs w:val="28"/>
        </w:rPr>
        <w:t>年</w:t>
      </w:r>
      <w:r>
        <w:rPr>
          <w:rFonts w:hint="eastAsia" w:ascii="宋体" w:hAnsi="宋体" w:cs="宋体"/>
          <w:b/>
          <w:i w:val="0"/>
          <w:iCs w:val="0"/>
          <w:sz w:val="28"/>
          <w:szCs w:val="28"/>
          <w:lang w:val="en-US" w:eastAsia="zh-CN"/>
        </w:rPr>
        <w:t>5</w:t>
      </w:r>
      <w:r>
        <w:rPr>
          <w:rFonts w:hint="eastAsia" w:ascii="宋体" w:hAnsi="宋体" w:eastAsia="宋体" w:cs="宋体"/>
          <w:b/>
          <w:i w:val="0"/>
          <w:iCs w:val="0"/>
          <w:sz w:val="28"/>
          <w:szCs w:val="28"/>
        </w:rPr>
        <w:t>月</w:t>
      </w:r>
    </w:p>
    <w:p w14:paraId="1F96CB44">
      <w:pPr>
        <w:rPr>
          <w:rFonts w:hint="eastAsia" w:ascii="宋体" w:hAnsi="宋体" w:eastAsia="宋体" w:cs="宋体"/>
        </w:rPr>
      </w:pPr>
    </w:p>
    <w:p w14:paraId="53E1A089">
      <w:pPr>
        <w:rPr>
          <w:rFonts w:hint="eastAsia" w:ascii="宋体" w:hAnsi="宋体" w:eastAsia="宋体" w:cs="宋体"/>
        </w:rPr>
      </w:pPr>
    </w:p>
    <w:p w14:paraId="26329174">
      <w:pPr>
        <w:pStyle w:val="2"/>
        <w:numPr>
          <w:ilvl w:val="0"/>
          <w:numId w:val="0"/>
        </w:numPr>
        <w:bidi w:val="0"/>
        <w:ind w:leftChars="0"/>
        <w:jc w:val="center"/>
        <w:rPr>
          <w:rFonts w:hint="eastAsia" w:ascii="宋体" w:hAnsi="宋体" w:eastAsia="宋体" w:cs="宋体"/>
        </w:rPr>
      </w:pPr>
      <w:bookmarkStart w:id="0" w:name="_Toc10974"/>
      <w:bookmarkStart w:id="1" w:name="_Toc27796"/>
      <w:bookmarkStart w:id="2" w:name="_Toc7982"/>
      <w:bookmarkStart w:id="3" w:name="_Toc10396"/>
      <w:r>
        <w:rPr>
          <w:rFonts w:hint="eastAsia" w:ascii="宋体" w:hAnsi="宋体" w:eastAsia="宋体" w:cs="宋体"/>
        </w:rPr>
        <w:t xml:space="preserve"> 总则</w:t>
      </w:r>
      <w:bookmarkEnd w:id="0"/>
      <w:bookmarkEnd w:id="1"/>
      <w:bookmarkEnd w:id="2"/>
      <w:bookmarkEnd w:id="3"/>
    </w:p>
    <w:p w14:paraId="19F1DB24">
      <w:pPr>
        <w:spacing w:line="360" w:lineRule="auto"/>
        <w:ind w:left="480" w:hanging="480" w:hangingChars="200"/>
        <w:rPr>
          <w:rFonts w:hint="eastAsia" w:ascii="宋体" w:hAnsi="宋体" w:eastAsia="宋体" w:cs="宋体"/>
          <w:bCs/>
          <w:sz w:val="24"/>
        </w:rPr>
      </w:pPr>
      <w:r>
        <w:rPr>
          <w:rFonts w:hint="eastAsia" w:ascii="宋体" w:hAnsi="宋体" w:eastAsia="宋体" w:cs="宋体"/>
          <w:bCs/>
          <w:sz w:val="24"/>
        </w:rPr>
        <w:t>1.1</w:t>
      </w:r>
      <w:r>
        <w:rPr>
          <w:rFonts w:hint="eastAsia" w:ascii="宋体" w:hAnsi="宋体" w:eastAsia="宋体" w:cs="宋体"/>
          <w:bCs/>
          <w:sz w:val="24"/>
        </w:rPr>
        <w:tab/>
      </w:r>
      <w:r>
        <w:rPr>
          <w:rFonts w:hint="eastAsia" w:ascii="宋体" w:hAnsi="宋体" w:eastAsia="宋体" w:cs="宋体"/>
          <w:bCs/>
          <w:sz w:val="24"/>
        </w:rPr>
        <w:t>本技术规范书为</w:t>
      </w:r>
      <w:r>
        <w:rPr>
          <w:rFonts w:hint="eastAsia" w:ascii="宋体" w:hAnsi="宋体" w:eastAsia="宋体" w:cs="宋体"/>
          <w:bCs/>
          <w:sz w:val="24"/>
          <w:u w:val="single"/>
        </w:rPr>
        <w:t>202</w:t>
      </w:r>
      <w:r>
        <w:rPr>
          <w:rFonts w:hint="eastAsia" w:ascii="宋体" w:hAnsi="宋体" w:cs="宋体"/>
          <w:bCs/>
          <w:sz w:val="24"/>
          <w:u w:val="single"/>
          <w:lang w:val="en-US" w:eastAsia="zh-CN"/>
        </w:rPr>
        <w:t>6</w:t>
      </w:r>
      <w:r>
        <w:rPr>
          <w:rFonts w:hint="eastAsia" w:ascii="宋体" w:hAnsi="宋体" w:eastAsia="宋体" w:cs="宋体"/>
          <w:bCs/>
          <w:sz w:val="24"/>
          <w:u w:val="single"/>
        </w:rPr>
        <w:t>年</w:t>
      </w:r>
      <w:r>
        <w:rPr>
          <w:rFonts w:hint="eastAsia" w:ascii="宋体" w:hAnsi="宋体" w:cs="宋体"/>
          <w:bCs/>
          <w:sz w:val="24"/>
          <w:u w:val="single"/>
          <w:lang w:eastAsia="zh-CN"/>
        </w:rPr>
        <w:t>南方电网数字电网集团有限公司</w:t>
      </w:r>
      <w:r>
        <w:rPr>
          <w:rFonts w:hint="eastAsia" w:ascii="宋体" w:hAnsi="宋体" w:eastAsia="宋体" w:cs="宋体"/>
          <w:bCs/>
          <w:sz w:val="24"/>
          <w:u w:val="single"/>
        </w:rPr>
        <w:t>深圳分公司电力监控机房精密空调及消防系统维保</w:t>
      </w:r>
      <w:r>
        <w:rPr>
          <w:rFonts w:hint="eastAsia" w:ascii="宋体" w:hAnsi="宋体" w:eastAsia="宋体" w:cs="宋体"/>
          <w:bCs/>
          <w:sz w:val="24"/>
          <w:u w:val="single"/>
          <w:lang w:val="en-US" w:eastAsia="zh-CN"/>
        </w:rPr>
        <w:t>项目</w:t>
      </w:r>
      <w:r>
        <w:rPr>
          <w:rFonts w:hint="eastAsia" w:ascii="宋体" w:hAnsi="宋体" w:eastAsia="宋体" w:cs="宋体"/>
          <w:bCs/>
          <w:sz w:val="24"/>
        </w:rPr>
        <w:t>技术招标文件。</w:t>
      </w:r>
    </w:p>
    <w:p w14:paraId="1455D2FF">
      <w:pPr>
        <w:spacing w:line="360" w:lineRule="auto"/>
        <w:ind w:left="480" w:hanging="480" w:hangingChars="200"/>
        <w:rPr>
          <w:rFonts w:hint="eastAsia" w:ascii="宋体" w:hAnsi="宋体" w:eastAsia="宋体" w:cs="宋体"/>
          <w:bCs/>
          <w:sz w:val="24"/>
        </w:rPr>
      </w:pPr>
      <w:bookmarkStart w:id="4" w:name="_Toc9797"/>
      <w:bookmarkStart w:id="5" w:name="_Toc19636"/>
      <w:bookmarkStart w:id="6" w:name="_Toc28237"/>
      <w:bookmarkStart w:id="7" w:name="_Toc449709345"/>
      <w:bookmarkStart w:id="8" w:name="_Toc9574"/>
      <w:bookmarkStart w:id="9" w:name="_Toc366153751"/>
      <w:r>
        <w:rPr>
          <w:rFonts w:hint="eastAsia" w:ascii="宋体" w:hAnsi="宋体" w:eastAsia="宋体" w:cs="宋体"/>
          <w:bCs/>
          <w:sz w:val="24"/>
        </w:rPr>
        <w:t>1.2</w:t>
      </w:r>
      <w:r>
        <w:rPr>
          <w:rFonts w:hint="eastAsia" w:ascii="宋体" w:hAnsi="宋体" w:eastAsia="宋体" w:cs="宋体"/>
          <w:bCs/>
          <w:sz w:val="24"/>
        </w:rPr>
        <w:tab/>
      </w:r>
      <w:r>
        <w:rPr>
          <w:rFonts w:hint="eastAsia" w:ascii="宋体" w:hAnsi="宋体" w:eastAsia="宋体" w:cs="宋体"/>
          <w:bCs/>
          <w:sz w:val="24"/>
        </w:rPr>
        <w:t>本技术规范书提出的是最低限度的技术要求。凡本技术规范书中未规定，但在相关的行业标准、国家标准有规定的规范条文，供方应按相应标准的条文进行维护和修理。对国家有关安全、环保等强制性标准，必须满足其要求。</w:t>
      </w:r>
      <w:bookmarkEnd w:id="4"/>
      <w:bookmarkEnd w:id="5"/>
    </w:p>
    <w:p w14:paraId="6F192E02">
      <w:pPr>
        <w:spacing w:line="360" w:lineRule="auto"/>
        <w:ind w:left="480" w:hanging="480" w:hangingChars="200"/>
        <w:rPr>
          <w:rFonts w:hint="eastAsia" w:ascii="宋体" w:hAnsi="宋体" w:eastAsia="宋体" w:cs="宋体"/>
          <w:bCs/>
          <w:sz w:val="24"/>
        </w:rPr>
      </w:pPr>
      <w:bookmarkStart w:id="10" w:name="_Toc19811"/>
      <w:bookmarkStart w:id="11" w:name="_Toc4383"/>
      <w:r>
        <w:rPr>
          <w:rFonts w:hint="eastAsia" w:ascii="宋体" w:hAnsi="宋体" w:eastAsia="宋体" w:cs="宋体"/>
          <w:bCs/>
          <w:sz w:val="24"/>
        </w:rPr>
        <w:t>1.3</w:t>
      </w:r>
      <w:r>
        <w:rPr>
          <w:rFonts w:hint="eastAsia" w:ascii="宋体" w:hAnsi="宋体" w:eastAsia="宋体" w:cs="宋体"/>
          <w:bCs/>
          <w:sz w:val="24"/>
        </w:rPr>
        <w:tab/>
      </w:r>
      <w:r>
        <w:rPr>
          <w:rFonts w:hint="eastAsia" w:ascii="宋体" w:hAnsi="宋体" w:eastAsia="宋体" w:cs="宋体"/>
          <w:bCs/>
          <w:sz w:val="24"/>
        </w:rPr>
        <w:t>如果受委托方没有以书面形式对本技术规范书的条文提出异议，则意味着受委托方提供的服务完全符合本技术规范书的要求。如有异议，不管是多么微小，都应在报价书中以“对技术规范书的意见和同技术规范书的差异”为标题的专门章节中加以详细描述。</w:t>
      </w:r>
      <w:bookmarkEnd w:id="10"/>
      <w:bookmarkEnd w:id="11"/>
    </w:p>
    <w:p w14:paraId="6D892DD8">
      <w:pPr>
        <w:spacing w:line="360" w:lineRule="auto"/>
        <w:ind w:left="480" w:hanging="480" w:hangingChars="200"/>
        <w:rPr>
          <w:rFonts w:hint="eastAsia" w:ascii="宋体" w:hAnsi="宋体" w:eastAsia="宋体" w:cs="宋体"/>
          <w:bCs/>
          <w:sz w:val="24"/>
        </w:rPr>
      </w:pPr>
      <w:bookmarkStart w:id="12" w:name="_Toc7326"/>
      <w:bookmarkStart w:id="13" w:name="_Toc30692"/>
      <w:r>
        <w:rPr>
          <w:rFonts w:hint="eastAsia" w:ascii="宋体" w:hAnsi="宋体" w:eastAsia="宋体" w:cs="宋体"/>
          <w:bCs/>
          <w:sz w:val="24"/>
        </w:rPr>
        <w:t>1.4</w:t>
      </w:r>
      <w:r>
        <w:rPr>
          <w:rFonts w:hint="eastAsia" w:ascii="宋体" w:hAnsi="宋体" w:eastAsia="宋体" w:cs="宋体"/>
          <w:bCs/>
          <w:sz w:val="24"/>
        </w:rPr>
        <w:tab/>
      </w:r>
      <w:r>
        <w:rPr>
          <w:rFonts w:hint="eastAsia" w:ascii="宋体" w:hAnsi="宋体" w:eastAsia="宋体" w:cs="宋体"/>
          <w:bCs/>
          <w:sz w:val="24"/>
        </w:rPr>
        <w:t>本技术规范书所使用的标准如遇与受委托方所执行的标准不一致时，按较高标准执行。</w:t>
      </w:r>
      <w:bookmarkEnd w:id="12"/>
      <w:bookmarkEnd w:id="13"/>
    </w:p>
    <w:p w14:paraId="3CF3116F">
      <w:pPr>
        <w:spacing w:line="360" w:lineRule="auto"/>
        <w:ind w:left="480" w:hanging="480" w:hangingChars="200"/>
        <w:rPr>
          <w:rFonts w:hint="eastAsia" w:ascii="宋体" w:hAnsi="宋体" w:eastAsia="宋体" w:cs="宋体"/>
          <w:bCs/>
          <w:sz w:val="24"/>
        </w:rPr>
      </w:pPr>
      <w:bookmarkStart w:id="14" w:name="_Toc32656"/>
      <w:bookmarkStart w:id="15" w:name="_Toc4824"/>
      <w:r>
        <w:rPr>
          <w:rFonts w:hint="eastAsia" w:ascii="宋体" w:hAnsi="宋体" w:eastAsia="宋体" w:cs="宋体"/>
          <w:bCs/>
          <w:sz w:val="24"/>
        </w:rPr>
        <w:t>1.5</w:t>
      </w:r>
      <w:r>
        <w:rPr>
          <w:rFonts w:hint="eastAsia" w:ascii="宋体" w:hAnsi="宋体" w:eastAsia="宋体" w:cs="宋体"/>
          <w:bCs/>
          <w:sz w:val="24"/>
        </w:rPr>
        <w:tab/>
      </w:r>
      <w:r>
        <w:rPr>
          <w:rFonts w:hint="eastAsia" w:ascii="宋体" w:hAnsi="宋体" w:eastAsia="宋体" w:cs="宋体"/>
          <w:bCs/>
          <w:sz w:val="24"/>
        </w:rPr>
        <w:t>本技术规范书经需方与供方双方确认后作为服务合同的技术附件，与合同正文具有同等的法律效力。</w:t>
      </w:r>
      <w:bookmarkEnd w:id="14"/>
      <w:bookmarkEnd w:id="15"/>
    </w:p>
    <w:p w14:paraId="420105A8">
      <w:pPr>
        <w:spacing w:line="360" w:lineRule="auto"/>
        <w:ind w:left="480" w:hanging="480" w:hangingChars="200"/>
        <w:rPr>
          <w:rFonts w:hint="eastAsia" w:ascii="宋体" w:hAnsi="宋体" w:eastAsia="宋体" w:cs="宋体"/>
          <w:bCs/>
          <w:sz w:val="24"/>
        </w:rPr>
      </w:pPr>
      <w:bookmarkStart w:id="16" w:name="_Toc22364"/>
      <w:bookmarkStart w:id="17" w:name="_Toc25775"/>
      <w:r>
        <w:rPr>
          <w:rFonts w:hint="eastAsia" w:ascii="宋体" w:hAnsi="宋体" w:eastAsia="宋体" w:cs="宋体"/>
          <w:bCs/>
          <w:sz w:val="24"/>
        </w:rPr>
        <w:t>1.6</w:t>
      </w:r>
      <w:r>
        <w:rPr>
          <w:rFonts w:hint="eastAsia" w:ascii="宋体" w:hAnsi="宋体" w:eastAsia="宋体" w:cs="宋体"/>
          <w:bCs/>
          <w:sz w:val="24"/>
        </w:rPr>
        <w:tab/>
      </w:r>
      <w:r>
        <w:rPr>
          <w:rFonts w:hint="eastAsia" w:ascii="宋体" w:hAnsi="宋体" w:eastAsia="宋体" w:cs="宋体"/>
          <w:bCs/>
          <w:sz w:val="24"/>
        </w:rPr>
        <w:t>本技术规范书未尽事宜，由委托方与受委托方协商确定。</w:t>
      </w:r>
      <w:bookmarkEnd w:id="16"/>
      <w:bookmarkEnd w:id="17"/>
    </w:p>
    <w:bookmarkEnd w:id="6"/>
    <w:bookmarkEnd w:id="7"/>
    <w:bookmarkEnd w:id="8"/>
    <w:bookmarkEnd w:id="9"/>
    <w:p w14:paraId="65B786A3">
      <w:pPr>
        <w:spacing w:line="360" w:lineRule="auto"/>
        <w:ind w:left="480" w:hanging="480" w:hangingChars="200"/>
        <w:rPr>
          <w:rFonts w:hint="eastAsia" w:ascii="宋体" w:hAnsi="宋体" w:eastAsia="宋体" w:cs="宋体"/>
          <w:bCs/>
          <w:sz w:val="24"/>
        </w:rPr>
      </w:pPr>
      <w:r>
        <w:rPr>
          <w:rFonts w:hint="eastAsia" w:ascii="宋体" w:hAnsi="宋体" w:eastAsia="宋体" w:cs="宋体"/>
          <w:bCs/>
          <w:sz w:val="24"/>
        </w:rPr>
        <w:t>1.7</w:t>
      </w:r>
      <w:r>
        <w:rPr>
          <w:rFonts w:hint="eastAsia" w:ascii="宋体" w:hAnsi="宋体" w:eastAsia="宋体" w:cs="宋体"/>
          <w:bCs/>
          <w:sz w:val="24"/>
        </w:rPr>
        <w:tab/>
      </w:r>
      <w:r>
        <w:rPr>
          <w:rFonts w:hint="eastAsia" w:ascii="宋体" w:hAnsi="宋体" w:eastAsia="宋体" w:cs="宋体"/>
          <w:bCs/>
          <w:sz w:val="24"/>
        </w:rPr>
        <w:t>投标人必须仔细阅读招标文件的全部条款，并作出明确响应。</w:t>
      </w:r>
    </w:p>
    <w:p w14:paraId="12AD181B">
      <w:pPr>
        <w:bidi w:val="0"/>
        <w:rPr>
          <w:rFonts w:hint="eastAsia" w:ascii="宋体" w:hAnsi="宋体" w:eastAsia="宋体" w:cs="宋体"/>
        </w:rPr>
      </w:pPr>
    </w:p>
    <w:p w14:paraId="2F96D245">
      <w:pPr>
        <w:bidi w:val="0"/>
        <w:rPr>
          <w:rFonts w:hint="eastAsia" w:ascii="宋体" w:hAnsi="宋体" w:eastAsia="宋体" w:cs="宋体"/>
        </w:rPr>
      </w:pPr>
    </w:p>
    <w:p w14:paraId="3227CB48">
      <w:pPr>
        <w:bidi w:val="0"/>
        <w:rPr>
          <w:rFonts w:hint="eastAsia" w:ascii="宋体" w:hAnsi="宋体" w:eastAsia="宋体" w:cs="宋体"/>
        </w:rPr>
      </w:pPr>
    </w:p>
    <w:p w14:paraId="3A782515">
      <w:pPr>
        <w:bidi w:val="0"/>
        <w:rPr>
          <w:rFonts w:hint="eastAsia" w:ascii="宋体" w:hAnsi="宋体" w:eastAsia="宋体" w:cs="宋体"/>
        </w:rPr>
      </w:pPr>
    </w:p>
    <w:p w14:paraId="3B1C7EB1">
      <w:pPr>
        <w:bidi w:val="0"/>
        <w:rPr>
          <w:rFonts w:hint="eastAsia" w:ascii="宋体" w:hAnsi="宋体" w:eastAsia="宋体" w:cs="宋体"/>
        </w:rPr>
      </w:pPr>
    </w:p>
    <w:p w14:paraId="71D5D7AC">
      <w:pPr>
        <w:bidi w:val="0"/>
        <w:rPr>
          <w:rFonts w:hint="eastAsia" w:ascii="宋体" w:hAnsi="宋体" w:eastAsia="宋体" w:cs="宋体"/>
        </w:rPr>
      </w:pPr>
    </w:p>
    <w:p w14:paraId="24328DDF">
      <w:pPr>
        <w:bidi w:val="0"/>
        <w:rPr>
          <w:rFonts w:hint="eastAsia" w:ascii="宋体" w:hAnsi="宋体" w:eastAsia="宋体" w:cs="宋体"/>
        </w:rPr>
      </w:pPr>
    </w:p>
    <w:p w14:paraId="75061987">
      <w:pPr>
        <w:bidi w:val="0"/>
        <w:rPr>
          <w:rFonts w:hint="eastAsia" w:ascii="宋体" w:hAnsi="宋体" w:eastAsia="宋体" w:cs="宋体"/>
        </w:rPr>
      </w:pPr>
    </w:p>
    <w:p w14:paraId="474C617F">
      <w:pPr>
        <w:bidi w:val="0"/>
        <w:rPr>
          <w:rFonts w:hint="eastAsia" w:ascii="宋体" w:hAnsi="宋体" w:eastAsia="宋体" w:cs="宋体"/>
        </w:rPr>
      </w:pPr>
    </w:p>
    <w:p w14:paraId="6ED94AF3">
      <w:pPr>
        <w:bidi w:val="0"/>
        <w:rPr>
          <w:rFonts w:hint="eastAsia" w:ascii="宋体" w:hAnsi="宋体" w:eastAsia="宋体" w:cs="宋体"/>
        </w:rPr>
      </w:pPr>
    </w:p>
    <w:p w14:paraId="17374CD9">
      <w:pPr>
        <w:bidi w:val="0"/>
        <w:rPr>
          <w:rFonts w:hint="eastAsia" w:ascii="宋体" w:hAnsi="宋体" w:eastAsia="宋体" w:cs="宋体"/>
        </w:rPr>
      </w:pPr>
    </w:p>
    <w:p w14:paraId="05176A38">
      <w:pPr>
        <w:bidi w:val="0"/>
        <w:rPr>
          <w:rFonts w:hint="eastAsia" w:ascii="宋体" w:hAnsi="宋体" w:eastAsia="宋体" w:cs="宋体"/>
        </w:rPr>
      </w:pPr>
    </w:p>
    <w:p w14:paraId="4FC6FC3E">
      <w:pPr>
        <w:bidi w:val="0"/>
        <w:rPr>
          <w:rFonts w:hint="eastAsia" w:ascii="宋体" w:hAnsi="宋体" w:eastAsia="宋体" w:cs="宋体"/>
        </w:rPr>
      </w:pPr>
    </w:p>
    <w:p w14:paraId="614D5E5E">
      <w:pPr>
        <w:bidi w:val="0"/>
        <w:rPr>
          <w:rFonts w:hint="eastAsia" w:ascii="宋体" w:hAnsi="宋体" w:eastAsia="宋体" w:cs="宋体"/>
        </w:rPr>
      </w:pPr>
    </w:p>
    <w:p w14:paraId="6F32C942">
      <w:pPr>
        <w:rPr>
          <w:rFonts w:hint="eastAsia" w:ascii="宋体" w:hAnsi="宋体" w:eastAsia="宋体" w:cs="宋体"/>
        </w:rPr>
      </w:pPr>
    </w:p>
    <w:p w14:paraId="0D810130">
      <w:pPr>
        <w:rPr>
          <w:rFonts w:hint="eastAsia" w:ascii="宋体" w:hAnsi="宋体" w:eastAsia="宋体" w:cs="宋体"/>
        </w:rPr>
      </w:pPr>
    </w:p>
    <w:p w14:paraId="095D5CF8">
      <w:pPr>
        <w:rPr>
          <w:rFonts w:hint="eastAsia" w:ascii="宋体" w:hAnsi="宋体" w:eastAsia="宋体" w:cs="宋体"/>
        </w:rPr>
      </w:pPr>
    </w:p>
    <w:p w14:paraId="1D21AE1F">
      <w:pPr>
        <w:pStyle w:val="3"/>
        <w:keepNext/>
        <w:keepLines/>
        <w:pageBreakBefore w:val="0"/>
        <w:widowControl w:val="0"/>
        <w:numPr>
          <w:ilvl w:val="1"/>
          <w:numId w:val="0"/>
        </w:numPr>
        <w:kinsoku/>
        <w:wordWrap/>
        <w:overflowPunct/>
        <w:topLinePunct/>
        <w:autoSpaceDE/>
        <w:autoSpaceDN/>
        <w:bidi w:val="0"/>
        <w:adjustRightInd w:val="0"/>
        <w:snapToGrid w:val="0"/>
        <w:spacing w:line="400" w:lineRule="exact"/>
        <w:ind w:leftChars="0"/>
        <w:textAlignment w:val="center"/>
        <w:rPr>
          <w:rFonts w:hint="eastAsia" w:ascii="宋体" w:hAnsi="宋体" w:eastAsia="宋体" w:cs="宋体"/>
          <w:lang w:val="en-US" w:eastAsia="zh-CN"/>
        </w:rPr>
      </w:pPr>
      <w:r>
        <w:rPr>
          <w:rFonts w:hint="eastAsia" w:ascii="宋体" w:hAnsi="宋体" w:eastAsia="宋体" w:cs="宋体"/>
          <w:lang w:val="en-US" w:eastAsia="zh-CN"/>
        </w:rPr>
        <w:t>1.项目概况</w:t>
      </w:r>
    </w:p>
    <w:p w14:paraId="449669E4">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sz w:val="24"/>
          <w:lang w:val="en-US" w:eastAsia="zh-CN"/>
        </w:rPr>
      </w:pPr>
      <w:r>
        <w:rPr>
          <w:rFonts w:hint="eastAsia" w:ascii="宋体" w:hAnsi="宋体" w:cs="宋体"/>
          <w:bCs/>
          <w:sz w:val="24"/>
          <w:lang w:val="en-US" w:eastAsia="zh-CN"/>
        </w:rPr>
        <w:t>为保证电力监控机房各服务器、安防设备的持续稳定运行，特实施2026年南方</w:t>
      </w:r>
      <w:r>
        <w:rPr>
          <w:rFonts w:hint="eastAsia" w:ascii="宋体" w:hAnsi="宋体" w:cs="宋体"/>
          <w:bCs/>
          <w:sz w:val="24"/>
          <w:u w:val="none"/>
          <w:lang w:eastAsia="zh-CN"/>
        </w:rPr>
        <w:t>电网数字电网集团有限公司</w:t>
      </w:r>
      <w:r>
        <w:rPr>
          <w:rFonts w:hint="eastAsia" w:ascii="宋体" w:hAnsi="宋体" w:eastAsia="宋体" w:cs="宋体"/>
          <w:bCs/>
          <w:sz w:val="24"/>
          <w:u w:val="none"/>
        </w:rPr>
        <w:t>深圳分公司电力监控机房精密空调及消防系统维保</w:t>
      </w:r>
      <w:r>
        <w:rPr>
          <w:rFonts w:hint="eastAsia" w:ascii="宋体" w:hAnsi="宋体" w:eastAsia="宋体" w:cs="宋体"/>
          <w:bCs/>
          <w:sz w:val="24"/>
          <w:lang w:val="en-US" w:eastAsia="zh-CN"/>
        </w:rPr>
        <w:t>项目</w:t>
      </w:r>
      <w:r>
        <w:rPr>
          <w:rFonts w:hint="eastAsia" w:ascii="宋体" w:hAnsi="宋体" w:cs="宋体"/>
          <w:bCs/>
          <w:sz w:val="24"/>
          <w:lang w:val="en-US" w:eastAsia="zh-CN"/>
        </w:rPr>
        <w:t>，以在</w:t>
      </w:r>
      <w:r>
        <w:rPr>
          <w:rFonts w:hint="eastAsia" w:ascii="宋体" w:hAnsi="宋体" w:eastAsia="宋体" w:cs="宋体"/>
          <w:bCs/>
          <w:sz w:val="24"/>
          <w:lang w:val="en-US" w:eastAsia="zh-CN"/>
        </w:rPr>
        <w:t>安全生产应用与管控中发挥重要作用。</w:t>
      </w:r>
    </w:p>
    <w:p w14:paraId="2D38633F">
      <w:pPr>
        <w:pStyle w:val="3"/>
        <w:keepNext/>
        <w:keepLines/>
        <w:pageBreakBefore w:val="0"/>
        <w:widowControl w:val="0"/>
        <w:numPr>
          <w:ilvl w:val="1"/>
          <w:numId w:val="0"/>
        </w:numPr>
        <w:kinsoku/>
        <w:wordWrap/>
        <w:overflowPunct/>
        <w:topLinePunct/>
        <w:autoSpaceDE/>
        <w:autoSpaceDN/>
        <w:bidi w:val="0"/>
        <w:adjustRightInd w:val="0"/>
        <w:snapToGrid w:val="0"/>
        <w:spacing w:line="400" w:lineRule="exact"/>
        <w:ind w:leftChars="0"/>
        <w:textAlignment w:val="center"/>
        <w:rPr>
          <w:rFonts w:hint="eastAsia" w:ascii="宋体" w:hAnsi="宋体" w:eastAsia="宋体" w:cs="宋体"/>
          <w:lang w:val="en-US" w:eastAsia="zh-CN"/>
        </w:rPr>
      </w:pPr>
      <w:r>
        <w:rPr>
          <w:rFonts w:hint="eastAsia" w:ascii="宋体" w:hAnsi="宋体" w:eastAsia="宋体" w:cs="宋体"/>
          <w:lang w:val="en-US" w:eastAsia="zh-CN"/>
        </w:rPr>
        <w:t>2.项目范围及主要工作内容</w:t>
      </w:r>
    </w:p>
    <w:p w14:paraId="5800B68C">
      <w:pPr>
        <w:pStyle w:val="4"/>
        <w:keepNext/>
        <w:keepLines/>
        <w:pageBreakBefore w:val="0"/>
        <w:widowControl w:val="0"/>
        <w:numPr>
          <w:ilvl w:val="2"/>
          <w:numId w:val="0"/>
        </w:numPr>
        <w:kinsoku/>
        <w:wordWrap/>
        <w:overflowPunct/>
        <w:topLinePunct w:val="0"/>
        <w:autoSpaceDE/>
        <w:autoSpaceDN/>
        <w:bidi w:val="0"/>
        <w:adjustRightInd/>
        <w:snapToGrid/>
        <w:spacing w:line="400" w:lineRule="exact"/>
        <w:ind w:leftChars="0"/>
        <w:textAlignment w:val="auto"/>
        <w:rPr>
          <w:rFonts w:hint="eastAsia" w:ascii="宋体" w:hAnsi="宋体" w:eastAsia="宋体" w:cs="宋体"/>
          <w:b/>
          <w:bCs/>
          <w:i w:val="0"/>
          <w:iCs w:val="0"/>
          <w:sz w:val="28"/>
          <w:szCs w:val="22"/>
          <w:lang w:val="en-US" w:eastAsia="zh-CN"/>
        </w:rPr>
      </w:pPr>
      <w:r>
        <w:rPr>
          <w:rFonts w:hint="eastAsia" w:ascii="宋体" w:hAnsi="宋体" w:eastAsia="宋体" w:cs="宋体"/>
          <w:b/>
          <w:bCs/>
          <w:i w:val="0"/>
          <w:iCs w:val="0"/>
          <w:sz w:val="28"/>
          <w:szCs w:val="22"/>
          <w:lang w:val="en-US" w:eastAsia="zh-CN"/>
        </w:rPr>
        <w:t>2.1消防系统维保</w:t>
      </w:r>
    </w:p>
    <w:p w14:paraId="112FDB3E">
      <w:pPr>
        <w:pageBreakBefore w:val="0"/>
        <w:widowControl w:val="0"/>
        <w:kinsoku/>
        <w:wordWrap/>
        <w:overflowPunct/>
        <w:autoSpaceDE/>
        <w:autoSpaceDN/>
        <w:bidi w:val="0"/>
        <w:spacing w:line="400" w:lineRule="exact"/>
        <w:rPr>
          <w:rFonts w:hint="eastAsia" w:ascii="宋体" w:hAnsi="宋体" w:eastAsia="宋体" w:cs="宋体"/>
          <w:b/>
          <w:bCs/>
          <w:snapToGrid w:val="0"/>
          <w:kern w:val="0"/>
          <w:sz w:val="28"/>
          <w:szCs w:val="28"/>
          <w:lang w:val="en-US" w:eastAsia="zh-CN" w:bidi="ar-SA"/>
        </w:rPr>
      </w:pPr>
      <w:r>
        <w:rPr>
          <w:rFonts w:hint="eastAsia" w:ascii="宋体" w:hAnsi="宋体" w:eastAsia="宋体" w:cs="宋体"/>
          <w:b/>
          <w:bCs/>
          <w:snapToGrid w:val="0"/>
          <w:kern w:val="0"/>
          <w:sz w:val="28"/>
          <w:szCs w:val="28"/>
          <w:lang w:val="en-US" w:eastAsia="zh-CN" w:bidi="ar-SA"/>
        </w:rPr>
        <w:t>2.1.1火灾自动报警系统</w:t>
      </w:r>
    </w:p>
    <w:p w14:paraId="210A822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对火灾自动报警系统检查维护，确保正常可用。</w:t>
      </w:r>
    </w:p>
    <w:p w14:paraId="7CC19C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eastAsia="zh-CN"/>
        </w:rPr>
        <w:t>）</w:t>
      </w:r>
      <w:r>
        <w:rPr>
          <w:rFonts w:hint="eastAsia" w:ascii="宋体" w:hAnsi="宋体" w:eastAsia="宋体" w:cs="宋体"/>
          <w:sz w:val="24"/>
          <w:szCs w:val="24"/>
        </w:rPr>
        <w:t>对消防火灾报警控制器进行自检功能检查</w:t>
      </w:r>
      <w:r>
        <w:rPr>
          <w:rFonts w:hint="eastAsia" w:ascii="宋体" w:hAnsi="宋体" w:cs="宋体"/>
          <w:sz w:val="24"/>
          <w:szCs w:val="24"/>
          <w:lang w:val="en-US" w:eastAsia="zh-CN"/>
        </w:rPr>
        <w:t>维护</w:t>
      </w:r>
      <w:r>
        <w:rPr>
          <w:rFonts w:hint="eastAsia" w:ascii="宋体" w:hAnsi="宋体" w:eastAsia="宋体" w:cs="宋体"/>
          <w:sz w:val="24"/>
          <w:szCs w:val="24"/>
        </w:rPr>
        <w:t>：</w:t>
      </w:r>
    </w:p>
    <w:p w14:paraId="25D46E4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eastAsia="zh-CN"/>
        </w:rPr>
        <w:t>）</w:t>
      </w:r>
      <w:r>
        <w:rPr>
          <w:rFonts w:hint="eastAsia" w:ascii="宋体" w:hAnsi="宋体" w:eastAsia="宋体" w:cs="宋体"/>
          <w:sz w:val="24"/>
          <w:szCs w:val="24"/>
        </w:rPr>
        <w:t>对可测量相关参数进行查看和记录，如回路电流等；</w:t>
      </w:r>
    </w:p>
    <w:p w14:paraId="7F80C10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eastAsia="zh-CN"/>
        </w:rPr>
        <w:t>）</w:t>
      </w:r>
      <w:r>
        <w:rPr>
          <w:rFonts w:hint="eastAsia" w:ascii="宋体" w:hAnsi="宋体" w:eastAsia="宋体" w:cs="宋体"/>
          <w:sz w:val="24"/>
          <w:szCs w:val="24"/>
        </w:rPr>
        <w:t>公共场所烟感器、温感器安装检查，与底座接触是否良好，外观是否洁净完好；</w:t>
      </w:r>
    </w:p>
    <w:p w14:paraId="4B6BD1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eastAsia="zh-CN"/>
        </w:rPr>
        <w:t>）</w:t>
      </w:r>
      <w:r>
        <w:rPr>
          <w:rFonts w:hint="eastAsia" w:ascii="宋体" w:hAnsi="宋体" w:eastAsia="宋体" w:cs="宋体"/>
          <w:sz w:val="24"/>
          <w:szCs w:val="24"/>
        </w:rPr>
        <w:t>每次随机抽取不低于5%的烟感或温感，喷烟或加热后查视报警是否正确；</w:t>
      </w:r>
    </w:p>
    <w:p w14:paraId="3F77A9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eastAsia="zh-CN"/>
        </w:rPr>
        <w:t>）</w:t>
      </w:r>
      <w:r>
        <w:rPr>
          <w:rFonts w:hint="eastAsia" w:ascii="宋体" w:hAnsi="宋体" w:eastAsia="宋体" w:cs="宋体"/>
          <w:sz w:val="24"/>
          <w:szCs w:val="24"/>
        </w:rPr>
        <w:t>手动报警按钮，检查安装是否牢固，有无破损及丢失；</w:t>
      </w:r>
    </w:p>
    <w:p w14:paraId="4570D5C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z w:val="24"/>
          <w:szCs w:val="24"/>
          <w:lang w:val="en-US" w:eastAsia="zh-CN"/>
        </w:rPr>
        <w:t>)</w:t>
      </w:r>
      <w:r>
        <w:rPr>
          <w:rFonts w:hint="eastAsia" w:ascii="宋体" w:hAnsi="宋体" w:eastAsia="宋体" w:cs="宋体"/>
          <w:sz w:val="24"/>
          <w:szCs w:val="24"/>
        </w:rPr>
        <w:t>每次随机抽取不低于5%的手动报警按钮，进行模拟报警，</w:t>
      </w:r>
      <w:r>
        <w:rPr>
          <w:rFonts w:hint="eastAsia" w:ascii="宋体" w:hAnsi="宋体" w:cs="宋体"/>
          <w:sz w:val="24"/>
          <w:szCs w:val="24"/>
          <w:lang w:val="en-US" w:eastAsia="zh-CN"/>
        </w:rPr>
        <w:t>对</w:t>
      </w:r>
      <w:r>
        <w:rPr>
          <w:rFonts w:hint="eastAsia" w:ascii="宋体" w:hAnsi="宋体" w:eastAsia="宋体" w:cs="宋体"/>
          <w:sz w:val="24"/>
          <w:szCs w:val="24"/>
        </w:rPr>
        <w:t>测试报警功能检查</w:t>
      </w:r>
      <w:r>
        <w:rPr>
          <w:rFonts w:hint="eastAsia" w:ascii="宋体" w:hAnsi="宋体" w:cs="宋体"/>
          <w:sz w:val="24"/>
          <w:szCs w:val="24"/>
          <w:lang w:val="en-US" w:eastAsia="zh-CN"/>
        </w:rPr>
        <w:t>维护</w:t>
      </w:r>
      <w:r>
        <w:rPr>
          <w:rFonts w:hint="eastAsia" w:ascii="宋体" w:hAnsi="宋体" w:eastAsia="宋体" w:cs="宋体"/>
          <w:sz w:val="24"/>
          <w:szCs w:val="24"/>
        </w:rPr>
        <w:t>；</w:t>
      </w:r>
    </w:p>
    <w:p w14:paraId="58EDFFC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eastAsia="宋体" w:cs="宋体"/>
          <w:sz w:val="24"/>
          <w:szCs w:val="24"/>
          <w:lang w:val="en-US" w:eastAsia="zh-CN"/>
        </w:rPr>
        <w:t>)</w:t>
      </w:r>
      <w:r>
        <w:rPr>
          <w:rFonts w:hint="eastAsia" w:ascii="宋体" w:hAnsi="宋体" w:eastAsia="宋体" w:cs="宋体"/>
          <w:sz w:val="24"/>
          <w:szCs w:val="24"/>
        </w:rPr>
        <w:t>对楼层内各模块箱进行外观检查，外接线是否固定良好；</w:t>
      </w:r>
    </w:p>
    <w:p w14:paraId="66B141C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w:t>
      </w:r>
      <w:r>
        <w:rPr>
          <w:rFonts w:hint="eastAsia" w:ascii="宋体" w:hAnsi="宋体" w:eastAsia="宋体" w:cs="宋体"/>
          <w:sz w:val="24"/>
          <w:szCs w:val="24"/>
          <w:lang w:val="en-US" w:eastAsia="zh-CN"/>
        </w:rPr>
        <w:t>)</w:t>
      </w:r>
      <w:r>
        <w:rPr>
          <w:rFonts w:hint="eastAsia" w:ascii="宋体" w:hAnsi="宋体" w:eastAsia="宋体" w:cs="宋体"/>
          <w:sz w:val="24"/>
          <w:szCs w:val="24"/>
        </w:rPr>
        <w:t>对联动控制柜上的按钮每次按10%的比例进行功能试验，控制功能正常。</w:t>
      </w:r>
    </w:p>
    <w:p w14:paraId="48738CB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9</w:t>
      </w:r>
      <w:r>
        <w:rPr>
          <w:rFonts w:hint="eastAsia" w:ascii="宋体" w:hAnsi="宋体" w:eastAsia="宋体" w:cs="宋体"/>
          <w:sz w:val="24"/>
          <w:szCs w:val="24"/>
          <w:lang w:val="en-US" w:eastAsia="zh-CN"/>
        </w:rPr>
        <w:t>)</w:t>
      </w:r>
      <w:r>
        <w:rPr>
          <w:rFonts w:hint="eastAsia" w:ascii="宋体" w:hAnsi="宋体" w:eastAsia="宋体" w:cs="宋体"/>
          <w:sz w:val="24"/>
          <w:szCs w:val="24"/>
        </w:rPr>
        <w:t>对火灾报警控制柜、联动控制柜等进行清扫除尘。线路松动，应进行紧固。对自检、消音、复位功能检查</w:t>
      </w:r>
      <w:r>
        <w:rPr>
          <w:rFonts w:hint="eastAsia" w:ascii="宋体" w:hAnsi="宋体" w:cs="宋体"/>
          <w:sz w:val="24"/>
          <w:szCs w:val="24"/>
          <w:lang w:val="en-US" w:eastAsia="zh-CN"/>
        </w:rPr>
        <w:t>维护</w:t>
      </w:r>
      <w:r>
        <w:rPr>
          <w:rFonts w:hint="eastAsia" w:ascii="宋体" w:hAnsi="宋体" w:eastAsia="宋体" w:cs="宋体"/>
          <w:sz w:val="24"/>
          <w:szCs w:val="24"/>
        </w:rPr>
        <w:t>，主电源与备用电源切换、报警检查</w:t>
      </w:r>
      <w:r>
        <w:rPr>
          <w:rFonts w:hint="eastAsia" w:ascii="宋体" w:hAnsi="宋体" w:cs="宋体"/>
          <w:sz w:val="24"/>
          <w:szCs w:val="24"/>
          <w:lang w:val="en-US" w:eastAsia="zh-CN"/>
        </w:rPr>
        <w:t>维护</w:t>
      </w:r>
      <w:r>
        <w:rPr>
          <w:rFonts w:hint="eastAsia" w:ascii="宋体" w:hAnsi="宋体" w:eastAsia="宋体" w:cs="宋体"/>
          <w:sz w:val="24"/>
          <w:szCs w:val="24"/>
        </w:rPr>
        <w:t>。</w:t>
      </w:r>
    </w:p>
    <w:p w14:paraId="7C66966C">
      <w:pPr>
        <w:rPr>
          <w:rFonts w:hint="eastAsia" w:ascii="宋体" w:hAnsi="宋体" w:eastAsia="宋体" w:cs="宋体"/>
          <w:b/>
          <w:bCs/>
          <w:snapToGrid w:val="0"/>
          <w:kern w:val="0"/>
          <w:sz w:val="28"/>
          <w:szCs w:val="28"/>
          <w:lang w:val="en-US" w:eastAsia="zh-CN" w:bidi="ar-SA"/>
        </w:rPr>
      </w:pPr>
      <w:r>
        <w:rPr>
          <w:rFonts w:hint="eastAsia" w:ascii="宋体" w:hAnsi="宋体" w:eastAsia="宋体" w:cs="宋体"/>
          <w:b/>
          <w:bCs/>
          <w:snapToGrid w:val="0"/>
          <w:kern w:val="0"/>
          <w:sz w:val="28"/>
          <w:szCs w:val="28"/>
          <w:lang w:val="en-US" w:eastAsia="zh-CN" w:bidi="ar-SA"/>
        </w:rPr>
        <w:t>2.1.2应急照明及疏散指示灯</w:t>
      </w:r>
    </w:p>
    <w:p w14:paraId="5CE9EB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对应急照明及疏散指示灯检查维护，确保正常可用。</w:t>
      </w:r>
    </w:p>
    <w:p w14:paraId="39390F3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rPr>
        <w:t>每3个月进行一次备用电池亮灯（半个小时），使电池放电后再充电，延长电池寿命；</w:t>
      </w:r>
    </w:p>
    <w:p w14:paraId="237D1D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eastAsia="zh-CN"/>
        </w:rPr>
        <w:t>）</w:t>
      </w:r>
      <w:r>
        <w:rPr>
          <w:rFonts w:hint="eastAsia" w:ascii="宋体" w:hAnsi="宋体" w:eastAsia="宋体" w:cs="宋体"/>
          <w:sz w:val="24"/>
          <w:szCs w:val="24"/>
        </w:rPr>
        <w:t>检查出口指示灯玻璃面板有无划伤或破裂现象；</w:t>
      </w:r>
    </w:p>
    <w:p w14:paraId="1CD3A6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eastAsia="zh-CN"/>
        </w:rPr>
        <w:t>）</w:t>
      </w:r>
      <w:r>
        <w:rPr>
          <w:rFonts w:hint="eastAsia" w:ascii="宋体" w:hAnsi="宋体" w:eastAsia="宋体" w:cs="宋体"/>
          <w:sz w:val="24"/>
          <w:szCs w:val="24"/>
        </w:rPr>
        <w:t>出口指示灯电源指示灯是否亮，如不亮，应立即修理；</w:t>
      </w:r>
    </w:p>
    <w:p w14:paraId="7C57806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eastAsia="zh-CN"/>
        </w:rPr>
        <w:t>）</w:t>
      </w:r>
      <w:r>
        <w:rPr>
          <w:rFonts w:hint="eastAsia" w:ascii="宋体" w:hAnsi="宋体" w:eastAsia="宋体" w:cs="宋体"/>
          <w:sz w:val="24"/>
          <w:szCs w:val="24"/>
        </w:rPr>
        <w:t>检查出口指示灯安装是否牢固；</w:t>
      </w:r>
    </w:p>
    <w:p w14:paraId="1E6B6B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eastAsia="zh-CN"/>
        </w:rPr>
        <w:t>）</w:t>
      </w:r>
      <w:r>
        <w:rPr>
          <w:rFonts w:hint="eastAsia" w:ascii="宋体" w:hAnsi="宋体" w:eastAsia="宋体" w:cs="宋体"/>
          <w:sz w:val="24"/>
          <w:szCs w:val="24"/>
        </w:rPr>
        <w:t>针对检查中发现的缺陷取下来进行修复，再装回原位；</w:t>
      </w:r>
    </w:p>
    <w:p w14:paraId="0E49CA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z w:val="24"/>
          <w:szCs w:val="24"/>
          <w:lang w:eastAsia="zh-CN"/>
        </w:rPr>
        <w:t>）</w:t>
      </w:r>
      <w:r>
        <w:rPr>
          <w:rFonts w:hint="eastAsia" w:ascii="宋体" w:hAnsi="宋体" w:eastAsia="宋体" w:cs="宋体"/>
          <w:sz w:val="24"/>
          <w:szCs w:val="24"/>
        </w:rPr>
        <w:t>灯箱外壳及面板擦抹干净。</w:t>
      </w:r>
    </w:p>
    <w:p w14:paraId="55E397E2">
      <w:pPr>
        <w:rPr>
          <w:rFonts w:hint="eastAsia" w:ascii="宋体" w:hAnsi="宋体" w:eastAsia="宋体" w:cs="宋体"/>
          <w:b/>
          <w:bCs/>
          <w:snapToGrid w:val="0"/>
          <w:kern w:val="0"/>
          <w:sz w:val="28"/>
          <w:szCs w:val="28"/>
          <w:lang w:val="en-US" w:eastAsia="zh-CN" w:bidi="ar-SA"/>
        </w:rPr>
      </w:pPr>
      <w:r>
        <w:rPr>
          <w:rFonts w:hint="eastAsia" w:ascii="宋体" w:hAnsi="宋体" w:eastAsia="宋体" w:cs="宋体"/>
          <w:b/>
          <w:bCs/>
          <w:snapToGrid w:val="0"/>
          <w:kern w:val="0"/>
          <w:sz w:val="28"/>
          <w:szCs w:val="28"/>
          <w:lang w:val="en-US" w:eastAsia="zh-CN" w:bidi="ar-SA"/>
        </w:rPr>
        <w:t>2.1.3灭火器</w:t>
      </w:r>
    </w:p>
    <w:p w14:paraId="22FBF48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对灭火器检查维护，确保正常可用。</w:t>
      </w:r>
    </w:p>
    <w:p w14:paraId="780C5F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eastAsia="zh-CN"/>
        </w:rPr>
        <w:t>)</w:t>
      </w:r>
      <w:r>
        <w:rPr>
          <w:rFonts w:hint="eastAsia" w:ascii="宋体" w:hAnsi="宋体" w:eastAsia="宋体" w:cs="宋体"/>
          <w:sz w:val="24"/>
          <w:szCs w:val="24"/>
        </w:rPr>
        <w:t>灭火器应设置在通风、干燥、清洁的地点，不得受到烈日的曝晒，不得接近热源或受剧烈振动。</w:t>
      </w:r>
    </w:p>
    <w:p w14:paraId="0DFF010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eastAsia="zh-CN"/>
        </w:rPr>
        <w:t>)</w:t>
      </w:r>
      <w:r>
        <w:rPr>
          <w:rFonts w:hint="eastAsia" w:ascii="宋体" w:hAnsi="宋体" w:eastAsia="宋体" w:cs="宋体"/>
          <w:sz w:val="24"/>
          <w:szCs w:val="24"/>
        </w:rPr>
        <w:t>灭火器悬挂地点的环境温度为-10℃~55℃。</w:t>
      </w:r>
    </w:p>
    <w:p w14:paraId="6D4963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eastAsia="zh-CN"/>
        </w:rPr>
        <w:t>)</w:t>
      </w:r>
      <w:r>
        <w:rPr>
          <w:rFonts w:hint="eastAsia" w:ascii="宋体" w:hAnsi="宋体" w:eastAsia="宋体" w:cs="宋体"/>
          <w:sz w:val="24"/>
          <w:szCs w:val="24"/>
        </w:rPr>
        <w:t>灭火器设置地点应位置明显，便于取用，并且不影响安全疏散，推车式灭火器与其保护对象之间的通道应畅通无阻。</w:t>
      </w:r>
    </w:p>
    <w:p w14:paraId="5215CF4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eastAsia="zh-CN"/>
        </w:rPr>
        <w:t>)</w:t>
      </w:r>
      <w:r>
        <w:rPr>
          <w:rFonts w:hint="eastAsia" w:ascii="宋体" w:hAnsi="宋体" w:eastAsia="宋体" w:cs="宋体"/>
          <w:sz w:val="24"/>
          <w:szCs w:val="24"/>
        </w:rPr>
        <w:t>对灭火器要经常进行检查</w:t>
      </w:r>
      <w:r>
        <w:rPr>
          <w:rFonts w:hint="eastAsia" w:ascii="宋体" w:hAnsi="宋体" w:cs="宋体"/>
          <w:sz w:val="24"/>
          <w:szCs w:val="24"/>
          <w:lang w:val="en-US" w:eastAsia="zh-CN"/>
        </w:rPr>
        <w:t>维护</w:t>
      </w:r>
      <w:r>
        <w:rPr>
          <w:rFonts w:hint="eastAsia" w:ascii="宋体" w:hAnsi="宋体" w:eastAsia="宋体" w:cs="宋体"/>
          <w:sz w:val="24"/>
          <w:szCs w:val="24"/>
        </w:rPr>
        <w:t>，检查内容为：</w:t>
      </w:r>
    </w:p>
    <w:p w14:paraId="38254F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①喷筒是否畅通（如堵塞要及时疏通）；</w:t>
      </w:r>
    </w:p>
    <w:p w14:paraId="60F392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②压力表指针是否在绿色区域（如在红色区域要检查原因，检查后要重新灌装）；</w:t>
      </w:r>
    </w:p>
    <w:p w14:paraId="4C37D06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③零部件是否完整（有无松动、变形、锈蚀、损坏）；</w:t>
      </w:r>
    </w:p>
    <w:p w14:paraId="3BF1C6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④可见部位防腐层是否完好（轻度脱落要及时补好，明显腐蚀应送专业部门维修及进行耐压试验）；</w:t>
      </w:r>
    </w:p>
    <w:p w14:paraId="62C3E4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⑤铅封是否完好（一经开放，必须按规定再行充装，并作密封试验，重新铅封）。</w:t>
      </w:r>
    </w:p>
    <w:p w14:paraId="706FFA2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eastAsia="zh-CN"/>
        </w:rPr>
        <w:t>)</w:t>
      </w:r>
      <w:r>
        <w:rPr>
          <w:rFonts w:hint="eastAsia" w:ascii="宋体" w:hAnsi="宋体" w:eastAsia="宋体" w:cs="宋体"/>
          <w:sz w:val="24"/>
          <w:szCs w:val="24"/>
        </w:rPr>
        <w:t>按时进行定期检查、保养：每一季度检查一次喷嘴和喷射管有否堵塞、腐蚀损坏，刚性连接式喷筒是否能将其轴线回转，并可在任意位置停留，推车式灭火器的行车机构是否灵活，有否检验标志。检查完后在灭火器检查卡上签字。</w:t>
      </w:r>
    </w:p>
    <w:p w14:paraId="42B721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z w:val="24"/>
          <w:szCs w:val="24"/>
          <w:lang w:eastAsia="zh-CN"/>
        </w:rPr>
        <w:t>)</w:t>
      </w:r>
      <w:r>
        <w:rPr>
          <w:rFonts w:hint="eastAsia" w:ascii="宋体" w:hAnsi="宋体" w:eastAsia="宋体" w:cs="宋体"/>
          <w:sz w:val="24"/>
          <w:szCs w:val="24"/>
        </w:rPr>
        <w:t>灭火器由消防部门认可的专业公司进行灌装。</w:t>
      </w:r>
    </w:p>
    <w:p w14:paraId="51615D3F">
      <w:pPr>
        <w:rPr>
          <w:rFonts w:hint="eastAsia" w:ascii="宋体" w:hAnsi="宋体" w:eastAsia="宋体" w:cs="宋体"/>
          <w:b/>
          <w:bCs/>
          <w:snapToGrid w:val="0"/>
          <w:kern w:val="0"/>
          <w:sz w:val="28"/>
          <w:szCs w:val="28"/>
          <w:lang w:val="en-US" w:eastAsia="zh-CN" w:bidi="ar-SA"/>
        </w:rPr>
      </w:pPr>
      <w:r>
        <w:rPr>
          <w:rFonts w:hint="eastAsia" w:ascii="宋体" w:hAnsi="宋体" w:eastAsia="宋体" w:cs="宋体"/>
          <w:b/>
          <w:bCs/>
          <w:snapToGrid w:val="0"/>
          <w:kern w:val="0"/>
          <w:sz w:val="28"/>
          <w:szCs w:val="28"/>
          <w:lang w:val="en-US" w:eastAsia="zh-CN" w:bidi="ar-SA"/>
        </w:rPr>
        <w:t>2.1.4联动控制柜</w:t>
      </w:r>
    </w:p>
    <w:p w14:paraId="1E4A3F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对联动控制柜检查维护，确保正常可用。</w:t>
      </w:r>
    </w:p>
    <w:p w14:paraId="0F3AD5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1)控制柜上电源指示灯及各类开关检查</w:t>
      </w:r>
      <w:r>
        <w:rPr>
          <w:rFonts w:hint="eastAsia" w:ascii="宋体" w:hAnsi="宋体" w:cs="宋体"/>
          <w:sz w:val="24"/>
          <w:szCs w:val="24"/>
          <w:lang w:val="en-US" w:eastAsia="zh-CN"/>
        </w:rPr>
        <w:t>维护</w:t>
      </w:r>
      <w:r>
        <w:rPr>
          <w:rFonts w:hint="eastAsia" w:ascii="宋体" w:hAnsi="宋体" w:eastAsia="宋体" w:cs="宋体"/>
          <w:sz w:val="24"/>
          <w:szCs w:val="24"/>
          <w:lang w:val="en-US" w:eastAsia="zh-CN"/>
        </w:rPr>
        <w:t>，要求电源指示正常，开关处于开启或自动状态。</w:t>
      </w:r>
    </w:p>
    <w:p w14:paraId="3CD092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2)控制柜内部各电器触点检查</w:t>
      </w:r>
      <w:r>
        <w:rPr>
          <w:rFonts w:hint="eastAsia" w:ascii="宋体" w:hAnsi="宋体" w:cs="宋体"/>
          <w:sz w:val="24"/>
          <w:szCs w:val="24"/>
          <w:lang w:val="en-US" w:eastAsia="zh-CN"/>
        </w:rPr>
        <w:t>维护</w:t>
      </w:r>
      <w:r>
        <w:rPr>
          <w:rFonts w:hint="eastAsia" w:ascii="宋体" w:hAnsi="宋体" w:eastAsia="宋体" w:cs="宋体"/>
          <w:sz w:val="24"/>
          <w:szCs w:val="24"/>
          <w:lang w:val="en-US" w:eastAsia="zh-CN"/>
        </w:rPr>
        <w:t>，如有烧损，拆下后用砂纸打磨，要求触点完好、无松动。</w:t>
      </w:r>
    </w:p>
    <w:p w14:paraId="1C255E3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3)检查各电器元件接线端子及端子排端子，用螺丝刀逐个紧固，各端子连接牢固、无烧损。</w:t>
      </w:r>
    </w:p>
    <w:p w14:paraId="595A2CC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4)检查电源线、信号线，如有破损，用绝缘胶布包扎，如有老化更换。</w:t>
      </w:r>
    </w:p>
    <w:p w14:paraId="3AB88D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5)用毛刷、皮老虎对控制柜内部进行除尘。</w:t>
      </w:r>
    </w:p>
    <w:p w14:paraId="47367DEB">
      <w:pPr>
        <w:rPr>
          <w:rFonts w:hint="eastAsia" w:ascii="宋体" w:hAnsi="宋体" w:eastAsia="宋体" w:cs="宋体"/>
          <w:b/>
          <w:bCs/>
          <w:snapToGrid w:val="0"/>
          <w:kern w:val="0"/>
          <w:sz w:val="28"/>
          <w:szCs w:val="28"/>
          <w:lang w:val="en-US" w:eastAsia="zh-CN" w:bidi="ar-SA"/>
        </w:rPr>
      </w:pPr>
      <w:r>
        <w:rPr>
          <w:rFonts w:hint="eastAsia" w:ascii="宋体" w:hAnsi="宋体" w:eastAsia="宋体" w:cs="宋体"/>
          <w:b/>
          <w:bCs/>
          <w:snapToGrid w:val="0"/>
          <w:kern w:val="0"/>
          <w:sz w:val="28"/>
          <w:szCs w:val="28"/>
          <w:lang w:val="en-US" w:eastAsia="zh-CN" w:bidi="ar-SA"/>
        </w:rPr>
        <w:t>2.1.5气体灭火系统</w:t>
      </w:r>
    </w:p>
    <w:p w14:paraId="277A84C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对气体灭火系统检查维护，确保正常可用。</w:t>
      </w:r>
    </w:p>
    <w:p w14:paraId="0501A95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1)检查气瓶的称重装置或压力表指示，</w:t>
      </w:r>
      <w:r>
        <w:rPr>
          <w:rFonts w:hint="eastAsia" w:ascii="宋体" w:hAnsi="宋体" w:cs="宋体"/>
          <w:sz w:val="24"/>
          <w:szCs w:val="24"/>
          <w:lang w:val="en-US" w:eastAsia="zh-CN"/>
        </w:rPr>
        <w:t>确保</w:t>
      </w:r>
      <w:r>
        <w:rPr>
          <w:rFonts w:hint="eastAsia" w:ascii="宋体" w:hAnsi="宋体" w:eastAsia="宋体" w:cs="宋体"/>
          <w:sz w:val="24"/>
          <w:szCs w:val="24"/>
          <w:lang w:val="en-US" w:eastAsia="zh-CN"/>
        </w:rPr>
        <w:t>重量或压力正常。</w:t>
      </w:r>
    </w:p>
    <w:p w14:paraId="462C64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2)检查</w:t>
      </w:r>
      <w:r>
        <w:rPr>
          <w:rFonts w:hint="eastAsia" w:ascii="宋体" w:hAnsi="宋体" w:cs="宋体"/>
          <w:sz w:val="24"/>
          <w:szCs w:val="24"/>
          <w:lang w:val="en-US" w:eastAsia="zh-CN"/>
        </w:rPr>
        <w:t>维护</w:t>
      </w:r>
      <w:r>
        <w:rPr>
          <w:rFonts w:hint="eastAsia" w:ascii="宋体" w:hAnsi="宋体" w:eastAsia="宋体" w:cs="宋体"/>
          <w:sz w:val="24"/>
          <w:szCs w:val="24"/>
          <w:lang w:val="en-US" w:eastAsia="zh-CN"/>
        </w:rPr>
        <w:t>执行元件电磁阀、瓶头阀、分配阀，阀门无泄露，动作灵敏。</w:t>
      </w:r>
    </w:p>
    <w:p w14:paraId="3F2EF3A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3)检查</w:t>
      </w:r>
      <w:r>
        <w:rPr>
          <w:rFonts w:hint="eastAsia" w:ascii="宋体" w:hAnsi="宋体" w:cs="宋体"/>
          <w:sz w:val="24"/>
          <w:szCs w:val="24"/>
          <w:lang w:val="en-US" w:eastAsia="zh-CN"/>
        </w:rPr>
        <w:t>维护</w:t>
      </w:r>
      <w:r>
        <w:rPr>
          <w:rFonts w:hint="eastAsia" w:ascii="宋体" w:hAnsi="宋体" w:eastAsia="宋体" w:cs="宋体"/>
          <w:sz w:val="24"/>
          <w:szCs w:val="24"/>
          <w:lang w:val="en-US" w:eastAsia="zh-CN"/>
        </w:rPr>
        <w:t>气体控制箱模拟试验，报警、联动控制正常。</w:t>
      </w:r>
    </w:p>
    <w:p w14:paraId="2263CA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4)瓶体及管路表面除尘。</w:t>
      </w:r>
    </w:p>
    <w:p w14:paraId="3E63356E">
      <w:pPr>
        <w:pStyle w:val="4"/>
        <w:keepNext/>
        <w:keepLines/>
        <w:pageBreakBefore w:val="0"/>
        <w:widowControl w:val="0"/>
        <w:numPr>
          <w:ilvl w:val="2"/>
          <w:numId w:val="0"/>
        </w:numPr>
        <w:kinsoku/>
        <w:wordWrap/>
        <w:overflowPunct/>
        <w:topLinePunct w:val="0"/>
        <w:autoSpaceDE/>
        <w:autoSpaceDN/>
        <w:bidi w:val="0"/>
        <w:adjustRightInd/>
        <w:snapToGrid/>
        <w:spacing w:line="400" w:lineRule="exact"/>
        <w:ind w:leftChars="0"/>
        <w:textAlignment w:val="auto"/>
        <w:rPr>
          <w:rFonts w:hint="eastAsia" w:ascii="宋体" w:hAnsi="宋体" w:eastAsia="宋体" w:cs="宋体"/>
          <w:b/>
          <w:bCs/>
          <w:sz w:val="28"/>
          <w:szCs w:val="22"/>
          <w:lang w:val="en-US" w:eastAsia="zh-CN"/>
        </w:rPr>
      </w:pPr>
      <w:r>
        <w:rPr>
          <w:rFonts w:hint="eastAsia" w:ascii="宋体" w:hAnsi="宋体" w:eastAsia="宋体" w:cs="宋体"/>
          <w:b/>
          <w:bCs/>
          <w:sz w:val="28"/>
          <w:szCs w:val="22"/>
          <w:lang w:val="en-US" w:eastAsia="zh-CN"/>
        </w:rPr>
        <w:t>2.2精密空调维保</w:t>
      </w:r>
    </w:p>
    <w:p w14:paraId="002FCF39">
      <w:pPr>
        <w:rPr>
          <w:rFonts w:hint="eastAsia" w:ascii="宋体" w:hAnsi="宋体" w:eastAsia="宋体" w:cs="宋体"/>
          <w:b/>
          <w:bCs/>
          <w:snapToGrid w:val="0"/>
          <w:kern w:val="0"/>
          <w:sz w:val="28"/>
          <w:szCs w:val="28"/>
          <w:lang w:val="en-US" w:eastAsia="zh-CN" w:bidi="ar-SA"/>
        </w:rPr>
      </w:pPr>
      <w:r>
        <w:rPr>
          <w:rFonts w:hint="eastAsia" w:ascii="宋体" w:hAnsi="宋体" w:eastAsia="宋体" w:cs="宋体"/>
          <w:b/>
          <w:bCs/>
          <w:snapToGrid w:val="0"/>
          <w:kern w:val="0"/>
          <w:sz w:val="28"/>
          <w:szCs w:val="28"/>
          <w:lang w:val="en-US" w:eastAsia="zh-CN" w:bidi="ar-SA"/>
        </w:rPr>
        <w:t>2.2.1空调主机部分</w:t>
      </w:r>
    </w:p>
    <w:p w14:paraId="7EEC93A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对空调主机检查维护，确保空调主机正常可用。</w:t>
      </w:r>
    </w:p>
    <w:p w14:paraId="371021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1)检查空调主机系统高低压是否正常；</w:t>
      </w:r>
    </w:p>
    <w:p w14:paraId="2D4118A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2)检查空调主机制冷系统制冷剂有无泄漏；</w:t>
      </w:r>
    </w:p>
    <w:p w14:paraId="1826CB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3)检查压缩机运转电流是否正常；</w:t>
      </w:r>
    </w:p>
    <w:p w14:paraId="239F28C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4)检查压缩机运转声音是否正常；</w:t>
      </w:r>
    </w:p>
    <w:p w14:paraId="5B062E0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5)检查压缩机的工作电压是否正常；</w:t>
      </w:r>
    </w:p>
    <w:p w14:paraId="5D21AF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6)检查压缩机油位，颜色是否正常；</w:t>
      </w:r>
    </w:p>
    <w:p w14:paraId="1B1840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7)检查压缩机油压、油温是否正常；</w:t>
      </w:r>
    </w:p>
    <w:p w14:paraId="5513C87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8)检查相序保护器是否正常有无缺相；</w:t>
      </w:r>
    </w:p>
    <w:p w14:paraId="6C8F306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9)检查空调主机各接线端子有无松动；</w:t>
      </w:r>
    </w:p>
    <w:p w14:paraId="19DAF9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10)检查水流量保护开关工作是否正常；</w:t>
      </w:r>
    </w:p>
    <w:p w14:paraId="62A5A4E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11)检查电脑板、感温探头阻值是否正常；</w:t>
      </w:r>
    </w:p>
    <w:p w14:paraId="269A44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12)检查空气开关是否正常；交流接触器、热保护器是否良好。</w:t>
      </w:r>
    </w:p>
    <w:p w14:paraId="4DD83841">
      <w:pPr>
        <w:rPr>
          <w:rFonts w:hint="eastAsia" w:ascii="宋体" w:hAnsi="宋体" w:eastAsia="宋体" w:cs="宋体"/>
          <w:b/>
          <w:bCs/>
          <w:snapToGrid w:val="0"/>
          <w:kern w:val="0"/>
          <w:sz w:val="28"/>
          <w:szCs w:val="28"/>
          <w:lang w:val="en-US" w:eastAsia="zh-CN" w:bidi="ar-SA"/>
        </w:rPr>
      </w:pPr>
      <w:r>
        <w:rPr>
          <w:rFonts w:hint="eastAsia" w:ascii="宋体" w:hAnsi="宋体" w:eastAsia="宋体" w:cs="宋体"/>
          <w:b/>
          <w:bCs/>
          <w:snapToGrid w:val="0"/>
          <w:kern w:val="0"/>
          <w:sz w:val="28"/>
          <w:szCs w:val="28"/>
          <w:lang w:val="en-US" w:eastAsia="zh-CN" w:bidi="ar-SA"/>
        </w:rPr>
        <w:t>2.2.2风系统的检查</w:t>
      </w:r>
    </w:p>
    <w:p w14:paraId="199793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对风系统检查维护，确保风系统正常可用。</w:t>
      </w:r>
    </w:p>
    <w:p w14:paraId="27AE9E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1)检查风机盘管出风的风量是否正常；</w:t>
      </w:r>
    </w:p>
    <w:p w14:paraId="342207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2)检查风机盘管回风滤网是否聚积灰尘；</w:t>
      </w:r>
    </w:p>
    <w:p w14:paraId="692DD61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3)检查出风温度是否正常。</w:t>
      </w:r>
    </w:p>
    <w:p w14:paraId="4A374E8D">
      <w:pPr>
        <w:rPr>
          <w:rFonts w:hint="eastAsia" w:ascii="宋体" w:hAnsi="宋体" w:eastAsia="宋体" w:cs="宋体"/>
          <w:b/>
          <w:bCs/>
          <w:snapToGrid w:val="0"/>
          <w:kern w:val="0"/>
          <w:sz w:val="28"/>
          <w:szCs w:val="28"/>
          <w:lang w:val="en-US" w:eastAsia="zh-CN" w:bidi="ar-SA"/>
        </w:rPr>
      </w:pPr>
      <w:r>
        <w:rPr>
          <w:rFonts w:hint="eastAsia" w:ascii="宋体" w:hAnsi="宋体" w:eastAsia="宋体" w:cs="宋体"/>
          <w:b/>
          <w:bCs/>
          <w:snapToGrid w:val="0"/>
          <w:kern w:val="0"/>
          <w:sz w:val="28"/>
          <w:szCs w:val="28"/>
          <w:lang w:val="en-US" w:eastAsia="zh-CN" w:bidi="ar-SA"/>
        </w:rPr>
        <w:t>2.2.3末端的检修</w:t>
      </w:r>
    </w:p>
    <w:p w14:paraId="74BA78A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对空调末端检查维护，确保</w:t>
      </w:r>
      <w:r>
        <w:rPr>
          <w:rFonts w:hint="eastAsia" w:ascii="宋体" w:hAnsi="宋体" w:eastAsia="宋体" w:cs="宋体"/>
          <w:sz w:val="24"/>
          <w:szCs w:val="24"/>
          <w:lang w:val="en-US" w:eastAsia="zh-CN"/>
        </w:rPr>
        <w:t>空气处理机</w:t>
      </w:r>
      <w:r>
        <w:rPr>
          <w:rFonts w:hint="eastAsia" w:ascii="宋体" w:hAnsi="宋体" w:cs="宋体"/>
          <w:sz w:val="24"/>
          <w:szCs w:val="24"/>
          <w:lang w:val="en-US" w:eastAsia="zh-CN"/>
        </w:rPr>
        <w:t>、风机盘管等部件正常可用。</w:t>
      </w:r>
    </w:p>
    <w:p w14:paraId="79EBC4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1)空气处理机、风机盘管的检查；</w:t>
      </w:r>
    </w:p>
    <w:p w14:paraId="2A097FF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2)空气处理机、风机盘管的保养、加油；</w:t>
      </w:r>
    </w:p>
    <w:p w14:paraId="3E270BA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3)检查调整皮带，清洗表冷器过滤器；</w:t>
      </w:r>
    </w:p>
    <w:p w14:paraId="5CA0835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4)清理管路、除污；</w:t>
      </w:r>
    </w:p>
    <w:p w14:paraId="236580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0"/>
          <w:szCs w:val="22"/>
          <w:lang w:val="en-US" w:eastAsia="zh-CN"/>
        </w:rPr>
      </w:pPr>
      <w:r>
        <w:rPr>
          <w:rFonts w:hint="eastAsia" w:ascii="宋体" w:hAnsi="宋体" w:eastAsia="宋体" w:cs="宋体"/>
          <w:sz w:val="24"/>
          <w:szCs w:val="24"/>
          <w:lang w:val="en-US" w:eastAsia="zh-CN"/>
        </w:rPr>
        <w:t>5)空气处理机的清扫、除尘；</w:t>
      </w:r>
    </w:p>
    <w:p w14:paraId="0D41E78B">
      <w:pPr>
        <w:pStyle w:val="3"/>
        <w:keepNext/>
        <w:keepLines/>
        <w:pageBreakBefore w:val="0"/>
        <w:widowControl w:val="0"/>
        <w:numPr>
          <w:ilvl w:val="0"/>
          <w:numId w:val="0"/>
        </w:numPr>
        <w:tabs>
          <w:tab w:val="left" w:pos="432"/>
          <w:tab w:val="clear" w:pos="576"/>
        </w:tabs>
        <w:kinsoku/>
        <w:wordWrap/>
        <w:overflowPunct/>
        <w:topLinePunct/>
        <w:autoSpaceDE/>
        <w:autoSpaceDN/>
        <w:bidi w:val="0"/>
        <w:adjustRightInd w:val="0"/>
        <w:snapToGrid w:val="0"/>
        <w:spacing w:line="400" w:lineRule="exact"/>
        <w:jc w:val="left"/>
        <w:textAlignment w:val="center"/>
        <w:outlineLvl w:val="1"/>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3.技术服务及项目验收要求</w:t>
      </w:r>
    </w:p>
    <w:p w14:paraId="1A8662B8">
      <w:pPr>
        <w:pStyle w:val="4"/>
        <w:keepNext/>
        <w:keepLines/>
        <w:pageBreakBefore w:val="0"/>
        <w:widowControl w:val="0"/>
        <w:numPr>
          <w:ilvl w:val="2"/>
          <w:numId w:val="0"/>
        </w:numPr>
        <w:kinsoku/>
        <w:wordWrap/>
        <w:overflowPunct/>
        <w:topLinePunct w:val="0"/>
        <w:autoSpaceDE/>
        <w:autoSpaceDN/>
        <w:bidi w:val="0"/>
        <w:adjustRightInd/>
        <w:snapToGrid/>
        <w:spacing w:line="400" w:lineRule="exact"/>
        <w:ind w:leftChars="0"/>
        <w:textAlignment w:val="auto"/>
        <w:rPr>
          <w:rFonts w:hint="eastAsia" w:ascii="宋体" w:hAnsi="宋体" w:eastAsia="宋体" w:cs="宋体"/>
          <w:b/>
          <w:bCs/>
          <w:sz w:val="28"/>
          <w:szCs w:val="22"/>
          <w:lang w:val="en-US" w:eastAsia="zh-CN"/>
        </w:rPr>
      </w:pPr>
      <w:r>
        <w:rPr>
          <w:rFonts w:hint="eastAsia" w:ascii="宋体" w:hAnsi="宋体" w:eastAsia="宋体" w:cs="宋体"/>
          <w:b/>
          <w:bCs/>
          <w:sz w:val="28"/>
          <w:szCs w:val="22"/>
          <w:lang w:val="en-US" w:eastAsia="zh-CN"/>
        </w:rPr>
        <w:t>3.1 项目实施地点</w:t>
      </w:r>
    </w:p>
    <w:p w14:paraId="5D50CD1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广东省深圳市</w:t>
      </w:r>
    </w:p>
    <w:p w14:paraId="643B6F1A">
      <w:pPr>
        <w:pStyle w:val="4"/>
        <w:keepNext/>
        <w:keepLines/>
        <w:pageBreakBefore w:val="0"/>
        <w:widowControl w:val="0"/>
        <w:numPr>
          <w:ilvl w:val="2"/>
          <w:numId w:val="0"/>
        </w:numPr>
        <w:kinsoku/>
        <w:wordWrap/>
        <w:overflowPunct/>
        <w:topLinePunct w:val="0"/>
        <w:autoSpaceDE/>
        <w:autoSpaceDN/>
        <w:bidi w:val="0"/>
        <w:adjustRightInd/>
        <w:snapToGrid/>
        <w:spacing w:line="400" w:lineRule="exact"/>
        <w:ind w:leftChars="0"/>
        <w:textAlignment w:val="auto"/>
        <w:rPr>
          <w:rFonts w:hint="eastAsia" w:ascii="宋体" w:hAnsi="宋体" w:eastAsia="宋体" w:cs="宋体"/>
          <w:b/>
          <w:bCs/>
          <w:sz w:val="28"/>
          <w:szCs w:val="22"/>
          <w:lang w:val="en-US" w:eastAsia="zh-CN"/>
        </w:rPr>
      </w:pPr>
      <w:r>
        <w:rPr>
          <w:rFonts w:hint="eastAsia" w:ascii="宋体" w:hAnsi="宋体" w:eastAsia="宋体" w:cs="宋体"/>
          <w:b/>
          <w:bCs/>
          <w:sz w:val="28"/>
          <w:szCs w:val="22"/>
          <w:lang w:val="en-US" w:eastAsia="zh-CN"/>
        </w:rPr>
        <w:t>3.2 项目工期要求</w:t>
      </w:r>
    </w:p>
    <w:p w14:paraId="1E08F0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合同签订之日起至202</w:t>
      </w:r>
      <w:r>
        <w:rPr>
          <w:rFonts w:hint="eastAsia" w:ascii="宋体" w:hAnsi="宋体" w:cs="宋体"/>
          <w:sz w:val="24"/>
          <w:szCs w:val="24"/>
          <w:lang w:val="en-US" w:eastAsia="zh-CN"/>
        </w:rPr>
        <w:t>6</w:t>
      </w:r>
      <w:r>
        <w:rPr>
          <w:rFonts w:hint="eastAsia" w:ascii="宋体" w:hAnsi="宋体" w:eastAsia="宋体" w:cs="宋体"/>
          <w:sz w:val="24"/>
          <w:szCs w:val="24"/>
          <w:lang w:val="en-US" w:eastAsia="zh-CN"/>
        </w:rPr>
        <w:t>年12月31日。</w:t>
      </w:r>
    </w:p>
    <w:p w14:paraId="2A5295CA">
      <w:pPr>
        <w:pStyle w:val="4"/>
        <w:keepNext/>
        <w:keepLines/>
        <w:pageBreakBefore w:val="0"/>
        <w:widowControl w:val="0"/>
        <w:numPr>
          <w:ilvl w:val="2"/>
          <w:numId w:val="0"/>
        </w:numPr>
        <w:kinsoku/>
        <w:wordWrap/>
        <w:overflowPunct/>
        <w:topLinePunct w:val="0"/>
        <w:autoSpaceDE/>
        <w:autoSpaceDN/>
        <w:bidi w:val="0"/>
        <w:adjustRightInd/>
        <w:snapToGrid/>
        <w:spacing w:line="400" w:lineRule="exact"/>
        <w:ind w:leftChars="0"/>
        <w:textAlignment w:val="auto"/>
        <w:rPr>
          <w:rFonts w:hint="eastAsia" w:ascii="宋体" w:hAnsi="宋体" w:eastAsia="宋体" w:cs="宋体"/>
          <w:b/>
          <w:bCs/>
          <w:sz w:val="28"/>
          <w:szCs w:val="22"/>
          <w:lang w:val="en-US" w:eastAsia="zh-CN"/>
        </w:rPr>
      </w:pPr>
      <w:r>
        <w:rPr>
          <w:rFonts w:hint="eastAsia" w:ascii="宋体" w:hAnsi="宋体" w:eastAsia="宋体" w:cs="宋体"/>
          <w:b/>
          <w:bCs/>
          <w:sz w:val="28"/>
          <w:szCs w:val="22"/>
          <w:lang w:val="en-US" w:eastAsia="zh-CN"/>
        </w:rPr>
        <w:t>3.3 日常运维</w:t>
      </w:r>
      <w:r>
        <w:rPr>
          <w:rFonts w:hint="eastAsia" w:ascii="宋体" w:hAnsi="宋体" w:cs="宋体"/>
          <w:b/>
          <w:bCs/>
          <w:sz w:val="28"/>
          <w:szCs w:val="22"/>
          <w:lang w:val="en-US" w:eastAsia="zh-CN"/>
        </w:rPr>
        <w:t>及进度</w:t>
      </w:r>
      <w:bookmarkStart w:id="18" w:name="_GoBack"/>
      <w:bookmarkEnd w:id="18"/>
      <w:r>
        <w:rPr>
          <w:rFonts w:hint="eastAsia" w:ascii="宋体" w:hAnsi="宋体" w:eastAsia="宋体" w:cs="宋体"/>
          <w:b/>
          <w:bCs/>
          <w:sz w:val="28"/>
          <w:szCs w:val="22"/>
          <w:lang w:val="en-US" w:eastAsia="zh-CN"/>
        </w:rPr>
        <w:t>要求</w:t>
      </w:r>
    </w:p>
    <w:p w14:paraId="119E203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1）为确保甲方机器正常工作以提高工作效率及延长机器的使用寿命，乙方应每季度定期上门对机器进行全方位的保养巡检一次。</w:t>
      </w:r>
    </w:p>
    <w:p w14:paraId="69E8C4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2）合同期内，若甲方机器在日常工作当中遇有故障，乙方接到通知后需免费上门检修，4小时之内到达现场检查故障。如遇特殊情况，经双方协商同意，乙方可在甲方同意的时间内到达现场修。</w:t>
      </w:r>
    </w:p>
    <w:p w14:paraId="67EEFF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3</w:t>
      </w:r>
      <w:r>
        <w:rPr>
          <w:rFonts w:hint="eastAsia" w:ascii="宋体" w:hAnsi="宋体" w:eastAsia="宋体" w:cs="宋体"/>
          <w:sz w:val="24"/>
          <w:szCs w:val="24"/>
          <w:lang w:val="en-US" w:eastAsia="zh-CN"/>
        </w:rPr>
        <w:t>）如遇不能现场维修的故障，乙方在不影响甲方正常工作的前提下取机返公司维修。</w:t>
      </w:r>
    </w:p>
    <w:p w14:paraId="33B1C2E1">
      <w:pPr>
        <w:pStyle w:val="3"/>
        <w:keepNext/>
        <w:keepLines/>
        <w:pageBreakBefore w:val="0"/>
        <w:widowControl w:val="0"/>
        <w:numPr>
          <w:ilvl w:val="1"/>
          <w:numId w:val="0"/>
        </w:numPr>
        <w:kinsoku/>
        <w:wordWrap/>
        <w:overflowPunct/>
        <w:topLinePunct/>
        <w:autoSpaceDE/>
        <w:autoSpaceDN/>
        <w:bidi w:val="0"/>
        <w:adjustRightInd w:val="0"/>
        <w:snapToGrid w:val="0"/>
        <w:spacing w:line="400" w:lineRule="exact"/>
        <w:ind w:leftChars="0"/>
        <w:textAlignment w:val="center"/>
        <w:rPr>
          <w:rFonts w:hint="eastAsia" w:ascii="宋体" w:hAnsi="宋体" w:eastAsia="宋体" w:cs="宋体"/>
          <w:lang w:val="en-US" w:eastAsia="zh-CN"/>
        </w:rPr>
      </w:pPr>
      <w:r>
        <w:rPr>
          <w:rFonts w:hint="eastAsia" w:ascii="宋体" w:hAnsi="宋体" w:eastAsia="宋体" w:cs="宋体"/>
          <w:lang w:val="en-US" w:eastAsia="zh-CN"/>
        </w:rPr>
        <w:t>4.其他要求</w:t>
      </w:r>
    </w:p>
    <w:p w14:paraId="211B4EFD">
      <w:pPr>
        <w:pStyle w:val="4"/>
        <w:keepNext/>
        <w:keepLines/>
        <w:pageBreakBefore w:val="0"/>
        <w:widowControl w:val="0"/>
        <w:numPr>
          <w:ilvl w:val="2"/>
          <w:numId w:val="0"/>
        </w:numPr>
        <w:kinsoku/>
        <w:wordWrap/>
        <w:overflowPunct/>
        <w:topLinePunct w:val="0"/>
        <w:autoSpaceDE/>
        <w:autoSpaceDN/>
        <w:bidi w:val="0"/>
        <w:adjustRightInd/>
        <w:snapToGrid/>
        <w:spacing w:line="400" w:lineRule="exact"/>
        <w:ind w:leftChars="0"/>
        <w:textAlignment w:val="auto"/>
        <w:rPr>
          <w:rFonts w:hint="eastAsia" w:ascii="宋体" w:hAnsi="宋体" w:eastAsia="宋体" w:cs="宋体"/>
          <w:b/>
          <w:bCs/>
          <w:sz w:val="28"/>
          <w:szCs w:val="22"/>
          <w:lang w:val="en-US" w:eastAsia="zh-CN"/>
        </w:rPr>
      </w:pPr>
      <w:r>
        <w:rPr>
          <w:rFonts w:hint="eastAsia" w:ascii="宋体" w:hAnsi="宋体" w:eastAsia="宋体" w:cs="宋体"/>
          <w:b/>
          <w:bCs/>
          <w:sz w:val="28"/>
          <w:szCs w:val="22"/>
          <w:lang w:val="en-US" w:eastAsia="zh-CN"/>
        </w:rPr>
        <w:t>4.1质量要求</w:t>
      </w:r>
    </w:p>
    <w:p w14:paraId="4357FB4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eastAsia="zh-CN"/>
        </w:rPr>
        <w:t>乙方</w:t>
      </w:r>
      <w:r>
        <w:rPr>
          <w:rFonts w:hint="eastAsia" w:ascii="宋体" w:hAnsi="宋体" w:eastAsia="宋体" w:cs="宋体"/>
          <w:sz w:val="24"/>
          <w:szCs w:val="24"/>
        </w:rPr>
        <w:t>应严格遵守协议的技术质量规定，制定严格的质量安全措施。</w:t>
      </w:r>
    </w:p>
    <w:p w14:paraId="337DBF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2）由于</w:t>
      </w:r>
      <w:r>
        <w:rPr>
          <w:rFonts w:hint="eastAsia" w:ascii="宋体" w:hAnsi="宋体" w:eastAsia="宋体" w:cs="宋体"/>
          <w:sz w:val="24"/>
          <w:szCs w:val="24"/>
          <w:lang w:eastAsia="zh-CN"/>
        </w:rPr>
        <w:t>乙方</w:t>
      </w:r>
      <w:r>
        <w:rPr>
          <w:rFonts w:hint="eastAsia" w:ascii="宋体" w:hAnsi="宋体" w:eastAsia="宋体" w:cs="宋体"/>
          <w:sz w:val="24"/>
          <w:szCs w:val="24"/>
        </w:rPr>
        <w:t>质量安全措施不力造成生产质量安全事故的责任，以及由此发生的费用和损失，由</w:t>
      </w:r>
      <w:r>
        <w:rPr>
          <w:rFonts w:hint="eastAsia" w:ascii="宋体" w:hAnsi="宋体" w:eastAsia="宋体" w:cs="宋体"/>
          <w:sz w:val="24"/>
          <w:szCs w:val="24"/>
          <w:lang w:eastAsia="zh-CN"/>
        </w:rPr>
        <w:t>乙方</w:t>
      </w:r>
      <w:r>
        <w:rPr>
          <w:rFonts w:hint="eastAsia" w:ascii="宋体" w:hAnsi="宋体" w:eastAsia="宋体" w:cs="宋体"/>
          <w:sz w:val="24"/>
          <w:szCs w:val="24"/>
        </w:rPr>
        <w:t>承担。</w:t>
      </w:r>
    </w:p>
    <w:p w14:paraId="42F391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eastAsia="zh-CN"/>
        </w:rPr>
        <w:t>乙方</w:t>
      </w:r>
      <w:r>
        <w:rPr>
          <w:rFonts w:hint="eastAsia" w:ascii="宋体" w:hAnsi="宋体" w:eastAsia="宋体" w:cs="宋体"/>
          <w:sz w:val="24"/>
          <w:szCs w:val="24"/>
        </w:rPr>
        <w:t>应采用先进、完善的项目管理方法进行项目的管理，保证项目的成功实施，确保进度、质量和成本。</w:t>
      </w:r>
    </w:p>
    <w:p w14:paraId="7148F91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eastAsia="zh-CN"/>
        </w:rPr>
        <w:t>乙方</w:t>
      </w:r>
      <w:r>
        <w:rPr>
          <w:rFonts w:hint="eastAsia" w:ascii="宋体" w:hAnsi="宋体" w:eastAsia="宋体" w:cs="宋体"/>
          <w:sz w:val="24"/>
          <w:szCs w:val="24"/>
        </w:rPr>
        <w:t>须进行质量监测，在项目实施过程中设置关键点进行质量评估。</w:t>
      </w:r>
    </w:p>
    <w:p w14:paraId="023924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eastAsia="zh-CN"/>
        </w:rPr>
        <w:t>乙方</w:t>
      </w:r>
      <w:r>
        <w:rPr>
          <w:rFonts w:hint="eastAsia" w:ascii="宋体" w:hAnsi="宋体" w:eastAsia="宋体" w:cs="宋体"/>
          <w:sz w:val="24"/>
          <w:szCs w:val="24"/>
        </w:rPr>
        <w:t>对项目实施过程中发现的缺陷或潜在的风险，应制定相应的纠正措施或预防措施，防止问题的发生。</w:t>
      </w:r>
    </w:p>
    <w:p w14:paraId="1A3FACF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6）为保证项目的正常运行，</w:t>
      </w:r>
      <w:r>
        <w:rPr>
          <w:rFonts w:hint="eastAsia" w:ascii="宋体" w:hAnsi="宋体" w:eastAsia="宋体" w:cs="宋体"/>
          <w:sz w:val="24"/>
          <w:szCs w:val="24"/>
          <w:lang w:eastAsia="zh-CN"/>
        </w:rPr>
        <w:t>乙方</w:t>
      </w:r>
      <w:r>
        <w:rPr>
          <w:rFonts w:hint="eastAsia" w:ascii="宋体" w:hAnsi="宋体" w:eastAsia="宋体" w:cs="宋体"/>
          <w:sz w:val="24"/>
          <w:szCs w:val="24"/>
        </w:rPr>
        <w:t>提供项目执行跟踪和监控的具体措施，措施应包括项目状态月报制度、每月项目例会制度、阶段总结制度等。</w:t>
      </w:r>
    </w:p>
    <w:p w14:paraId="4819FFA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eastAsia="宋体" w:cs="宋体"/>
          <w:sz w:val="24"/>
          <w:szCs w:val="24"/>
          <w:lang w:eastAsia="zh-CN"/>
        </w:rPr>
        <w:t>乙方</w:t>
      </w:r>
      <w:r>
        <w:rPr>
          <w:rFonts w:hint="eastAsia" w:ascii="宋体" w:hAnsi="宋体" w:eastAsia="宋体" w:cs="宋体"/>
          <w:sz w:val="24"/>
          <w:szCs w:val="24"/>
        </w:rPr>
        <w:t>核查的数据必须符合配电设备现场实际情况，不得出现无关内容。</w:t>
      </w:r>
    </w:p>
    <w:p w14:paraId="51A0BD9F">
      <w:pPr>
        <w:pStyle w:val="4"/>
        <w:keepNext/>
        <w:keepLines/>
        <w:pageBreakBefore w:val="0"/>
        <w:widowControl w:val="0"/>
        <w:numPr>
          <w:ilvl w:val="2"/>
          <w:numId w:val="0"/>
        </w:numPr>
        <w:kinsoku/>
        <w:wordWrap/>
        <w:overflowPunct/>
        <w:topLinePunct w:val="0"/>
        <w:autoSpaceDE/>
        <w:autoSpaceDN/>
        <w:bidi w:val="0"/>
        <w:adjustRightInd/>
        <w:snapToGrid/>
        <w:spacing w:line="400" w:lineRule="exact"/>
        <w:ind w:leftChars="0"/>
        <w:textAlignment w:val="auto"/>
        <w:rPr>
          <w:rFonts w:hint="eastAsia" w:ascii="宋体" w:hAnsi="宋体" w:eastAsia="宋体" w:cs="宋体"/>
          <w:b/>
          <w:bCs/>
          <w:sz w:val="28"/>
          <w:szCs w:val="22"/>
          <w:lang w:val="en-US" w:eastAsia="zh-CN"/>
        </w:rPr>
      </w:pPr>
      <w:r>
        <w:rPr>
          <w:rFonts w:hint="eastAsia" w:ascii="宋体" w:hAnsi="宋体" w:eastAsia="宋体" w:cs="宋体"/>
          <w:b/>
          <w:bCs/>
          <w:sz w:val="28"/>
          <w:szCs w:val="22"/>
          <w:lang w:val="en-US" w:eastAsia="zh-CN"/>
        </w:rPr>
        <w:t>4.2知识产权要求</w:t>
      </w:r>
    </w:p>
    <w:p w14:paraId="1204F58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为确保</w:t>
      </w:r>
      <w:r>
        <w:rPr>
          <w:rFonts w:hint="eastAsia" w:ascii="宋体" w:hAnsi="宋体" w:eastAsia="宋体" w:cs="宋体"/>
          <w:sz w:val="24"/>
          <w:szCs w:val="24"/>
          <w:lang w:eastAsia="zh-CN"/>
        </w:rPr>
        <w:t>乙方</w:t>
      </w:r>
      <w:r>
        <w:rPr>
          <w:rFonts w:hint="eastAsia" w:ascii="宋体" w:hAnsi="宋体" w:eastAsia="宋体" w:cs="宋体"/>
          <w:sz w:val="24"/>
          <w:szCs w:val="24"/>
        </w:rPr>
        <w:t>向</w:t>
      </w:r>
      <w:r>
        <w:rPr>
          <w:rFonts w:hint="eastAsia" w:ascii="宋体" w:hAnsi="宋体" w:eastAsia="宋体" w:cs="宋体"/>
          <w:sz w:val="24"/>
          <w:szCs w:val="24"/>
          <w:lang w:eastAsia="zh-CN"/>
        </w:rPr>
        <w:t>甲方</w:t>
      </w:r>
      <w:r>
        <w:rPr>
          <w:rFonts w:hint="eastAsia" w:ascii="宋体" w:hAnsi="宋体" w:eastAsia="宋体" w:cs="宋体"/>
          <w:sz w:val="24"/>
          <w:szCs w:val="24"/>
        </w:rPr>
        <w:t>提交的交付物符合法律、法规及招标文件约定，同时</w:t>
      </w:r>
      <w:r>
        <w:rPr>
          <w:rFonts w:hint="eastAsia" w:ascii="宋体" w:hAnsi="宋体" w:eastAsia="宋体" w:cs="宋体"/>
          <w:sz w:val="24"/>
          <w:szCs w:val="24"/>
          <w:lang w:eastAsia="zh-CN"/>
        </w:rPr>
        <w:t>乙方</w:t>
      </w:r>
      <w:r>
        <w:rPr>
          <w:rFonts w:hint="eastAsia" w:ascii="宋体" w:hAnsi="宋体" w:eastAsia="宋体" w:cs="宋体"/>
          <w:sz w:val="24"/>
          <w:szCs w:val="24"/>
        </w:rPr>
        <w:t>提交的交付物不侵犯任何第三方的知识产权，需</w:t>
      </w:r>
      <w:r>
        <w:rPr>
          <w:rFonts w:hint="eastAsia" w:ascii="宋体" w:hAnsi="宋体" w:eastAsia="宋体" w:cs="宋体"/>
          <w:sz w:val="24"/>
          <w:szCs w:val="24"/>
          <w:lang w:eastAsia="zh-CN"/>
        </w:rPr>
        <w:t>乙方</w:t>
      </w:r>
      <w:r>
        <w:rPr>
          <w:rFonts w:hint="eastAsia" w:ascii="宋体" w:hAnsi="宋体" w:eastAsia="宋体" w:cs="宋体"/>
          <w:sz w:val="24"/>
          <w:szCs w:val="24"/>
        </w:rPr>
        <w:t>就供应</w:t>
      </w:r>
      <w:r>
        <w:rPr>
          <w:rFonts w:hint="eastAsia" w:ascii="宋体" w:hAnsi="宋体" w:eastAsia="宋体" w:cs="宋体"/>
          <w:sz w:val="24"/>
          <w:szCs w:val="24"/>
          <w:lang w:eastAsia="zh-CN"/>
        </w:rPr>
        <w:t>甲方</w:t>
      </w:r>
      <w:r>
        <w:rPr>
          <w:rFonts w:hint="eastAsia" w:ascii="宋体" w:hAnsi="宋体" w:eastAsia="宋体" w:cs="宋体"/>
          <w:sz w:val="24"/>
          <w:szCs w:val="24"/>
        </w:rPr>
        <w:t>之产品，做出以下承诺：</w:t>
      </w:r>
    </w:p>
    <w:p w14:paraId="162F6E8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eastAsia="zh-CN"/>
        </w:rPr>
        <w:t>乙方</w:t>
      </w:r>
      <w:r>
        <w:rPr>
          <w:rFonts w:hint="eastAsia" w:ascii="宋体" w:hAnsi="宋体" w:eastAsia="宋体" w:cs="宋体"/>
          <w:sz w:val="24"/>
          <w:szCs w:val="24"/>
        </w:rPr>
        <w:t>所提供的交付物及服务等没有任何权利瑕疵，没有侵犯任何第三方权利。</w:t>
      </w:r>
      <w:r>
        <w:rPr>
          <w:rFonts w:hint="eastAsia" w:ascii="宋体" w:hAnsi="宋体" w:eastAsia="宋体" w:cs="宋体"/>
          <w:sz w:val="24"/>
          <w:szCs w:val="24"/>
          <w:lang w:eastAsia="zh-CN"/>
        </w:rPr>
        <w:t>甲方</w:t>
      </w:r>
      <w:r>
        <w:rPr>
          <w:rFonts w:hint="eastAsia" w:ascii="宋体" w:hAnsi="宋体" w:eastAsia="宋体" w:cs="宋体"/>
          <w:sz w:val="24"/>
          <w:szCs w:val="24"/>
        </w:rPr>
        <w:t>在使用该产品或交付物的任何一部分时，免受第三方提出的任何侵犯其知识产权的权利主张。</w:t>
      </w:r>
    </w:p>
    <w:p w14:paraId="33445A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Style w:val="13"/>
          <w:rFonts w:hint="eastAsia" w:ascii="宋体" w:hAnsi="宋体" w:eastAsia="宋体" w:cs="宋体"/>
          <w:b/>
          <w:bCs/>
          <w:i w:val="0"/>
          <w:iCs w:val="0"/>
          <w:caps w:val="0"/>
          <w:color w:val="404040"/>
          <w:spacing w:val="0"/>
          <w:szCs w:val="24"/>
          <w:shd w:val="clear" w:fill="FFFFFF"/>
        </w:rPr>
      </w:pPr>
      <w:r>
        <w:rPr>
          <w:rFonts w:hint="eastAsia" w:ascii="宋体" w:hAnsi="宋体" w:eastAsia="宋体" w:cs="宋体"/>
          <w:sz w:val="24"/>
          <w:szCs w:val="24"/>
        </w:rPr>
        <w:t>2）</w:t>
      </w:r>
      <w:r>
        <w:rPr>
          <w:rFonts w:hint="eastAsia" w:ascii="宋体" w:hAnsi="宋体" w:eastAsia="宋体" w:cs="宋体"/>
          <w:sz w:val="24"/>
          <w:szCs w:val="24"/>
          <w:lang w:eastAsia="zh-CN"/>
        </w:rPr>
        <w:t>甲方</w:t>
      </w:r>
      <w:r>
        <w:rPr>
          <w:rFonts w:hint="eastAsia" w:ascii="宋体" w:hAnsi="宋体" w:eastAsia="宋体" w:cs="宋体"/>
          <w:sz w:val="24"/>
          <w:szCs w:val="24"/>
        </w:rPr>
        <w:t>提供的资料、企业内部信息，所有权归</w:t>
      </w:r>
      <w:r>
        <w:rPr>
          <w:rFonts w:hint="eastAsia" w:ascii="宋体" w:hAnsi="宋体" w:eastAsia="宋体" w:cs="宋体"/>
          <w:sz w:val="24"/>
          <w:szCs w:val="24"/>
          <w:lang w:eastAsia="zh-CN"/>
        </w:rPr>
        <w:t>甲方</w:t>
      </w:r>
      <w:r>
        <w:rPr>
          <w:rFonts w:hint="eastAsia" w:ascii="宋体" w:hAnsi="宋体" w:eastAsia="宋体" w:cs="宋体"/>
          <w:sz w:val="24"/>
          <w:szCs w:val="24"/>
        </w:rPr>
        <w:t>，</w:t>
      </w:r>
      <w:r>
        <w:rPr>
          <w:rFonts w:hint="eastAsia" w:ascii="宋体" w:hAnsi="宋体" w:eastAsia="宋体" w:cs="宋体"/>
          <w:sz w:val="24"/>
          <w:szCs w:val="24"/>
          <w:lang w:eastAsia="zh-CN"/>
        </w:rPr>
        <w:t>甲方</w:t>
      </w:r>
      <w:r>
        <w:rPr>
          <w:rFonts w:hint="eastAsia" w:ascii="宋体" w:hAnsi="宋体" w:eastAsia="宋体" w:cs="宋体"/>
          <w:sz w:val="24"/>
          <w:szCs w:val="24"/>
        </w:rPr>
        <w:t>授权</w:t>
      </w:r>
      <w:r>
        <w:rPr>
          <w:rFonts w:hint="eastAsia" w:ascii="宋体" w:hAnsi="宋体" w:eastAsia="宋体" w:cs="宋体"/>
          <w:sz w:val="24"/>
          <w:szCs w:val="24"/>
          <w:lang w:eastAsia="zh-CN"/>
        </w:rPr>
        <w:t>乙方</w:t>
      </w:r>
      <w:r>
        <w:rPr>
          <w:rFonts w:hint="eastAsia" w:ascii="宋体" w:hAnsi="宋体" w:eastAsia="宋体" w:cs="宋体"/>
          <w:sz w:val="24"/>
          <w:szCs w:val="24"/>
        </w:rPr>
        <w:t>为履行本合同服务的目的，在本合同范围内使用招标方提供的上述资料。</w:t>
      </w:r>
      <w:r>
        <w:rPr>
          <w:rFonts w:hint="eastAsia" w:ascii="宋体" w:hAnsi="宋体" w:eastAsia="宋体" w:cs="宋体"/>
          <w:sz w:val="24"/>
          <w:szCs w:val="24"/>
          <w:lang w:eastAsia="zh-CN"/>
        </w:rPr>
        <w:t>甲方</w:t>
      </w:r>
      <w:r>
        <w:rPr>
          <w:rFonts w:hint="eastAsia" w:ascii="宋体" w:hAnsi="宋体" w:eastAsia="宋体" w:cs="宋体"/>
          <w:sz w:val="24"/>
          <w:szCs w:val="24"/>
        </w:rPr>
        <w:t>、</w:t>
      </w:r>
      <w:r>
        <w:rPr>
          <w:rFonts w:hint="eastAsia" w:ascii="宋体" w:hAnsi="宋体" w:eastAsia="宋体" w:cs="宋体"/>
          <w:sz w:val="24"/>
          <w:szCs w:val="24"/>
          <w:lang w:eastAsia="zh-CN"/>
        </w:rPr>
        <w:t>乙方</w:t>
      </w:r>
      <w:r>
        <w:rPr>
          <w:rFonts w:hint="eastAsia" w:ascii="宋体" w:hAnsi="宋体" w:eastAsia="宋体" w:cs="宋体"/>
          <w:sz w:val="24"/>
          <w:szCs w:val="24"/>
        </w:rPr>
        <w:t>及第三方各自拥有在履行本合同之前已有作品的著作权及知识产权。</w:t>
      </w:r>
    </w:p>
    <w:p w14:paraId="2672897E">
      <w:pPr>
        <w:pStyle w:val="4"/>
        <w:keepNext/>
        <w:keepLines/>
        <w:pageBreakBefore w:val="0"/>
        <w:widowControl w:val="0"/>
        <w:numPr>
          <w:ilvl w:val="2"/>
          <w:numId w:val="0"/>
        </w:numPr>
        <w:kinsoku/>
        <w:wordWrap/>
        <w:overflowPunct/>
        <w:topLinePunct w:val="0"/>
        <w:autoSpaceDE/>
        <w:autoSpaceDN/>
        <w:bidi w:val="0"/>
        <w:adjustRightInd/>
        <w:snapToGrid/>
        <w:spacing w:line="400" w:lineRule="exact"/>
        <w:ind w:leftChars="0"/>
        <w:textAlignment w:val="auto"/>
        <w:rPr>
          <w:rFonts w:hint="eastAsia" w:ascii="宋体" w:hAnsi="宋体" w:eastAsia="宋体" w:cs="宋体"/>
          <w:b/>
          <w:bCs/>
          <w:sz w:val="28"/>
          <w:szCs w:val="22"/>
          <w:lang w:val="en-US" w:eastAsia="zh-CN"/>
        </w:rPr>
      </w:pPr>
      <w:r>
        <w:rPr>
          <w:rFonts w:hint="eastAsia" w:ascii="宋体" w:hAnsi="宋体" w:eastAsia="宋体" w:cs="宋体"/>
          <w:b/>
          <w:bCs/>
          <w:sz w:val="28"/>
          <w:szCs w:val="22"/>
          <w:lang w:val="en-US" w:eastAsia="zh-CN"/>
        </w:rPr>
        <w:t>4.3安全保密要求</w:t>
      </w:r>
    </w:p>
    <w:p w14:paraId="148DD1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eastAsia="zh-CN"/>
        </w:rPr>
        <w:t>乙方</w:t>
      </w:r>
      <w:r>
        <w:rPr>
          <w:rFonts w:hint="eastAsia" w:ascii="宋体" w:hAnsi="宋体" w:eastAsia="宋体" w:cs="宋体"/>
          <w:sz w:val="24"/>
          <w:szCs w:val="24"/>
        </w:rPr>
        <w:t>承诺遵守国家信息安全法律、法规和规章制度，履行维护信息安全的义务。</w:t>
      </w:r>
    </w:p>
    <w:p w14:paraId="1460103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eastAsia="zh-CN"/>
        </w:rPr>
        <w:t>乙方</w:t>
      </w:r>
      <w:r>
        <w:rPr>
          <w:rFonts w:hint="eastAsia" w:ascii="宋体" w:hAnsi="宋体" w:eastAsia="宋体" w:cs="宋体"/>
          <w:sz w:val="24"/>
          <w:szCs w:val="24"/>
        </w:rPr>
        <w:t>承诺遵守</w:t>
      </w:r>
      <w:r>
        <w:rPr>
          <w:rFonts w:hint="eastAsia" w:ascii="宋体" w:hAnsi="宋体" w:eastAsia="宋体" w:cs="宋体"/>
          <w:sz w:val="24"/>
          <w:szCs w:val="24"/>
          <w:lang w:eastAsia="zh-CN"/>
        </w:rPr>
        <w:t>甲方</w:t>
      </w:r>
      <w:r>
        <w:rPr>
          <w:rFonts w:hint="eastAsia" w:ascii="宋体" w:hAnsi="宋体" w:eastAsia="宋体" w:cs="宋体"/>
          <w:sz w:val="24"/>
          <w:szCs w:val="24"/>
        </w:rPr>
        <w:t>公司信息安全相关的规章制度及文件规定，及时传达贯彻需求方对信息安全管理的工作要求和部署。</w:t>
      </w:r>
    </w:p>
    <w:p w14:paraId="61470F7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eastAsia="zh-CN"/>
        </w:rPr>
        <w:t>乙方</w:t>
      </w:r>
      <w:r>
        <w:rPr>
          <w:rFonts w:hint="eastAsia" w:ascii="宋体" w:hAnsi="宋体" w:eastAsia="宋体" w:cs="宋体"/>
          <w:sz w:val="24"/>
          <w:szCs w:val="24"/>
        </w:rPr>
        <w:t>项目负责人为</w:t>
      </w:r>
      <w:r>
        <w:rPr>
          <w:rFonts w:hint="eastAsia" w:ascii="宋体" w:hAnsi="宋体" w:eastAsia="宋体" w:cs="宋体"/>
          <w:sz w:val="24"/>
          <w:szCs w:val="24"/>
          <w:lang w:eastAsia="zh-CN"/>
        </w:rPr>
        <w:t>乙方</w:t>
      </w:r>
      <w:r>
        <w:rPr>
          <w:rFonts w:hint="eastAsia" w:ascii="宋体" w:hAnsi="宋体" w:eastAsia="宋体" w:cs="宋体"/>
          <w:sz w:val="24"/>
          <w:szCs w:val="24"/>
        </w:rPr>
        <w:t>信息安全第一责任人，对项目全过程的信息安全负责。</w:t>
      </w:r>
      <w:r>
        <w:rPr>
          <w:rFonts w:hint="eastAsia" w:ascii="宋体" w:hAnsi="宋体" w:eastAsia="宋体" w:cs="宋体"/>
          <w:sz w:val="24"/>
          <w:szCs w:val="24"/>
          <w:lang w:eastAsia="zh-CN"/>
        </w:rPr>
        <w:t>乙方</w:t>
      </w:r>
      <w:r>
        <w:rPr>
          <w:rFonts w:hint="eastAsia" w:ascii="宋体" w:hAnsi="宋体" w:eastAsia="宋体" w:cs="宋体"/>
          <w:sz w:val="24"/>
          <w:szCs w:val="24"/>
        </w:rPr>
        <w:t>承诺按照需求方的要求，积极配合需求方认真抓好日常信息安全管理监督检查工作。</w:t>
      </w:r>
    </w:p>
    <w:p w14:paraId="4B0C24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4）一旦判断可能发生或发生安全事件时，</w:t>
      </w:r>
      <w:r>
        <w:rPr>
          <w:rFonts w:hint="eastAsia" w:ascii="宋体" w:hAnsi="宋体" w:eastAsia="宋体" w:cs="宋体"/>
          <w:sz w:val="24"/>
          <w:szCs w:val="24"/>
          <w:lang w:eastAsia="zh-CN"/>
        </w:rPr>
        <w:t>乙方</w:t>
      </w:r>
      <w:r>
        <w:rPr>
          <w:rFonts w:hint="eastAsia" w:ascii="宋体" w:hAnsi="宋体" w:eastAsia="宋体" w:cs="宋体"/>
          <w:sz w:val="24"/>
          <w:szCs w:val="24"/>
        </w:rPr>
        <w:t>必须立即向</w:t>
      </w:r>
      <w:r>
        <w:rPr>
          <w:rFonts w:hint="eastAsia" w:ascii="宋体" w:hAnsi="宋体" w:eastAsia="宋体" w:cs="宋体"/>
          <w:sz w:val="24"/>
          <w:szCs w:val="24"/>
          <w:lang w:eastAsia="zh-CN"/>
        </w:rPr>
        <w:t>甲方</w:t>
      </w:r>
      <w:r>
        <w:rPr>
          <w:rFonts w:hint="eastAsia" w:ascii="宋体" w:hAnsi="宋体" w:eastAsia="宋体" w:cs="宋体"/>
          <w:sz w:val="24"/>
          <w:szCs w:val="24"/>
        </w:rPr>
        <w:t>相关专责报告，并按要求采取应急处置措施，保留有关原始记录，接受整改要求，落实整改措施。</w:t>
      </w:r>
    </w:p>
    <w:p w14:paraId="1A10E1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5）发生安全事件后，</w:t>
      </w:r>
      <w:r>
        <w:rPr>
          <w:rFonts w:hint="eastAsia" w:ascii="宋体" w:hAnsi="宋体" w:eastAsia="宋体" w:cs="宋体"/>
          <w:sz w:val="24"/>
          <w:szCs w:val="24"/>
          <w:lang w:eastAsia="zh-CN"/>
        </w:rPr>
        <w:t>甲方</w:t>
      </w:r>
      <w:r>
        <w:rPr>
          <w:rFonts w:hint="eastAsia" w:ascii="宋体" w:hAnsi="宋体" w:eastAsia="宋体" w:cs="宋体"/>
          <w:sz w:val="24"/>
          <w:szCs w:val="24"/>
        </w:rPr>
        <w:t>组织</w:t>
      </w:r>
      <w:r>
        <w:rPr>
          <w:rFonts w:hint="eastAsia" w:ascii="宋体" w:hAnsi="宋体" w:eastAsia="宋体" w:cs="宋体"/>
          <w:sz w:val="24"/>
          <w:szCs w:val="24"/>
          <w:lang w:eastAsia="zh-CN"/>
        </w:rPr>
        <w:t>乙方</w:t>
      </w:r>
      <w:r>
        <w:rPr>
          <w:rFonts w:hint="eastAsia" w:ascii="宋体" w:hAnsi="宋体" w:eastAsia="宋体" w:cs="宋体"/>
          <w:sz w:val="24"/>
          <w:szCs w:val="24"/>
        </w:rPr>
        <w:t>开展事件调查处理工作，</w:t>
      </w:r>
      <w:r>
        <w:rPr>
          <w:rFonts w:hint="eastAsia" w:ascii="宋体" w:hAnsi="宋体" w:eastAsia="宋体" w:cs="宋体"/>
          <w:sz w:val="24"/>
          <w:szCs w:val="24"/>
          <w:lang w:eastAsia="zh-CN"/>
        </w:rPr>
        <w:t>甲方</w:t>
      </w:r>
      <w:r>
        <w:rPr>
          <w:rFonts w:hint="eastAsia" w:ascii="宋体" w:hAnsi="宋体" w:eastAsia="宋体" w:cs="宋体"/>
          <w:sz w:val="24"/>
          <w:szCs w:val="24"/>
        </w:rPr>
        <w:t>有权要求</w:t>
      </w:r>
      <w:r>
        <w:rPr>
          <w:rFonts w:hint="eastAsia" w:ascii="宋体" w:hAnsi="宋体" w:eastAsia="宋体" w:cs="宋体"/>
          <w:sz w:val="24"/>
          <w:szCs w:val="24"/>
          <w:lang w:eastAsia="zh-CN"/>
        </w:rPr>
        <w:t>乙方</w:t>
      </w:r>
      <w:r>
        <w:rPr>
          <w:rFonts w:hint="eastAsia" w:ascii="宋体" w:hAnsi="宋体" w:eastAsia="宋体" w:cs="宋体"/>
          <w:sz w:val="24"/>
          <w:szCs w:val="24"/>
        </w:rPr>
        <w:t>提供相关材料及配合工作，监督</w:t>
      </w:r>
      <w:r>
        <w:rPr>
          <w:rFonts w:hint="eastAsia" w:ascii="宋体" w:hAnsi="宋体" w:eastAsia="宋体" w:cs="宋体"/>
          <w:sz w:val="24"/>
          <w:szCs w:val="24"/>
          <w:lang w:eastAsia="zh-CN"/>
        </w:rPr>
        <w:t>乙方</w:t>
      </w:r>
      <w:r>
        <w:rPr>
          <w:rFonts w:hint="eastAsia" w:ascii="宋体" w:hAnsi="宋体" w:eastAsia="宋体" w:cs="宋体"/>
          <w:sz w:val="24"/>
          <w:szCs w:val="24"/>
        </w:rPr>
        <w:t>按“四不放过”的原则，处理好安全事件。</w:t>
      </w:r>
    </w:p>
    <w:p w14:paraId="6E1EC1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z w:val="24"/>
          <w:szCs w:val="24"/>
          <w:lang w:eastAsia="zh-CN"/>
        </w:rPr>
        <w:t>乙方</w:t>
      </w:r>
      <w:r>
        <w:rPr>
          <w:rFonts w:hint="eastAsia" w:ascii="宋体" w:hAnsi="宋体" w:eastAsia="宋体" w:cs="宋体"/>
          <w:sz w:val="24"/>
          <w:szCs w:val="24"/>
        </w:rPr>
        <w:t>在服务期间，负有保护南方电网数字电网集团有限公司深圳分公司数据安全的义务和责任；负有保护所持有、接触的属于或涉及南方电网公司商业秘密的信息安全的义务和责任。</w:t>
      </w:r>
    </w:p>
    <w:p w14:paraId="28E0F2F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7）在现场服务过程中，</w:t>
      </w:r>
      <w:r>
        <w:rPr>
          <w:rFonts w:hint="eastAsia" w:ascii="宋体" w:hAnsi="宋体" w:eastAsia="宋体" w:cs="宋体"/>
          <w:sz w:val="24"/>
          <w:szCs w:val="24"/>
          <w:lang w:eastAsia="zh-CN"/>
        </w:rPr>
        <w:t>乙方</w:t>
      </w:r>
      <w:r>
        <w:rPr>
          <w:rFonts w:hint="eastAsia" w:ascii="宋体" w:hAnsi="宋体" w:eastAsia="宋体" w:cs="宋体"/>
          <w:sz w:val="24"/>
          <w:szCs w:val="24"/>
        </w:rPr>
        <w:t>必须遵守招标方关于第三方人员管理规定要求；未经许可不得以任何方式对保密信息及工作成果进行复制、传播、泄漏、告知。</w:t>
      </w:r>
    </w:p>
    <w:p w14:paraId="4906CA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8）无论何种原因导致合同解除或终止，本项目约定下的保密条款、保密内容及相关的违约责任的约定仍然生效。保密期限为签订合同之后至永久，保密范围为项目所涉及的任何资料。</w:t>
      </w:r>
    </w:p>
    <w:p w14:paraId="40BB8713">
      <w:pPr>
        <w:pStyle w:val="4"/>
        <w:keepNext/>
        <w:keepLines/>
        <w:pageBreakBefore w:val="0"/>
        <w:widowControl w:val="0"/>
        <w:numPr>
          <w:ilvl w:val="2"/>
          <w:numId w:val="0"/>
        </w:numPr>
        <w:kinsoku/>
        <w:wordWrap/>
        <w:overflowPunct/>
        <w:topLinePunct w:val="0"/>
        <w:autoSpaceDE/>
        <w:autoSpaceDN/>
        <w:bidi w:val="0"/>
        <w:adjustRightInd/>
        <w:snapToGrid/>
        <w:spacing w:line="400" w:lineRule="exact"/>
        <w:ind w:leftChars="0"/>
        <w:textAlignment w:val="auto"/>
        <w:rPr>
          <w:rFonts w:hint="eastAsia" w:ascii="宋体" w:hAnsi="宋体" w:eastAsia="宋体" w:cs="宋体"/>
          <w:b/>
          <w:bCs/>
          <w:sz w:val="28"/>
          <w:szCs w:val="22"/>
          <w:lang w:val="en-US" w:eastAsia="zh-CN"/>
        </w:rPr>
      </w:pPr>
      <w:r>
        <w:rPr>
          <w:rFonts w:hint="eastAsia" w:ascii="宋体" w:hAnsi="宋体" w:eastAsia="宋体" w:cs="宋体"/>
          <w:b/>
          <w:bCs/>
          <w:sz w:val="28"/>
          <w:szCs w:val="22"/>
          <w:lang w:val="en-US" w:eastAsia="zh-CN"/>
        </w:rPr>
        <w:t>4.4项目验收要求</w:t>
      </w:r>
    </w:p>
    <w:p w14:paraId="20999BE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乙方向甲方提交项目验收申请书，简述项目工作内容、完成情况等，并提交每个季度的运维报告。</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B498F71"/>
    <w:multiLevelType w:val="multilevel"/>
    <w:tmpl w:val="0B498F71"/>
    <w:lvl w:ilvl="0" w:tentative="0">
      <w:start w:val="1"/>
      <w:numFmt w:val="decimal"/>
      <w:lvlText w:val="%1."/>
      <w:lvlJc w:val="left"/>
      <w:pPr>
        <w:ind w:left="432" w:hanging="432"/>
      </w:pPr>
      <w:rPr>
        <w:rFonts w:hint="default"/>
      </w:rPr>
    </w:lvl>
    <w:lvl w:ilvl="1" w:tentative="0">
      <w:start w:val="1"/>
      <w:numFmt w:val="decimal"/>
      <w:lvlText w:val="2.%2."/>
      <w:lvlJc w:val="left"/>
      <w:pPr>
        <w:ind w:left="575" w:hanging="575"/>
      </w:pPr>
      <w:rPr>
        <w:rFonts w:hint="default"/>
      </w:rPr>
    </w:lvl>
    <w:lvl w:ilvl="2" w:tentative="0">
      <w:start w:val="1"/>
      <w:numFmt w:val="decimal"/>
      <w:pStyle w:val="4"/>
      <w:lvlText w:val="2.%2.%3."/>
      <w:lvlJc w:val="left"/>
      <w:pPr>
        <w:ind w:left="720" w:hanging="720"/>
      </w:pPr>
      <w:rPr>
        <w:rFonts w:hint="default"/>
      </w:rPr>
    </w:lvl>
    <w:lvl w:ilvl="3" w:tentative="0">
      <w:start w:val="1"/>
      <w:numFmt w:val="decimal"/>
      <w:pStyle w:val="6"/>
      <w:lvlText w:val="2.%2.%3.%4."/>
      <w:lvlJc w:val="left"/>
      <w:pPr>
        <w:ind w:left="864" w:hanging="864"/>
      </w:pPr>
      <w:rPr>
        <w:rFonts w:hint="default"/>
      </w:rPr>
    </w:lvl>
    <w:lvl w:ilvl="4" w:tentative="0">
      <w:start w:val="1"/>
      <w:numFmt w:val="decimal"/>
      <w:pStyle w:val="7"/>
      <w:lvlText w:val="2.%2.%3.%4.%5."/>
      <w:lvlJc w:val="left"/>
      <w:pPr>
        <w:ind w:left="1008" w:hanging="1008"/>
      </w:pPr>
      <w:rPr>
        <w:rFonts w:hint="default"/>
      </w:rPr>
    </w:lvl>
    <w:lvl w:ilvl="5" w:tentative="0">
      <w:start w:val="1"/>
      <w:numFmt w:val="decimal"/>
      <w:lvlText w:val="2.%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1">
    <w:nsid w:val="6A7A8E39"/>
    <w:multiLevelType w:val="multilevel"/>
    <w:tmpl w:val="6A7A8E39"/>
    <w:lvl w:ilvl="0" w:tentative="0">
      <w:start w:val="1"/>
      <w:numFmt w:val="decimal"/>
      <w:pStyle w:val="2"/>
      <w:lvlText w:val="%1"/>
      <w:lvlJc w:val="left"/>
      <w:pPr>
        <w:tabs>
          <w:tab w:val="left" w:pos="432"/>
        </w:tabs>
        <w:ind w:left="432" w:hanging="432"/>
      </w:pPr>
      <w:rPr>
        <w:rFonts w:hint="default"/>
      </w:rPr>
    </w:lvl>
    <w:lvl w:ilvl="1" w:tentative="0">
      <w:start w:val="1"/>
      <w:numFmt w:val="decimal"/>
      <w:pStyle w:val="3"/>
      <w:lvlText w:val="17.%2"/>
      <w:lvlJc w:val="left"/>
      <w:pPr>
        <w:tabs>
          <w:tab w:val="left" w:pos="576"/>
        </w:tabs>
        <w:ind w:left="576" w:hanging="576"/>
      </w:pPr>
      <w:rPr>
        <w:rFonts w:hint="default"/>
      </w:rPr>
    </w:lvl>
    <w:lvl w:ilvl="2" w:tentative="0">
      <w:start w:val="1"/>
      <w:numFmt w:val="decimal"/>
      <w:lvlText w:val="17.%2.%3"/>
      <w:lvlJc w:val="left"/>
      <w:pPr>
        <w:tabs>
          <w:tab w:val="left" w:pos="1997"/>
        </w:tabs>
        <w:ind w:left="1997" w:hanging="1997"/>
      </w:pPr>
      <w:rPr>
        <w:rFonts w:hint="default"/>
      </w:rPr>
    </w:lvl>
    <w:lvl w:ilvl="3" w:tentative="0">
      <w:start w:val="1"/>
      <w:numFmt w:val="decimal"/>
      <w:lvlText w:val="17.%2.%3.%4"/>
      <w:lvlJc w:val="left"/>
      <w:pPr>
        <w:tabs>
          <w:tab w:val="left" w:pos="864"/>
        </w:tabs>
        <w:ind w:left="864" w:hanging="864"/>
      </w:pPr>
      <w:rPr>
        <w:rFonts w:hint="default"/>
        <w:color w:val="auto"/>
      </w:rPr>
    </w:lvl>
    <w:lvl w:ilvl="4" w:tentative="0">
      <w:start w:val="1"/>
      <w:numFmt w:val="decimal"/>
      <w:lvlText w:val="17.%2.%3.%4.%5"/>
      <w:lvlJc w:val="left"/>
      <w:pPr>
        <w:tabs>
          <w:tab w:val="left" w:pos="1008"/>
        </w:tabs>
        <w:ind w:left="1008" w:hanging="1008"/>
      </w:pPr>
      <w:rPr>
        <w:rFonts w:hint="default"/>
      </w:rPr>
    </w:lvl>
    <w:lvl w:ilvl="5" w:tentative="0">
      <w:start w:val="1"/>
      <w:numFmt w:val="decimal"/>
      <w:lvlText w:val="17.%2.%3.%4.%5.%6"/>
      <w:lvlJc w:val="left"/>
      <w:pPr>
        <w:tabs>
          <w:tab w:val="left" w:pos="1152"/>
        </w:tabs>
        <w:ind w:left="1152" w:hanging="1152"/>
      </w:pPr>
      <w:rPr>
        <w:rFonts w:hint="default"/>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I0Nzg3ZGU2NmExM2VhMzgwZDRlYzU3NTc0NWUwNjkifQ=="/>
  </w:docVars>
  <w:rsids>
    <w:rsidRoot w:val="13B2093C"/>
    <w:rsid w:val="00AB17A5"/>
    <w:rsid w:val="00C67DD0"/>
    <w:rsid w:val="01FB5B91"/>
    <w:rsid w:val="02293D79"/>
    <w:rsid w:val="02497F4C"/>
    <w:rsid w:val="025340DF"/>
    <w:rsid w:val="02F8266E"/>
    <w:rsid w:val="03660724"/>
    <w:rsid w:val="04A60DCB"/>
    <w:rsid w:val="05081A34"/>
    <w:rsid w:val="05580ED4"/>
    <w:rsid w:val="064969C8"/>
    <w:rsid w:val="069F4940"/>
    <w:rsid w:val="0773772C"/>
    <w:rsid w:val="084C5688"/>
    <w:rsid w:val="08E77E2A"/>
    <w:rsid w:val="091D6C80"/>
    <w:rsid w:val="0AF2596A"/>
    <w:rsid w:val="0B37767B"/>
    <w:rsid w:val="0D2B7F62"/>
    <w:rsid w:val="0DAF6990"/>
    <w:rsid w:val="0E3B7858"/>
    <w:rsid w:val="0F3F1AA3"/>
    <w:rsid w:val="1004205B"/>
    <w:rsid w:val="113B24D4"/>
    <w:rsid w:val="115F398D"/>
    <w:rsid w:val="12ED1E9A"/>
    <w:rsid w:val="13B2093C"/>
    <w:rsid w:val="13FB2BCB"/>
    <w:rsid w:val="14727ABB"/>
    <w:rsid w:val="160733B1"/>
    <w:rsid w:val="169E5EAB"/>
    <w:rsid w:val="17A77BC2"/>
    <w:rsid w:val="194F6A1F"/>
    <w:rsid w:val="19D652F0"/>
    <w:rsid w:val="1B764745"/>
    <w:rsid w:val="1D7F1092"/>
    <w:rsid w:val="1E2E3EF1"/>
    <w:rsid w:val="1EA638ED"/>
    <w:rsid w:val="203339D2"/>
    <w:rsid w:val="205630F0"/>
    <w:rsid w:val="21890D55"/>
    <w:rsid w:val="21A7275E"/>
    <w:rsid w:val="23831276"/>
    <w:rsid w:val="243510D4"/>
    <w:rsid w:val="258928E1"/>
    <w:rsid w:val="26C6392A"/>
    <w:rsid w:val="284E28BB"/>
    <w:rsid w:val="28836A4D"/>
    <w:rsid w:val="295A06EF"/>
    <w:rsid w:val="2A2658E2"/>
    <w:rsid w:val="2A9A77ED"/>
    <w:rsid w:val="2B657789"/>
    <w:rsid w:val="2C842D93"/>
    <w:rsid w:val="2D612905"/>
    <w:rsid w:val="2E9A3993"/>
    <w:rsid w:val="30057B2A"/>
    <w:rsid w:val="30750342"/>
    <w:rsid w:val="32B504B0"/>
    <w:rsid w:val="33311528"/>
    <w:rsid w:val="350A499E"/>
    <w:rsid w:val="376C68FE"/>
    <w:rsid w:val="38631313"/>
    <w:rsid w:val="38654816"/>
    <w:rsid w:val="389B22E9"/>
    <w:rsid w:val="399B34CA"/>
    <w:rsid w:val="3B2C6AD0"/>
    <w:rsid w:val="3C595371"/>
    <w:rsid w:val="3CC45126"/>
    <w:rsid w:val="3D504924"/>
    <w:rsid w:val="3D955418"/>
    <w:rsid w:val="3E99447C"/>
    <w:rsid w:val="41120AD7"/>
    <w:rsid w:val="41874220"/>
    <w:rsid w:val="43A22557"/>
    <w:rsid w:val="43F14EB4"/>
    <w:rsid w:val="45F468CD"/>
    <w:rsid w:val="46E879E3"/>
    <w:rsid w:val="494B49DC"/>
    <w:rsid w:val="4A4F0FFA"/>
    <w:rsid w:val="4AAF2318"/>
    <w:rsid w:val="4B020A9D"/>
    <w:rsid w:val="4B523D1F"/>
    <w:rsid w:val="4B7D3ED3"/>
    <w:rsid w:val="4BE75898"/>
    <w:rsid w:val="4C394A31"/>
    <w:rsid w:val="4CF036A1"/>
    <w:rsid w:val="4D202FDB"/>
    <w:rsid w:val="4D686C8D"/>
    <w:rsid w:val="4DA30E74"/>
    <w:rsid w:val="4E162EFC"/>
    <w:rsid w:val="4EDD22AD"/>
    <w:rsid w:val="4F02060A"/>
    <w:rsid w:val="4F637D4D"/>
    <w:rsid w:val="4FCB6B39"/>
    <w:rsid w:val="4FD04F28"/>
    <w:rsid w:val="5282064A"/>
    <w:rsid w:val="544A4CD7"/>
    <w:rsid w:val="55AD6885"/>
    <w:rsid w:val="55D87B28"/>
    <w:rsid w:val="56293C83"/>
    <w:rsid w:val="58816905"/>
    <w:rsid w:val="5A7979FA"/>
    <w:rsid w:val="5E66732A"/>
    <w:rsid w:val="5F0B387C"/>
    <w:rsid w:val="61113EEE"/>
    <w:rsid w:val="612C10C3"/>
    <w:rsid w:val="63213CF4"/>
    <w:rsid w:val="63B523A0"/>
    <w:rsid w:val="67D0240D"/>
    <w:rsid w:val="67F225DA"/>
    <w:rsid w:val="6A902950"/>
    <w:rsid w:val="6AA27A80"/>
    <w:rsid w:val="6B5F3F51"/>
    <w:rsid w:val="6D100E7E"/>
    <w:rsid w:val="6D1B720F"/>
    <w:rsid w:val="6D667370"/>
    <w:rsid w:val="6E961F7F"/>
    <w:rsid w:val="6F0A44BC"/>
    <w:rsid w:val="70EC5954"/>
    <w:rsid w:val="71EC253A"/>
    <w:rsid w:val="742F6D2D"/>
    <w:rsid w:val="75C94F07"/>
    <w:rsid w:val="76B963D7"/>
    <w:rsid w:val="78711EA5"/>
    <w:rsid w:val="792B3ACB"/>
    <w:rsid w:val="79D51B1E"/>
    <w:rsid w:val="7A2D1941"/>
    <w:rsid w:val="7ACC7EAD"/>
    <w:rsid w:val="7ACF61B8"/>
    <w:rsid w:val="7B6A54D9"/>
    <w:rsid w:val="7CBD24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keepNext/>
      <w:keepLines/>
      <w:numPr>
        <w:ilvl w:val="0"/>
        <w:numId w:val="1"/>
      </w:numPr>
      <w:topLinePunct/>
      <w:adjustRightInd w:val="0"/>
      <w:snapToGrid w:val="0"/>
      <w:spacing w:before="120" w:after="120" w:line="360" w:lineRule="auto"/>
      <w:ind w:left="432" w:hanging="432" w:firstLineChars="0"/>
      <w:jc w:val="left"/>
      <w:textAlignment w:val="center"/>
      <w:outlineLvl w:val="0"/>
    </w:pPr>
    <w:rPr>
      <w:rFonts w:ascii="Times New Roman" w:hAnsi="Times New Roman" w:eastAsia="宋体" w:cs="Times New Roman"/>
      <w:b/>
      <w:bCs/>
      <w:snapToGrid w:val="0"/>
      <w:kern w:val="0"/>
      <w:sz w:val="36"/>
      <w:szCs w:val="36"/>
    </w:rPr>
  </w:style>
  <w:style w:type="paragraph" w:styleId="3">
    <w:name w:val="heading 2"/>
    <w:basedOn w:val="2"/>
    <w:next w:val="1"/>
    <w:unhideWhenUsed/>
    <w:qFormat/>
    <w:uiPriority w:val="9"/>
    <w:pPr>
      <w:keepNext/>
      <w:keepLines/>
      <w:numPr>
        <w:ilvl w:val="1"/>
        <w:numId w:val="1"/>
      </w:numPr>
      <w:tabs>
        <w:tab w:val="clear" w:pos="432"/>
      </w:tabs>
      <w:spacing w:before="260" w:beforeLines="0" w:beforeAutospacing="0" w:after="260" w:afterLines="0" w:afterAutospacing="0" w:line="413" w:lineRule="auto"/>
      <w:ind w:left="576" w:hanging="576" w:firstLineChars="0"/>
      <w:outlineLvl w:val="1"/>
    </w:pPr>
    <w:rPr>
      <w:rFonts w:ascii="Arial" w:hAnsi="Arial" w:eastAsia="黑体"/>
      <w:sz w:val="32"/>
    </w:rPr>
  </w:style>
  <w:style w:type="paragraph" w:styleId="4">
    <w:name w:val="heading 3"/>
    <w:basedOn w:val="1"/>
    <w:next w:val="5"/>
    <w:unhideWhenUsed/>
    <w:qFormat/>
    <w:uiPriority w:val="9"/>
    <w:pPr>
      <w:keepNext/>
      <w:keepLines/>
      <w:numPr>
        <w:ilvl w:val="2"/>
        <w:numId w:val="2"/>
      </w:numPr>
      <w:tabs>
        <w:tab w:val="left" w:pos="420"/>
      </w:tabs>
      <w:spacing w:before="260" w:beforeLines="0" w:beforeAutospacing="0" w:after="260" w:afterLines="0" w:afterAutospacing="0" w:line="413" w:lineRule="auto"/>
      <w:ind w:left="720" w:hanging="720"/>
      <w:outlineLvl w:val="2"/>
    </w:pPr>
    <w:rPr>
      <w:sz w:val="32"/>
    </w:rPr>
  </w:style>
  <w:style w:type="paragraph" w:styleId="6">
    <w:name w:val="heading 4"/>
    <w:basedOn w:val="1"/>
    <w:next w:val="1"/>
    <w:unhideWhenUsed/>
    <w:qFormat/>
    <w:uiPriority w:val="9"/>
    <w:pPr>
      <w:keepNext/>
      <w:keepLines/>
      <w:numPr>
        <w:ilvl w:val="3"/>
        <w:numId w:val="2"/>
      </w:numPr>
      <w:tabs>
        <w:tab w:val="left" w:pos="420"/>
      </w:tabs>
      <w:spacing w:before="280" w:beforeLines="0" w:beforeAutospacing="0" w:after="290" w:afterLines="0" w:afterAutospacing="0" w:line="372" w:lineRule="auto"/>
      <w:ind w:left="864" w:hanging="864"/>
      <w:outlineLvl w:val="3"/>
    </w:pPr>
    <w:rPr>
      <w:rFonts w:ascii="Arial" w:hAnsi="Arial" w:eastAsia="黑体"/>
      <w:b/>
      <w:sz w:val="28"/>
    </w:rPr>
  </w:style>
  <w:style w:type="paragraph" w:styleId="7">
    <w:name w:val="heading 5"/>
    <w:basedOn w:val="1"/>
    <w:next w:val="1"/>
    <w:unhideWhenUsed/>
    <w:qFormat/>
    <w:uiPriority w:val="9"/>
    <w:pPr>
      <w:keepNext/>
      <w:keepLines/>
      <w:numPr>
        <w:ilvl w:val="4"/>
        <w:numId w:val="2"/>
      </w:numPr>
      <w:tabs>
        <w:tab w:val="left" w:pos="420"/>
      </w:tabs>
      <w:spacing w:before="280" w:beforeLines="0" w:beforeAutospacing="0" w:after="290" w:afterLines="0" w:afterAutospacing="0" w:line="372" w:lineRule="auto"/>
      <w:ind w:left="1008" w:hanging="1008"/>
      <w:outlineLvl w:val="4"/>
    </w:pPr>
    <w:rPr>
      <w:b/>
      <w:sz w:val="28"/>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customStyle="1" w:styleId="5">
    <w:name w:val="报告正文"/>
    <w:basedOn w:val="1"/>
    <w:qFormat/>
    <w:uiPriority w:val="0"/>
    <w:pPr>
      <w:overflowPunct w:val="0"/>
      <w:spacing w:line="560" w:lineRule="atLeast"/>
      <w:ind w:firstLine="200" w:firstLineChars="200"/>
    </w:pPr>
    <w:rPr>
      <w:rFonts w:ascii="Times New Roman" w:hAnsi="Times New Roman" w:eastAsia="仿宋_GB2312"/>
      <w:sz w:val="32"/>
    </w:rPr>
  </w:style>
  <w:style w:type="paragraph" w:styleId="8">
    <w:name w:val="Body Text"/>
    <w:basedOn w:val="1"/>
    <w:next w:val="9"/>
    <w:qFormat/>
    <w:uiPriority w:val="0"/>
    <w:pPr>
      <w:spacing w:after="120"/>
    </w:pPr>
  </w:style>
  <w:style w:type="paragraph" w:styleId="9">
    <w:name w:val="Title"/>
    <w:basedOn w:val="1"/>
    <w:next w:val="1"/>
    <w:qFormat/>
    <w:uiPriority w:val="0"/>
    <w:pPr>
      <w:widowControl/>
      <w:spacing w:before="240" w:after="60" w:line="560" w:lineRule="exact"/>
      <w:jc w:val="center"/>
      <w:outlineLvl w:val="0"/>
    </w:pPr>
    <w:rPr>
      <w:rFonts w:ascii="Arial" w:hAnsi="Arial" w:eastAsia="华文中宋"/>
      <w:b/>
      <w:bCs/>
      <w:color w:val="FF0000"/>
      <w:kern w:val="0"/>
      <w:sz w:val="116"/>
      <w:szCs w:val="32"/>
    </w:r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3">
    <w:name w:val="Strong"/>
    <w:basedOn w:val="12"/>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3684</Words>
  <Characters>3820</Characters>
  <Lines>0</Lines>
  <Paragraphs>0</Paragraphs>
  <TotalTime>8</TotalTime>
  <ScaleCrop>false</ScaleCrop>
  <LinksUpToDate>false</LinksUpToDate>
  <CharactersWithSpaces>3831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2024-05-14T07:19:00Z</dcterms:created>
  <dc:creator>WPS_1682646102</dc:creator>
  <cp:lastModifiedBy>CMX</cp:lastModifiedBy>
  <dcterms:modified xsi:type="dcterms:W3CDTF">2026-05-28T09:49:25Z</dcterms:modified>
  <cp:revision>1</cp:revision>
</cp:coreProperties>
</file>

<file path=docProps/custom.xml><?xml version="1.0" encoding="utf-8"?>
<op:Properties xmlns:vt="http://schemas.openxmlformats.org/officeDocument/2006/docPropsVTypes" xmlns:op="http://schemas.openxmlformats.org/officeDocument/2006/custom-properties">
  <op:property fmtid="{D5CDD505-2E9C-101B-9397-08002B2CF9AE}" pid="2" name="KSOProductBuildVer">
    <vt:lpwstr>2052-12.1.0.26895</vt:lpwstr>
  </op:property>
  <op:property fmtid="{D5CDD505-2E9C-101B-9397-08002B2CF9AE}" pid="3" name="ICV">
    <vt:lpwstr>BFFB831DB70146EDA0AFF4E0AFDC3FA9</vt:lpwstr>
  </op:property>
  <op:property fmtid="{D5CDD505-2E9C-101B-9397-08002B2CF9AE}" pid="4" name="KSOTemplateDocerSaveRecord">
    <vt:lpwstr>eyJoZGlkIjoiOWU4Mzk5ODg0NjdhNDI0ZmU4NzM3MjUxNjMyNTc4ZWYiLCJ1c2VySWQiOiIyNjUzMTU0MTEifQ==</vt:lpwstr>
  </op:property>
  <op:property fmtid="{D5CDD505-2E9C-101B-9397-08002B2CF9AE}" pid="5" name="WondersoftTag">
    <vt:lpwstr>0C328E9A-6F27-41B6-A997-27B373C7C510#2#C6430281-AE9E4F0E-893397C9-5DE2219F##0</vt:lpwstr>
  </op:property>
</op:Properties>
</file>