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938"/>
        </w:tabs>
        <w:spacing w:line="360" w:lineRule="auto"/>
        <w:rPr>
          <w:rFonts w:ascii="Times New Roman" w:hAnsi="Times New Roman"/>
          <w:b/>
          <w:bCs/>
          <w:color w:val="000000"/>
          <w:sz w:val="32"/>
          <w:szCs w:val="32"/>
        </w:rPr>
      </w:pPr>
      <w:r>
        <w:rPr>
          <w:rFonts w:hint="eastAsia" w:ascii="Times New Roman" w:hAnsi="Times New Roman"/>
          <w:b/>
          <w:bCs/>
          <w:color w:val="000000"/>
          <w:sz w:val="32"/>
          <w:szCs w:val="32"/>
        </w:rPr>
        <w:t>附件1</w:t>
      </w:r>
    </w:p>
    <w:p>
      <w:pPr>
        <w:spacing w:line="500" w:lineRule="exact"/>
        <w:ind w:left="420" w:leftChars="200"/>
        <w:jc w:val="center"/>
        <w:outlineLvl w:val="0"/>
        <w:rPr>
          <w:rFonts w:ascii="Times New Roman" w:hAnsi="Times New Roman"/>
          <w:b/>
          <w:bCs/>
          <w:color w:val="000000"/>
          <w:sz w:val="32"/>
          <w:szCs w:val="32"/>
        </w:rPr>
      </w:pPr>
      <w:r>
        <w:rPr>
          <w:rFonts w:ascii="Times New Roman" w:hAnsi="Times New Roman"/>
          <w:b/>
          <w:bCs/>
          <w:color w:val="000000"/>
          <w:sz w:val="32"/>
          <w:szCs w:val="32"/>
        </w:rPr>
        <w:t>配网不停电作业承包商能力评价要求</w:t>
      </w:r>
    </w:p>
    <w:p>
      <w:pPr>
        <w:spacing w:line="360" w:lineRule="auto"/>
        <w:rPr>
          <w:rFonts w:ascii="Times New Roman" w:hAnsi="Times New Roman"/>
          <w:color w:val="000000" w:themeColor="text1"/>
          <w:sz w:val="24"/>
          <w:szCs w:val="24"/>
          <w14:textFill>
            <w14:solidFill>
              <w14:schemeClr w14:val="tx1"/>
            </w14:solidFill>
          </w14:textFill>
        </w:rPr>
      </w:pPr>
    </w:p>
    <w:p>
      <w:pPr>
        <w:tabs>
          <w:tab w:val="left" w:pos="938"/>
        </w:tabs>
        <w:spacing w:line="360" w:lineRule="auto"/>
        <w:outlineLvl w:val="0"/>
        <w:rPr>
          <w:rFonts w:ascii="Times New Roman" w:hAnsi="Times New Roman"/>
          <w:b/>
          <w:bCs/>
          <w:color w:val="000000"/>
          <w:sz w:val="28"/>
          <w:szCs w:val="28"/>
        </w:rPr>
      </w:pPr>
      <w:r>
        <w:rPr>
          <w:rFonts w:ascii="Times New Roman" w:hAnsi="Times New Roman"/>
          <w:b/>
          <w:bCs/>
          <w:color w:val="000000"/>
          <w:sz w:val="28"/>
          <w:szCs w:val="28"/>
        </w:rPr>
        <w:t>一、</w:t>
      </w:r>
      <w:r>
        <w:rPr>
          <w:rFonts w:hint="eastAsia" w:ascii="Times New Roman" w:hAnsi="Times New Roman"/>
          <w:b/>
          <w:bCs/>
          <w:color w:val="000000"/>
          <w:sz w:val="28"/>
          <w:szCs w:val="28"/>
        </w:rPr>
        <w:t>能力评价</w:t>
      </w:r>
      <w:r>
        <w:rPr>
          <w:rFonts w:ascii="Times New Roman" w:hAnsi="Times New Roman"/>
          <w:b/>
          <w:bCs/>
          <w:color w:val="000000"/>
          <w:sz w:val="28"/>
          <w:szCs w:val="28"/>
        </w:rPr>
        <w:t>项目</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w:t>
      </w:r>
      <w:r>
        <w:rPr>
          <w:rFonts w:ascii="Times New Roman" w:hAnsi="Times New Roman" w:eastAsia="仿宋_GB2312"/>
          <w:sz w:val="28"/>
          <w:szCs w:val="28"/>
        </w:rPr>
        <w:t>承包商</w:t>
      </w:r>
      <w:r>
        <w:rPr>
          <w:rFonts w:hint="eastAsia" w:ascii="Times New Roman" w:hAnsi="Times New Roman" w:eastAsia="仿宋_GB2312"/>
          <w:sz w:val="28"/>
          <w:szCs w:val="28"/>
        </w:rPr>
        <w:t>应综合评估本</w:t>
      </w:r>
      <w:r>
        <w:rPr>
          <w:rFonts w:ascii="Times New Roman" w:hAnsi="Times New Roman" w:eastAsia="仿宋_GB2312"/>
          <w:sz w:val="28"/>
          <w:szCs w:val="28"/>
        </w:rPr>
        <w:t>企业</w:t>
      </w:r>
      <w:r>
        <w:rPr>
          <w:rFonts w:hint="eastAsia" w:ascii="Times New Roman" w:hAnsi="Times New Roman" w:eastAsia="仿宋_GB2312"/>
          <w:sz w:val="28"/>
          <w:szCs w:val="28"/>
        </w:rPr>
        <w:t>人员、装备、技能、管理等</w:t>
      </w:r>
      <w:r>
        <w:rPr>
          <w:rFonts w:ascii="Times New Roman" w:hAnsi="Times New Roman" w:eastAsia="仿宋_GB2312"/>
          <w:sz w:val="28"/>
          <w:szCs w:val="28"/>
        </w:rPr>
        <w:t>情况，</w:t>
      </w:r>
      <w:r>
        <w:rPr>
          <w:rFonts w:hint="eastAsia" w:ascii="Times New Roman" w:hAnsi="Times New Roman" w:eastAsia="仿宋_GB2312"/>
          <w:sz w:val="28"/>
          <w:szCs w:val="28"/>
        </w:rPr>
        <w:t>自行选择附件2中附表2的大类作业</w:t>
      </w:r>
      <w:r>
        <w:rPr>
          <w:rFonts w:ascii="Times New Roman" w:hAnsi="Times New Roman" w:eastAsia="仿宋_GB2312"/>
          <w:sz w:val="28"/>
          <w:szCs w:val="28"/>
        </w:rPr>
        <w:t>项目申请</w:t>
      </w:r>
      <w:r>
        <w:rPr>
          <w:rFonts w:hint="eastAsia" w:ascii="Times New Roman" w:hAnsi="Times New Roman" w:eastAsia="仿宋_GB2312"/>
          <w:sz w:val="28"/>
          <w:szCs w:val="28"/>
        </w:rPr>
        <w:t>评价，考核项目与南方电网公司41项配网不停电作业项目映射关系见附件2中附表2。</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实操考核按附件2中表2的大类作业项目开展考评，不再单独考评大类作业项目所包含的小类作业项目。考生若已有大类作业项目中部分小类作业项目资格，报考时也应按大类作业项目申报。考生通过大类作业项目考评后可获得相应的小类作业项目资格，大类作业项目考评不通过，则不能获得相应小类作业项目资格。例1：考试已有PX7-1 10kV线路带电接引流线（小类序号1）资格，但无PX7-2 10kV线路带电断引流线（小类序号2）资格，则报考绝缘手套作业法带电断、接引线（大类序号1）。例2：考试已有PX7-1 10kV线路带电接引流线（小类序号1）和PX7-2 10kV线路带电断引流线（小类序号2）资格，则不用再报考绝缘手套作业法带电断、接引线（大类序号1）。</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3.大类序号1为必过项，考生若无绝缘手套作业法带电断、接引线（大类序号1）资格，则必须通过该项目考评后才能参加其他大类作业项目考评。</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4.每个作业项目通过能力评价人员不少于16人，方可认定承包商获得该作业项目资格。</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5.存量承包商需提供绝缘手套作业法带电立（撤）电杆、绝缘手套作业法带负荷直线改耐张（终端）杆、综合作业法带负荷安装（拆除）柱上开关、绝缘杆作业法带电接引线等4类作业项目至少各1张已执行的带电作业工作票，不能提供者需重新报考对应大类作业项目。</w:t>
      </w:r>
      <w:r>
        <w:rPr>
          <w:rFonts w:ascii="Times New Roman" w:hAnsi="Times New Roman" w:eastAsia="仿宋_GB2312"/>
          <w:sz w:val="28"/>
          <w:szCs w:val="28"/>
        </w:rPr>
        <w:t>上述带电作业工作票应为广西电网系统内已终结工作票且工作计划时间在2025年</w:t>
      </w:r>
      <w:r>
        <w:rPr>
          <w:rFonts w:hint="eastAsia" w:ascii="Times New Roman" w:hAnsi="Times New Roman" w:eastAsia="仿宋_GB2312"/>
          <w:sz w:val="28"/>
          <w:szCs w:val="28"/>
        </w:rPr>
        <w:t>4</w:t>
      </w:r>
      <w:r>
        <w:rPr>
          <w:rFonts w:ascii="Times New Roman" w:hAnsi="Times New Roman" w:eastAsia="仿宋_GB2312"/>
          <w:sz w:val="28"/>
          <w:szCs w:val="28"/>
        </w:rPr>
        <w:t>月</w:t>
      </w:r>
      <w:r>
        <w:rPr>
          <w:rFonts w:hint="eastAsia" w:ascii="Times New Roman" w:hAnsi="Times New Roman" w:eastAsia="仿宋_GB2312"/>
          <w:sz w:val="28"/>
          <w:szCs w:val="28"/>
        </w:rPr>
        <w:t>1</w:t>
      </w:r>
      <w:r>
        <w:rPr>
          <w:rFonts w:ascii="Times New Roman" w:hAnsi="Times New Roman" w:eastAsia="仿宋_GB2312"/>
          <w:sz w:val="28"/>
          <w:szCs w:val="28"/>
        </w:rPr>
        <w:t>日至2026年3月31日内</w:t>
      </w:r>
      <w:r>
        <w:rPr>
          <w:rFonts w:hint="eastAsia"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6.有效期内的承包商存在下列行为的，取消其对应作业项目资格，并在本次能力评价时予以确认：</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（1）自上年结果公告之日起至本年能力评价公告之日止，承包商实际未开展该作业项目且未通过本年能力评价的，取消该承包商对应作业项目资格。</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（2）承包商注销公司的，取消该承包商所以作业项目资格。</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w:t>
      </w:r>
      <w:r>
        <w:rPr>
          <w:rFonts w:ascii="Times New Roman" w:hAnsi="Times New Roman" w:eastAsia="仿宋_GB2312"/>
          <w:sz w:val="28"/>
          <w:szCs w:val="28"/>
        </w:rPr>
        <w:t>3</w:t>
      </w:r>
      <w:r>
        <w:rPr>
          <w:rFonts w:hint="eastAsia" w:ascii="Times New Roman" w:hAnsi="Times New Roman" w:eastAsia="仿宋_GB2312"/>
          <w:sz w:val="28"/>
          <w:szCs w:val="28"/>
        </w:rPr>
        <w:t>）自上年结果公告之日起至本年能力评价公告之日止，承包商隐瞒作业人员A、B类违章，取消承包商对应A、B类违章的作业项目资格。</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7.承包商作业人员存在以下情况的，不允许报名参加本次能力评价：</w:t>
      </w:r>
    </w:p>
    <w:p>
      <w:pPr>
        <w:numPr>
          <w:ilvl w:val="0"/>
          <w:numId w:val="1"/>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存量作业人员和新增作业人员，执行带电作业工作票总数为0张的，不得报名本次能力评价。上述带电作业工作票应为广西电网系统内已终结工作票且工作计划时间在2025年4月1日至2026年3月31日内，手写变更的工作班人员不统计本次票数。</w:t>
      </w:r>
      <w:r>
        <w:rPr>
          <w:rFonts w:ascii="Times New Roman" w:hAnsi="Times New Roman" w:eastAsia="仿宋_GB2312"/>
          <w:sz w:val="28"/>
          <w:szCs w:val="28"/>
        </w:rPr>
        <w:t>附件7</w:t>
      </w:r>
      <w:r>
        <w:rPr>
          <w:rFonts w:hint="eastAsia" w:ascii="Times New Roman" w:hAnsi="Times New Roman" w:eastAsia="仿宋_GB2312"/>
          <w:sz w:val="28"/>
          <w:szCs w:val="28"/>
        </w:rPr>
        <w:t>已统计</w:t>
      </w:r>
      <w:r>
        <w:rPr>
          <w:rFonts w:ascii="Times New Roman" w:hAnsi="Times New Roman" w:eastAsia="仿宋_GB2312"/>
          <w:sz w:val="28"/>
          <w:szCs w:val="28"/>
        </w:rPr>
        <w:t>工作票数量</w:t>
      </w:r>
      <w:r>
        <w:rPr>
          <w:rFonts w:hint="eastAsia" w:ascii="Times New Roman" w:hAnsi="Times New Roman" w:eastAsia="仿宋_GB2312"/>
          <w:sz w:val="28"/>
          <w:szCs w:val="28"/>
        </w:rPr>
        <w:t>为0</w:t>
      </w:r>
      <w:r>
        <w:rPr>
          <w:rFonts w:ascii="Times New Roman" w:hAnsi="Times New Roman" w:eastAsia="仿宋_GB2312"/>
          <w:sz w:val="28"/>
          <w:szCs w:val="28"/>
        </w:rPr>
        <w:t>的</w:t>
      </w:r>
      <w:r>
        <w:rPr>
          <w:rFonts w:hint="eastAsia" w:ascii="Times New Roman" w:hAnsi="Times New Roman" w:eastAsia="仿宋_GB2312"/>
          <w:sz w:val="28"/>
          <w:szCs w:val="28"/>
        </w:rPr>
        <w:t>部分</w:t>
      </w:r>
      <w:r>
        <w:rPr>
          <w:rFonts w:ascii="Times New Roman" w:hAnsi="Times New Roman" w:eastAsia="仿宋_GB2312"/>
          <w:sz w:val="28"/>
          <w:szCs w:val="28"/>
        </w:rPr>
        <w:t>存量</w:t>
      </w:r>
      <w:r>
        <w:rPr>
          <w:rFonts w:hint="eastAsia" w:ascii="Times New Roman" w:hAnsi="Times New Roman" w:eastAsia="仿宋_GB2312"/>
          <w:sz w:val="28"/>
          <w:szCs w:val="28"/>
        </w:rPr>
        <w:t>作业</w:t>
      </w:r>
      <w:r>
        <w:rPr>
          <w:rFonts w:ascii="Times New Roman" w:hAnsi="Times New Roman" w:eastAsia="仿宋_GB2312"/>
          <w:sz w:val="28"/>
          <w:szCs w:val="28"/>
        </w:rPr>
        <w:t>人员。</w:t>
      </w:r>
    </w:p>
    <w:p>
      <w:pPr>
        <w:numPr>
          <w:ilvl w:val="0"/>
          <w:numId w:val="1"/>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2024年4月1日至2026年3月31日内，即两个周期内，发生2次及以上</w:t>
      </w:r>
      <w:r>
        <w:rPr>
          <w:rFonts w:ascii="Times New Roman" w:hAnsi="Times New Roman" w:eastAsia="仿宋_GB2312"/>
          <w:sz w:val="28"/>
          <w:szCs w:val="28"/>
        </w:rPr>
        <w:t>A</w:t>
      </w:r>
      <w:r>
        <w:rPr>
          <w:rFonts w:hint="eastAsia" w:ascii="Times New Roman" w:hAnsi="Times New Roman" w:eastAsia="仿宋_GB2312"/>
          <w:sz w:val="28"/>
          <w:szCs w:val="28"/>
        </w:rPr>
        <w:t>类违章人员禁止参加本次能力评价。</w:t>
      </w:r>
    </w:p>
    <w:p>
      <w:pPr>
        <w:tabs>
          <w:tab w:val="left" w:pos="938"/>
        </w:tabs>
        <w:spacing w:line="360" w:lineRule="auto"/>
        <w:outlineLvl w:val="0"/>
        <w:rPr>
          <w:rFonts w:ascii="Times New Roman" w:hAnsi="Times New Roman"/>
          <w:b/>
          <w:bCs/>
          <w:color w:val="000000"/>
          <w:sz w:val="28"/>
          <w:szCs w:val="28"/>
        </w:rPr>
      </w:pPr>
      <w:r>
        <w:rPr>
          <w:rFonts w:hint="eastAsia" w:ascii="Times New Roman" w:hAnsi="Times New Roman"/>
          <w:b/>
          <w:bCs/>
          <w:color w:val="000000"/>
          <w:sz w:val="28"/>
          <w:szCs w:val="28"/>
        </w:rPr>
        <w:t>二</w:t>
      </w:r>
      <w:r>
        <w:rPr>
          <w:rFonts w:ascii="Times New Roman" w:hAnsi="Times New Roman"/>
          <w:b/>
          <w:bCs/>
          <w:color w:val="000000"/>
          <w:sz w:val="28"/>
          <w:szCs w:val="28"/>
        </w:rPr>
        <w:t>、</w:t>
      </w:r>
      <w:r>
        <w:rPr>
          <w:rFonts w:hint="eastAsia" w:ascii="Times New Roman" w:hAnsi="Times New Roman"/>
          <w:b/>
          <w:bCs/>
          <w:color w:val="000000"/>
          <w:sz w:val="28"/>
          <w:szCs w:val="28"/>
        </w:rPr>
        <w:t>能力评价对象</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（一）新增能力评价的承包商（含作业人员）</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未通过广西电网公司2025年度配网不停电作业承包商能力评价的承包商，均认定为新增承包商及新增作业人员。新增承包商须参加本次能力评价，若存量作业人员加入新增承包商，存量作业人员按照新增作业人员管理要求重新参加理论和实操考核。</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并且，属于“</w:t>
      </w:r>
      <w:r>
        <w:rPr>
          <w:rFonts w:ascii="Times New Roman" w:hAnsi="Times New Roman" w:eastAsia="仿宋_GB2312"/>
          <w:sz w:val="28"/>
          <w:szCs w:val="28"/>
        </w:rPr>
        <w:t>一、能力评价项目</w:t>
      </w:r>
      <w:r>
        <w:rPr>
          <w:rFonts w:hint="eastAsia" w:ascii="Times New Roman" w:hAnsi="Times New Roman" w:eastAsia="仿宋_GB2312"/>
          <w:sz w:val="28"/>
          <w:szCs w:val="28"/>
        </w:rPr>
        <w:t>”章节第7点的作业人员，</w:t>
      </w:r>
      <w:r>
        <w:rPr>
          <w:rFonts w:ascii="Times New Roman" w:hAnsi="Times New Roman" w:eastAsia="仿宋_GB2312"/>
          <w:sz w:val="28"/>
          <w:szCs w:val="28"/>
        </w:rPr>
        <w:t>不允许报名参加本次能力评价</w:t>
      </w:r>
      <w:r>
        <w:rPr>
          <w:rFonts w:hint="eastAsia"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（二）存量能力评价的承包商（含作业人员）</w:t>
      </w:r>
    </w:p>
    <w:p>
      <w:pPr>
        <w:numPr>
          <w:ilvl w:val="255"/>
          <w:numId w:val="0"/>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通过广西电网公司2025年度配网不停电作业承包商能力评价的，均认定为存量承包商及存量作业人员，存量承包商及存量作业人员存在以下情况之一者须参加能力评价，</w:t>
      </w:r>
      <w:r>
        <w:rPr>
          <w:rFonts w:ascii="Times New Roman" w:hAnsi="Times New Roman" w:eastAsia="仿宋_GB2312"/>
          <w:sz w:val="28"/>
          <w:szCs w:val="28"/>
        </w:rPr>
        <w:t>并且，属于“一、能力评价项目”章节第7点的作业人员，不允许报名参加本次能力评价。</w:t>
      </w:r>
    </w:p>
    <w:p>
      <w:pPr>
        <w:numPr>
          <w:ilvl w:val="255"/>
          <w:numId w:val="0"/>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（1）存量承包商新增作业人员需参加理论和实操考核。</w:t>
      </w:r>
    </w:p>
    <w:p>
      <w:pPr>
        <w:numPr>
          <w:ilvl w:val="255"/>
          <w:numId w:val="0"/>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（2）A、B类违章存量作业人员，需重新参加理论考核和绝缘手套作业法带电断、接引流线（大类序号1）实操考核，通过后该作业人员方可续期或参加新增作业项目考核。</w:t>
      </w:r>
    </w:p>
    <w:p>
      <w:pPr>
        <w:numPr>
          <w:ilvl w:val="255"/>
          <w:numId w:val="0"/>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（3）存量作业人员需新增作业项目的，需参加理论和实操考核。</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4）执行带电作业工作票总数小于120张的现场作业人员，应按照新增作业人员重新参加理论和实操考核。上述带电作业工作票应为广西电网系统内已终结工作票且工作计划时间在2025年4月1日至2026年3月31日内，手写变更的工作班人员不统计本次票数。不满足工作票数量的存量人员详见附件7。</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不新增人员和作业项目的存量承包商</w:t>
      </w:r>
      <w:r>
        <w:rPr>
          <w:rFonts w:hint="eastAsia" w:ascii="Times New Roman" w:hAnsi="Times New Roman" w:eastAsia="仿宋_GB2312"/>
          <w:sz w:val="28"/>
          <w:szCs w:val="28"/>
        </w:rPr>
        <w:t>、</w:t>
      </w:r>
      <w:r>
        <w:rPr>
          <w:rFonts w:ascii="Times New Roman" w:hAnsi="Times New Roman" w:eastAsia="仿宋_GB2312"/>
          <w:sz w:val="28"/>
          <w:szCs w:val="28"/>
        </w:rPr>
        <w:t>不新增作业项目的存量作业人员</w:t>
      </w:r>
      <w:r>
        <w:rPr>
          <w:rFonts w:hint="eastAsia" w:ascii="Times New Roman" w:hAnsi="Times New Roman" w:eastAsia="仿宋_GB2312"/>
          <w:sz w:val="28"/>
          <w:szCs w:val="28"/>
        </w:rPr>
        <w:t>只需开展文件评审和现场核实，评审通过后可续期相应资格。存量作业人员已申请续期，同时报考新增项目，但新增项目考核未通过的，存量作业人员原有作业项目仍可续期。</w:t>
      </w:r>
    </w:p>
    <w:p>
      <w:pPr>
        <w:tabs>
          <w:tab w:val="left" w:pos="938"/>
        </w:tabs>
        <w:spacing w:line="360" w:lineRule="auto"/>
        <w:outlineLvl w:val="0"/>
        <w:rPr>
          <w:rFonts w:ascii="Times New Roman" w:hAnsi="Times New Roman"/>
          <w:b/>
          <w:bCs/>
          <w:color w:val="000000"/>
          <w:sz w:val="28"/>
          <w:szCs w:val="28"/>
        </w:rPr>
      </w:pPr>
      <w:r>
        <w:rPr>
          <w:rFonts w:ascii="Times New Roman" w:hAnsi="Times New Roman"/>
          <w:b/>
          <w:bCs/>
          <w:color w:val="000000"/>
          <w:sz w:val="28"/>
          <w:szCs w:val="28"/>
        </w:rPr>
        <w:t>二、承包商</w:t>
      </w:r>
      <w:r>
        <w:rPr>
          <w:rFonts w:hint="eastAsia" w:ascii="Times New Roman" w:hAnsi="Times New Roman"/>
          <w:b/>
          <w:bCs/>
          <w:color w:val="000000"/>
          <w:sz w:val="28"/>
          <w:szCs w:val="28"/>
        </w:rPr>
        <w:t>资格</w:t>
      </w:r>
      <w:r>
        <w:rPr>
          <w:rFonts w:ascii="Times New Roman" w:hAnsi="Times New Roman"/>
          <w:b/>
          <w:bCs/>
          <w:color w:val="000000"/>
          <w:sz w:val="28"/>
          <w:szCs w:val="28"/>
        </w:rPr>
        <w:t>要求</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（一）企业要求</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w:t>
      </w:r>
      <w:r>
        <w:rPr>
          <w:rFonts w:ascii="Times New Roman" w:hAnsi="Times New Roman" w:eastAsia="仿宋_GB2312"/>
          <w:sz w:val="28"/>
          <w:szCs w:val="28"/>
        </w:rPr>
        <w:t>中华人民共和国境内注册合法运作的企业法人或具有企业法人授权的其他组织，具有独立承担民事责任的能力和独立履行合同的能力。</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2</w:t>
      </w:r>
      <w:r>
        <w:rPr>
          <w:rFonts w:hint="eastAsia" w:ascii="Times New Roman" w:hAnsi="Times New Roman" w:eastAsia="仿宋_GB2312"/>
          <w:sz w:val="28"/>
          <w:szCs w:val="28"/>
        </w:rPr>
        <w:t>.</w:t>
      </w:r>
      <w:r>
        <w:rPr>
          <w:rFonts w:ascii="Times New Roman" w:hAnsi="Times New Roman" w:eastAsia="仿宋_GB2312"/>
          <w:sz w:val="28"/>
          <w:szCs w:val="28"/>
        </w:rPr>
        <w:t>未受到南方电网有限责任公司</w:t>
      </w:r>
      <w:r>
        <w:rPr>
          <w:rFonts w:hint="eastAsia" w:ascii="Times New Roman" w:hAnsi="Times New Roman" w:eastAsia="仿宋_GB2312"/>
          <w:sz w:val="28"/>
          <w:szCs w:val="28"/>
        </w:rPr>
        <w:t>、</w:t>
      </w:r>
      <w:r>
        <w:rPr>
          <w:rFonts w:ascii="Times New Roman" w:hAnsi="Times New Roman" w:eastAsia="仿宋_GB2312"/>
          <w:sz w:val="28"/>
          <w:szCs w:val="28"/>
        </w:rPr>
        <w:t>广西电网有限责任公司处罚并明令市场禁入。</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3</w:t>
      </w:r>
      <w:r>
        <w:rPr>
          <w:rFonts w:hint="eastAsia" w:ascii="Times New Roman" w:hAnsi="Times New Roman" w:eastAsia="仿宋_GB2312"/>
          <w:sz w:val="28"/>
          <w:szCs w:val="28"/>
        </w:rPr>
        <w:t>.</w:t>
      </w:r>
      <w:r>
        <w:rPr>
          <w:rFonts w:ascii="Times New Roman" w:hAnsi="Times New Roman" w:eastAsia="仿宋_GB2312"/>
          <w:sz w:val="28"/>
          <w:szCs w:val="28"/>
        </w:rPr>
        <w:t>承包商应</w:t>
      </w:r>
      <w:r>
        <w:rPr>
          <w:rFonts w:hint="eastAsia" w:ascii="Times New Roman" w:hAnsi="Times New Roman" w:eastAsia="仿宋_GB2312"/>
          <w:sz w:val="28"/>
          <w:szCs w:val="28"/>
        </w:rPr>
        <w:t>具备</w:t>
      </w:r>
      <w:r>
        <w:rPr>
          <w:rFonts w:ascii="Times New Roman" w:hAnsi="Times New Roman" w:eastAsia="仿宋_GB2312"/>
          <w:sz w:val="28"/>
          <w:szCs w:val="28"/>
        </w:rPr>
        <w:t>：工商部门颁发的营业执照（副本）；住建部门颁发的</w:t>
      </w:r>
      <w:r>
        <w:rPr>
          <w:rFonts w:hint="eastAsia" w:ascii="Times New Roman" w:hAnsi="Times New Roman" w:eastAsia="仿宋_GB2312"/>
          <w:sz w:val="28"/>
          <w:szCs w:val="28"/>
        </w:rPr>
        <w:t>资格</w:t>
      </w:r>
      <w:r>
        <w:rPr>
          <w:rFonts w:ascii="Times New Roman" w:hAnsi="Times New Roman" w:eastAsia="仿宋_GB2312"/>
          <w:sz w:val="28"/>
          <w:szCs w:val="28"/>
        </w:rPr>
        <w:t>证书，企业</w:t>
      </w:r>
      <w:r>
        <w:rPr>
          <w:rFonts w:hint="eastAsia" w:ascii="Times New Roman" w:hAnsi="Times New Roman" w:eastAsia="仿宋_GB2312"/>
          <w:sz w:val="28"/>
          <w:szCs w:val="28"/>
        </w:rPr>
        <w:t>资格</w:t>
      </w:r>
      <w:r>
        <w:rPr>
          <w:rFonts w:ascii="Times New Roman" w:hAnsi="Times New Roman" w:eastAsia="仿宋_GB2312"/>
          <w:sz w:val="28"/>
          <w:szCs w:val="28"/>
        </w:rPr>
        <w:t>的承包工程范围应包括10kV送电线路施工；能源局颁发的《承装（修、试）电力设施</w:t>
      </w:r>
      <w:r>
        <w:rPr>
          <w:rFonts w:hint="eastAsia" w:ascii="Times New Roman" w:hAnsi="Times New Roman" w:eastAsia="仿宋_GB2312"/>
          <w:sz w:val="28"/>
          <w:szCs w:val="28"/>
        </w:rPr>
        <w:t>许可</w:t>
      </w:r>
      <w:r>
        <w:rPr>
          <w:rFonts w:ascii="Times New Roman" w:hAnsi="Times New Roman" w:eastAsia="仿宋_GB2312"/>
          <w:sz w:val="28"/>
          <w:szCs w:val="28"/>
        </w:rPr>
        <w:t>证》承装、承修类五级及以上等级</w:t>
      </w:r>
      <w:r>
        <w:rPr>
          <w:rFonts w:hint="eastAsia" w:ascii="Times New Roman" w:hAnsi="Times New Roman" w:eastAsia="仿宋_GB2312"/>
          <w:sz w:val="28"/>
          <w:szCs w:val="28"/>
        </w:rPr>
        <w:t>许可</w:t>
      </w:r>
      <w:r>
        <w:rPr>
          <w:rFonts w:ascii="Times New Roman" w:hAnsi="Times New Roman" w:eastAsia="仿宋_GB2312"/>
          <w:sz w:val="28"/>
          <w:szCs w:val="28"/>
        </w:rPr>
        <w:t>证；住建部门颁发的安全生产</w:t>
      </w:r>
      <w:r>
        <w:rPr>
          <w:rFonts w:hint="eastAsia" w:ascii="Times New Roman" w:hAnsi="Times New Roman" w:eastAsia="仿宋_GB2312"/>
          <w:sz w:val="28"/>
          <w:szCs w:val="28"/>
        </w:rPr>
        <w:t>许可</w:t>
      </w:r>
      <w:r>
        <w:rPr>
          <w:rFonts w:ascii="Times New Roman" w:hAnsi="Times New Roman" w:eastAsia="仿宋_GB2312"/>
          <w:sz w:val="28"/>
          <w:szCs w:val="28"/>
        </w:rPr>
        <w:t>证。上述证件</w:t>
      </w:r>
      <w:r>
        <w:rPr>
          <w:rFonts w:hint="eastAsia" w:ascii="Times New Roman" w:hAnsi="Times New Roman" w:eastAsia="仿宋_GB2312"/>
          <w:sz w:val="28"/>
          <w:szCs w:val="28"/>
        </w:rPr>
        <w:t>应在有效期内，且在网上可查证真伪</w:t>
      </w:r>
      <w:r>
        <w:rPr>
          <w:rFonts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4</w:t>
      </w:r>
      <w:r>
        <w:rPr>
          <w:rFonts w:hint="eastAsia" w:ascii="Times New Roman" w:hAnsi="Times New Roman" w:eastAsia="仿宋_GB2312"/>
          <w:sz w:val="28"/>
          <w:szCs w:val="28"/>
        </w:rPr>
        <w:t>.</w:t>
      </w:r>
      <w:r>
        <w:rPr>
          <w:rFonts w:ascii="Times New Roman" w:hAnsi="Times New Roman" w:eastAsia="仿宋_GB2312"/>
          <w:sz w:val="28"/>
          <w:szCs w:val="28"/>
        </w:rPr>
        <w:t>承包商建立</w:t>
      </w:r>
      <w:r>
        <w:rPr>
          <w:rFonts w:hint="eastAsia" w:ascii="Times New Roman" w:hAnsi="Times New Roman" w:eastAsia="仿宋_GB2312"/>
          <w:sz w:val="28"/>
          <w:szCs w:val="28"/>
        </w:rPr>
        <w:t>有效</w:t>
      </w:r>
      <w:r>
        <w:rPr>
          <w:rFonts w:ascii="Times New Roman" w:hAnsi="Times New Roman" w:eastAsia="仿宋_GB2312"/>
          <w:sz w:val="28"/>
          <w:szCs w:val="28"/>
        </w:rPr>
        <w:t>的不停电作业组织机构并设置</w:t>
      </w:r>
      <w:r>
        <w:rPr>
          <w:rFonts w:hint="eastAsia" w:ascii="Times New Roman" w:hAnsi="Times New Roman" w:eastAsia="仿宋_GB2312"/>
          <w:sz w:val="28"/>
          <w:szCs w:val="28"/>
        </w:rPr>
        <w:t>专职</w:t>
      </w:r>
      <w:r>
        <w:rPr>
          <w:rFonts w:ascii="Times New Roman" w:hAnsi="Times New Roman" w:eastAsia="仿宋_GB2312"/>
          <w:sz w:val="28"/>
          <w:szCs w:val="28"/>
        </w:rPr>
        <w:t>管理人员</w:t>
      </w:r>
      <w:r>
        <w:rPr>
          <w:rFonts w:hint="eastAsia" w:ascii="Times New Roman" w:hAnsi="Times New Roman" w:eastAsia="仿宋_GB2312"/>
          <w:sz w:val="28"/>
          <w:szCs w:val="28"/>
        </w:rPr>
        <w:t>，应在广西辖区内一个或以上的地市设置项目部，每个项目部至少配置项目经理及安全员各1人，项目经理、安全员持对应等级有效证书。项目部合计</w:t>
      </w:r>
      <w:r>
        <w:rPr>
          <w:rFonts w:ascii="Times New Roman" w:hAnsi="Times New Roman" w:eastAsia="仿宋_GB2312"/>
          <w:sz w:val="28"/>
          <w:szCs w:val="28"/>
        </w:rPr>
        <w:t>配备不少于</w:t>
      </w:r>
      <w:r>
        <w:rPr>
          <w:rFonts w:hint="eastAsia" w:ascii="Times New Roman" w:hAnsi="Times New Roman" w:eastAsia="仿宋_GB2312"/>
          <w:sz w:val="28"/>
          <w:szCs w:val="28"/>
        </w:rPr>
        <w:t>16</w:t>
      </w:r>
      <w:r>
        <w:rPr>
          <w:rFonts w:ascii="Times New Roman" w:hAnsi="Times New Roman" w:eastAsia="仿宋_GB2312"/>
          <w:sz w:val="28"/>
          <w:szCs w:val="28"/>
        </w:rPr>
        <w:t>名不停电作业</w:t>
      </w:r>
      <w:r>
        <w:rPr>
          <w:rFonts w:hint="eastAsia" w:ascii="Times New Roman" w:hAnsi="Times New Roman" w:eastAsia="仿宋_GB2312"/>
          <w:sz w:val="28"/>
          <w:szCs w:val="28"/>
        </w:rPr>
        <w:t>持证</w:t>
      </w:r>
      <w:r>
        <w:rPr>
          <w:rFonts w:ascii="Times New Roman" w:hAnsi="Times New Roman" w:eastAsia="仿宋_GB2312"/>
          <w:sz w:val="28"/>
          <w:szCs w:val="28"/>
        </w:rPr>
        <w:t>人员</w:t>
      </w:r>
      <w:r>
        <w:rPr>
          <w:rFonts w:hint="eastAsia" w:ascii="Times New Roman" w:hAnsi="Times New Roman" w:eastAsia="仿宋_GB2312"/>
          <w:sz w:val="28"/>
          <w:szCs w:val="28"/>
        </w:rPr>
        <w:t>。专职管理人员及不停电作业人员社保证明至挂网公告日起满3个月，社保须包含工伤、医疗、失业等保险。</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5</w:t>
      </w:r>
      <w:r>
        <w:rPr>
          <w:rFonts w:hint="eastAsia" w:ascii="Times New Roman" w:hAnsi="Times New Roman" w:eastAsia="仿宋_GB2312"/>
          <w:sz w:val="28"/>
          <w:szCs w:val="28"/>
        </w:rPr>
        <w:t>.承包商应</w:t>
      </w:r>
      <w:r>
        <w:rPr>
          <w:rFonts w:ascii="Times New Roman" w:hAnsi="Times New Roman" w:eastAsia="仿宋_GB2312"/>
          <w:sz w:val="28"/>
          <w:szCs w:val="28"/>
        </w:rPr>
        <w:t>配备</w:t>
      </w:r>
      <w:r>
        <w:rPr>
          <w:rFonts w:hint="eastAsia" w:ascii="Times New Roman" w:hAnsi="Times New Roman" w:eastAsia="仿宋_GB2312"/>
          <w:sz w:val="28"/>
          <w:szCs w:val="28"/>
        </w:rPr>
        <w:t>满足申报项目所需的</w:t>
      </w:r>
      <w:r>
        <w:rPr>
          <w:rFonts w:ascii="Times New Roman" w:hAnsi="Times New Roman" w:eastAsia="仿宋_GB2312"/>
          <w:sz w:val="28"/>
          <w:szCs w:val="28"/>
        </w:rPr>
        <w:t>绝缘斗臂车</w:t>
      </w:r>
      <w:r>
        <w:rPr>
          <w:rFonts w:hint="eastAsia" w:ascii="Times New Roman" w:hAnsi="Times New Roman" w:eastAsia="仿宋_GB2312"/>
          <w:sz w:val="28"/>
          <w:szCs w:val="28"/>
        </w:rPr>
        <w:t>、</w:t>
      </w:r>
      <w:r>
        <w:rPr>
          <w:rFonts w:ascii="Times New Roman" w:hAnsi="Times New Roman" w:eastAsia="仿宋_GB2312"/>
          <w:sz w:val="28"/>
          <w:szCs w:val="28"/>
        </w:rPr>
        <w:t>不停电作业工器具</w:t>
      </w:r>
      <w:r>
        <w:rPr>
          <w:rFonts w:hint="eastAsia" w:ascii="Times New Roman" w:hAnsi="Times New Roman" w:eastAsia="仿宋_GB2312"/>
          <w:sz w:val="28"/>
          <w:szCs w:val="28"/>
        </w:rPr>
        <w:t>、仪器仪表等。单个项目部的最低工器具及装备配置必须满足附件2附表1最低配置要求。承包商</w:t>
      </w:r>
      <w:r>
        <w:rPr>
          <w:rFonts w:ascii="Times New Roman" w:hAnsi="Times New Roman" w:eastAsia="仿宋_GB2312"/>
          <w:sz w:val="28"/>
          <w:szCs w:val="28"/>
        </w:rPr>
        <w:t>应</w:t>
      </w:r>
      <w:r>
        <w:rPr>
          <w:rFonts w:hint="eastAsia" w:ascii="Times New Roman" w:hAnsi="Times New Roman" w:eastAsia="仿宋_GB2312"/>
          <w:sz w:val="28"/>
          <w:szCs w:val="28"/>
        </w:rPr>
        <w:t>在广西辖区项目部</w:t>
      </w:r>
      <w:r>
        <w:rPr>
          <w:rFonts w:ascii="Times New Roman" w:hAnsi="Times New Roman" w:eastAsia="仿宋_GB2312"/>
          <w:sz w:val="28"/>
          <w:szCs w:val="28"/>
        </w:rPr>
        <w:t>配置合格的绝缘斗臂车车库，</w:t>
      </w:r>
      <w:r>
        <w:rPr>
          <w:rFonts w:hint="eastAsia" w:ascii="Times New Roman" w:hAnsi="Times New Roman" w:eastAsia="仿宋_GB2312"/>
          <w:sz w:val="28"/>
          <w:szCs w:val="28"/>
        </w:rPr>
        <w:t>配置合格的配网不停电作业</w:t>
      </w:r>
      <w:r>
        <w:rPr>
          <w:rFonts w:ascii="Times New Roman" w:hAnsi="Times New Roman" w:eastAsia="仿宋_GB2312"/>
          <w:sz w:val="28"/>
          <w:szCs w:val="28"/>
        </w:rPr>
        <w:t>工器具库房。不同承包商租赁或使用同一车辆、工器具、库房等，该车辆、工器具、库房等对所有涉及租赁方、拥有方的承包商均按数量0统计。</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6</w:t>
      </w:r>
      <w:r>
        <w:rPr>
          <w:rFonts w:hint="eastAsia" w:ascii="Times New Roman" w:hAnsi="Times New Roman" w:eastAsia="仿宋_GB2312"/>
          <w:sz w:val="28"/>
          <w:szCs w:val="28"/>
        </w:rPr>
        <w:t>.</w:t>
      </w:r>
      <w:r>
        <w:rPr>
          <w:rFonts w:ascii="Times New Roman" w:hAnsi="Times New Roman" w:eastAsia="仿宋_GB2312"/>
          <w:sz w:val="28"/>
          <w:szCs w:val="28"/>
        </w:rPr>
        <w:t>制定本企业不停电作业相关各项规章制度，确保管理记录及资料齐全。不停电作业班组配备满足日常培训、管理用微机等办公设备，可自行浏览、录入不停电作业相关信息系统所要求的有关资料、数据。</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7</w:t>
      </w:r>
      <w:r>
        <w:rPr>
          <w:rFonts w:hint="eastAsia" w:ascii="Times New Roman" w:hAnsi="Times New Roman" w:eastAsia="仿宋_GB2312"/>
          <w:sz w:val="28"/>
          <w:szCs w:val="28"/>
        </w:rPr>
        <w:t>.</w:t>
      </w:r>
      <w:r>
        <w:rPr>
          <w:rFonts w:ascii="Times New Roman" w:hAnsi="Times New Roman" w:eastAsia="仿宋_GB2312"/>
          <w:sz w:val="28"/>
          <w:szCs w:val="28"/>
        </w:rPr>
        <w:t>绝缘斗臂车、不停电作业工器具</w:t>
      </w:r>
      <w:r>
        <w:rPr>
          <w:rFonts w:hint="eastAsia" w:ascii="Times New Roman" w:hAnsi="Times New Roman" w:eastAsia="仿宋_GB2312"/>
          <w:sz w:val="28"/>
          <w:szCs w:val="28"/>
        </w:rPr>
        <w:t>、仪器仪表等不停电作业关键装备、工器具，应在CMA 中国计量、CNAS 国家实验室、ILAC-MRA共三项认证中，具备其中一项认证的机构</w:t>
      </w:r>
      <w:r>
        <w:rPr>
          <w:rFonts w:ascii="Times New Roman" w:hAnsi="Times New Roman" w:eastAsia="仿宋_GB2312"/>
          <w:sz w:val="28"/>
          <w:szCs w:val="28"/>
        </w:rPr>
        <w:t>定期试验</w:t>
      </w:r>
      <w:r>
        <w:rPr>
          <w:rFonts w:hint="eastAsia" w:ascii="Times New Roman" w:hAnsi="Times New Roman" w:eastAsia="仿宋_GB2312"/>
          <w:sz w:val="28"/>
          <w:szCs w:val="28"/>
        </w:rPr>
        <w:t>，</w:t>
      </w:r>
      <w:r>
        <w:rPr>
          <w:rFonts w:ascii="Times New Roman" w:hAnsi="Times New Roman" w:eastAsia="仿宋_GB2312"/>
          <w:sz w:val="28"/>
          <w:szCs w:val="28"/>
        </w:rPr>
        <w:t>并</w:t>
      </w:r>
      <w:r>
        <w:rPr>
          <w:rFonts w:hint="eastAsia" w:ascii="Times New Roman" w:hAnsi="Times New Roman" w:eastAsia="仿宋_GB2312"/>
          <w:sz w:val="28"/>
          <w:szCs w:val="28"/>
        </w:rPr>
        <w:t>出具有效</w:t>
      </w:r>
      <w:r>
        <w:rPr>
          <w:rFonts w:ascii="Times New Roman" w:hAnsi="Times New Roman" w:eastAsia="仿宋_GB2312"/>
          <w:sz w:val="28"/>
          <w:szCs w:val="28"/>
        </w:rPr>
        <w:t>合格</w:t>
      </w:r>
      <w:r>
        <w:rPr>
          <w:rFonts w:hint="eastAsia" w:ascii="Times New Roman" w:hAnsi="Times New Roman" w:eastAsia="仿宋_GB2312"/>
          <w:sz w:val="28"/>
          <w:szCs w:val="28"/>
        </w:rPr>
        <w:t>的试验报告</w:t>
      </w:r>
      <w:r>
        <w:rPr>
          <w:rFonts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8</w:t>
      </w:r>
      <w:r>
        <w:rPr>
          <w:rFonts w:hint="eastAsia" w:ascii="Times New Roman" w:hAnsi="Times New Roman" w:eastAsia="仿宋_GB2312"/>
          <w:sz w:val="28"/>
          <w:szCs w:val="28"/>
        </w:rPr>
        <w:t>.</w:t>
      </w:r>
      <w:r>
        <w:rPr>
          <w:rFonts w:ascii="Times New Roman" w:hAnsi="Times New Roman" w:eastAsia="仿宋_GB2312"/>
          <w:sz w:val="28"/>
          <w:szCs w:val="28"/>
        </w:rPr>
        <w:t>严格执行南方电网有限责任公司、广西电网有限责任公司</w:t>
      </w:r>
      <w:r>
        <w:rPr>
          <w:rFonts w:hint="eastAsia" w:ascii="Times New Roman" w:hAnsi="Times New Roman" w:eastAsia="仿宋_GB2312"/>
          <w:sz w:val="28"/>
          <w:szCs w:val="28"/>
        </w:rPr>
        <w:t>相关</w:t>
      </w:r>
      <w:r>
        <w:rPr>
          <w:rFonts w:ascii="Times New Roman" w:hAnsi="Times New Roman" w:eastAsia="仿宋_GB2312"/>
          <w:sz w:val="28"/>
          <w:szCs w:val="28"/>
        </w:rPr>
        <w:t>安全管理</w:t>
      </w:r>
      <w:r>
        <w:rPr>
          <w:rFonts w:hint="eastAsia" w:ascii="Times New Roman" w:hAnsi="Times New Roman" w:eastAsia="仿宋_GB2312"/>
          <w:sz w:val="28"/>
          <w:szCs w:val="28"/>
        </w:rPr>
        <w:t>标准、承包商管理规定等</w:t>
      </w:r>
      <w:r>
        <w:rPr>
          <w:rFonts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（二）</w:t>
      </w:r>
      <w:r>
        <w:rPr>
          <w:rFonts w:hint="eastAsia" w:ascii="Times New Roman" w:hAnsi="Times New Roman" w:eastAsia="仿宋_GB2312"/>
          <w:sz w:val="28"/>
          <w:szCs w:val="28"/>
        </w:rPr>
        <w:t>不停电作业</w:t>
      </w:r>
      <w:r>
        <w:rPr>
          <w:rFonts w:ascii="Times New Roman" w:hAnsi="Times New Roman" w:eastAsia="仿宋_GB2312"/>
          <w:sz w:val="28"/>
          <w:szCs w:val="28"/>
        </w:rPr>
        <w:t>人员要求</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w:t>
      </w:r>
      <w:r>
        <w:rPr>
          <w:rFonts w:ascii="Times New Roman" w:hAnsi="Times New Roman" w:eastAsia="仿宋_GB2312"/>
          <w:sz w:val="28"/>
          <w:szCs w:val="28"/>
        </w:rPr>
        <w:t>承包商</w:t>
      </w:r>
      <w:r>
        <w:rPr>
          <w:rFonts w:hint="eastAsia" w:ascii="Times New Roman" w:hAnsi="Times New Roman" w:eastAsia="仿宋_GB2312"/>
          <w:sz w:val="28"/>
          <w:szCs w:val="28"/>
        </w:rPr>
        <w:t>工作负责人和专责监护人应具有 3 年以上不停电作业经验，或5年以上配网检修、施工实际工作经验并且至少有1年不停电作业工作经验，并提供每季度不少于6张工作票有效证明材料，证明材料需由运维部门或归口管理部门签字并盖章。即3年以上每季度不少于6张带电作业工作票，或5年以上每季度不少于6张配电第一种工作票且至少有1年每季度不少于6张带电作业工作票。</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w:t>
      </w:r>
      <w:r>
        <w:rPr>
          <w:rFonts w:ascii="Times New Roman" w:hAnsi="Times New Roman" w:eastAsia="仿宋_GB2312"/>
          <w:sz w:val="28"/>
          <w:szCs w:val="28"/>
        </w:rPr>
        <w:t>每名人员需同时持有以下有效证件、文件：</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（1）高处作业特种作业操作证、高压电工作业特种作业操作证、紧急救护证等。</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（2）经第三方权威机构培训合格（如：中国电力企业联合会、中国电力科学研究院等），并取得配网不停电作业培训合格证或资格证书。</w:t>
      </w:r>
    </w:p>
    <w:p>
      <w:pPr>
        <w:tabs>
          <w:tab w:val="left" w:pos="938"/>
        </w:tabs>
        <w:spacing w:line="360" w:lineRule="auto"/>
        <w:outlineLvl w:val="0"/>
        <w:rPr>
          <w:rFonts w:ascii="Times New Roman" w:hAnsi="Times New Roman"/>
          <w:b/>
          <w:bCs/>
          <w:color w:val="000000"/>
          <w:sz w:val="28"/>
          <w:szCs w:val="28"/>
        </w:rPr>
      </w:pPr>
      <w:r>
        <w:rPr>
          <w:rFonts w:ascii="Times New Roman" w:hAnsi="Times New Roman"/>
          <w:b/>
          <w:bCs/>
          <w:color w:val="000000"/>
          <w:sz w:val="28"/>
          <w:szCs w:val="28"/>
        </w:rPr>
        <w:t>三、承包商</w:t>
      </w:r>
      <w:r>
        <w:rPr>
          <w:rFonts w:hint="eastAsia" w:ascii="Times New Roman" w:hAnsi="Times New Roman"/>
          <w:b/>
          <w:bCs/>
          <w:color w:val="000000"/>
          <w:sz w:val="28"/>
          <w:szCs w:val="28"/>
        </w:rPr>
        <w:t>能力评价</w:t>
      </w:r>
      <w:r>
        <w:rPr>
          <w:rFonts w:ascii="Times New Roman" w:hAnsi="Times New Roman"/>
          <w:b/>
          <w:bCs/>
          <w:color w:val="000000"/>
          <w:sz w:val="28"/>
          <w:szCs w:val="28"/>
        </w:rPr>
        <w:t>的</w:t>
      </w:r>
      <w:r>
        <w:rPr>
          <w:rFonts w:hint="eastAsia" w:ascii="Times New Roman" w:hAnsi="Times New Roman"/>
          <w:b/>
          <w:bCs/>
          <w:color w:val="000000"/>
          <w:sz w:val="28"/>
          <w:szCs w:val="28"/>
        </w:rPr>
        <w:t>要求</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（一）文件初审要求</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详见附件3。</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（二）现场核实要求</w:t>
      </w:r>
      <w:bookmarkStart w:id="0" w:name="_GoBack"/>
      <w:bookmarkEnd w:id="0"/>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文件初审结果，按照承包商项目部属地管理的原则，地市供电局生产技术部组织人员对满足文件初审要求的承包商的企业资格、组织架构、人员资格、工器具配置、安全管理等真实性实施现场核实。在现场核实过程中，如发现承包商在文件初审中存在伪造资格业绩证明、材料弄虚作假、资源配置等不实问题，不满足必须具备的评价条件，承包商不得进入后续评价环节，并纳入供应商信用体系管理，按照失信情况进行相应处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（三）现场考核要求</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详见附件4-附件7。</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EFACC6"/>
    <w:multiLevelType w:val="singleLevel"/>
    <w:tmpl w:val="AEEFACC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0YTkzZmExZmE1YWY4ZGU4MzM4OTU5NThjNWI4YjYifQ=="/>
  </w:docVars>
  <w:rsids>
    <w:rsidRoot w:val="001A54B1"/>
    <w:rsid w:val="00015557"/>
    <w:rsid w:val="000212F2"/>
    <w:rsid w:val="00022B41"/>
    <w:rsid w:val="00023912"/>
    <w:rsid w:val="0003493C"/>
    <w:rsid w:val="000405A9"/>
    <w:rsid w:val="00040C61"/>
    <w:rsid w:val="0005382A"/>
    <w:rsid w:val="0005597F"/>
    <w:rsid w:val="00062C4C"/>
    <w:rsid w:val="00063C31"/>
    <w:rsid w:val="000664AC"/>
    <w:rsid w:val="00071200"/>
    <w:rsid w:val="000814BE"/>
    <w:rsid w:val="00081CB5"/>
    <w:rsid w:val="0008200D"/>
    <w:rsid w:val="0008373B"/>
    <w:rsid w:val="000B5D10"/>
    <w:rsid w:val="000C7DD8"/>
    <w:rsid w:val="000D0283"/>
    <w:rsid w:val="000E7A3F"/>
    <w:rsid w:val="000F005D"/>
    <w:rsid w:val="000F50FC"/>
    <w:rsid w:val="00103684"/>
    <w:rsid w:val="00103D85"/>
    <w:rsid w:val="00112E0E"/>
    <w:rsid w:val="001176A8"/>
    <w:rsid w:val="001272FD"/>
    <w:rsid w:val="00142400"/>
    <w:rsid w:val="00144897"/>
    <w:rsid w:val="001509F8"/>
    <w:rsid w:val="001539F7"/>
    <w:rsid w:val="0015524D"/>
    <w:rsid w:val="00165169"/>
    <w:rsid w:val="00183513"/>
    <w:rsid w:val="00185CA5"/>
    <w:rsid w:val="0019178B"/>
    <w:rsid w:val="001938F1"/>
    <w:rsid w:val="001A3AFD"/>
    <w:rsid w:val="001A5020"/>
    <w:rsid w:val="001A54B1"/>
    <w:rsid w:val="001B199A"/>
    <w:rsid w:val="001C15F5"/>
    <w:rsid w:val="001C2024"/>
    <w:rsid w:val="001D31A5"/>
    <w:rsid w:val="001E704A"/>
    <w:rsid w:val="001F79B0"/>
    <w:rsid w:val="002002D6"/>
    <w:rsid w:val="00224DAC"/>
    <w:rsid w:val="00227D94"/>
    <w:rsid w:val="00234681"/>
    <w:rsid w:val="002372FE"/>
    <w:rsid w:val="00243DE2"/>
    <w:rsid w:val="00262864"/>
    <w:rsid w:val="00267B9B"/>
    <w:rsid w:val="002707AA"/>
    <w:rsid w:val="00277282"/>
    <w:rsid w:val="00280089"/>
    <w:rsid w:val="00284C5C"/>
    <w:rsid w:val="00287E50"/>
    <w:rsid w:val="002977BD"/>
    <w:rsid w:val="002C022F"/>
    <w:rsid w:val="002D2412"/>
    <w:rsid w:val="002E65F7"/>
    <w:rsid w:val="002F7CDA"/>
    <w:rsid w:val="00302095"/>
    <w:rsid w:val="00302BDE"/>
    <w:rsid w:val="00302FE2"/>
    <w:rsid w:val="00320796"/>
    <w:rsid w:val="00323907"/>
    <w:rsid w:val="003355F4"/>
    <w:rsid w:val="00340DBF"/>
    <w:rsid w:val="003504D3"/>
    <w:rsid w:val="00352766"/>
    <w:rsid w:val="003539F8"/>
    <w:rsid w:val="00354619"/>
    <w:rsid w:val="00365B57"/>
    <w:rsid w:val="00370B5D"/>
    <w:rsid w:val="00372423"/>
    <w:rsid w:val="0037769D"/>
    <w:rsid w:val="00385686"/>
    <w:rsid w:val="00394BAE"/>
    <w:rsid w:val="00394C55"/>
    <w:rsid w:val="003A5E9C"/>
    <w:rsid w:val="003B4EC5"/>
    <w:rsid w:val="003C591D"/>
    <w:rsid w:val="003E21CB"/>
    <w:rsid w:val="00401EEA"/>
    <w:rsid w:val="004028E0"/>
    <w:rsid w:val="00406817"/>
    <w:rsid w:val="00413CA6"/>
    <w:rsid w:val="0041523F"/>
    <w:rsid w:val="00423083"/>
    <w:rsid w:val="0042308C"/>
    <w:rsid w:val="00423AE7"/>
    <w:rsid w:val="004307A0"/>
    <w:rsid w:val="004314F2"/>
    <w:rsid w:val="00443270"/>
    <w:rsid w:val="004541A7"/>
    <w:rsid w:val="004560C4"/>
    <w:rsid w:val="00471007"/>
    <w:rsid w:val="00476206"/>
    <w:rsid w:val="0047770C"/>
    <w:rsid w:val="00477C3C"/>
    <w:rsid w:val="00480249"/>
    <w:rsid w:val="004851F0"/>
    <w:rsid w:val="00492C32"/>
    <w:rsid w:val="0049392C"/>
    <w:rsid w:val="004A6A02"/>
    <w:rsid w:val="004B6D9B"/>
    <w:rsid w:val="004D18B8"/>
    <w:rsid w:val="004E6CA8"/>
    <w:rsid w:val="004F0EC1"/>
    <w:rsid w:val="004F1B6C"/>
    <w:rsid w:val="00500E32"/>
    <w:rsid w:val="00506AE8"/>
    <w:rsid w:val="005171B1"/>
    <w:rsid w:val="00520490"/>
    <w:rsid w:val="00523B2C"/>
    <w:rsid w:val="00526EA9"/>
    <w:rsid w:val="00530DC2"/>
    <w:rsid w:val="00542213"/>
    <w:rsid w:val="00544A96"/>
    <w:rsid w:val="0055016C"/>
    <w:rsid w:val="00557B84"/>
    <w:rsid w:val="005659EE"/>
    <w:rsid w:val="00584628"/>
    <w:rsid w:val="00591A59"/>
    <w:rsid w:val="005A1D0E"/>
    <w:rsid w:val="005B51A8"/>
    <w:rsid w:val="005B7630"/>
    <w:rsid w:val="005C0CAA"/>
    <w:rsid w:val="005C31B7"/>
    <w:rsid w:val="005D6277"/>
    <w:rsid w:val="005D72B4"/>
    <w:rsid w:val="005E1930"/>
    <w:rsid w:val="005E51B3"/>
    <w:rsid w:val="005E55CB"/>
    <w:rsid w:val="005E7192"/>
    <w:rsid w:val="005F3ADF"/>
    <w:rsid w:val="005F3D26"/>
    <w:rsid w:val="0060042E"/>
    <w:rsid w:val="00602699"/>
    <w:rsid w:val="00613B3F"/>
    <w:rsid w:val="006254F6"/>
    <w:rsid w:val="006353E4"/>
    <w:rsid w:val="00637553"/>
    <w:rsid w:val="00647157"/>
    <w:rsid w:val="00656031"/>
    <w:rsid w:val="0065670C"/>
    <w:rsid w:val="00661024"/>
    <w:rsid w:val="00667C87"/>
    <w:rsid w:val="006761E8"/>
    <w:rsid w:val="006952C8"/>
    <w:rsid w:val="00696D54"/>
    <w:rsid w:val="006A0512"/>
    <w:rsid w:val="006A08D5"/>
    <w:rsid w:val="006B5A03"/>
    <w:rsid w:val="006C18C6"/>
    <w:rsid w:val="006C49EE"/>
    <w:rsid w:val="006C7BBF"/>
    <w:rsid w:val="006D2279"/>
    <w:rsid w:val="006D7F8F"/>
    <w:rsid w:val="006E5A0C"/>
    <w:rsid w:val="006F1BFD"/>
    <w:rsid w:val="006F4E5E"/>
    <w:rsid w:val="006F5F71"/>
    <w:rsid w:val="006F725D"/>
    <w:rsid w:val="007147DD"/>
    <w:rsid w:val="007218AB"/>
    <w:rsid w:val="00725059"/>
    <w:rsid w:val="00725AC3"/>
    <w:rsid w:val="00745E5A"/>
    <w:rsid w:val="007508C9"/>
    <w:rsid w:val="00762928"/>
    <w:rsid w:val="007701AF"/>
    <w:rsid w:val="00777F76"/>
    <w:rsid w:val="00782486"/>
    <w:rsid w:val="00791F78"/>
    <w:rsid w:val="007A1C2F"/>
    <w:rsid w:val="007B0A95"/>
    <w:rsid w:val="007B2E09"/>
    <w:rsid w:val="007B6477"/>
    <w:rsid w:val="007C2266"/>
    <w:rsid w:val="007D260C"/>
    <w:rsid w:val="007D4D45"/>
    <w:rsid w:val="007D582E"/>
    <w:rsid w:val="007D6CB8"/>
    <w:rsid w:val="0082065A"/>
    <w:rsid w:val="00842937"/>
    <w:rsid w:val="00843FCC"/>
    <w:rsid w:val="008513AB"/>
    <w:rsid w:val="00881A0E"/>
    <w:rsid w:val="00897E8F"/>
    <w:rsid w:val="008A3BF3"/>
    <w:rsid w:val="008B0F67"/>
    <w:rsid w:val="008B4085"/>
    <w:rsid w:val="008B47B3"/>
    <w:rsid w:val="008E30D7"/>
    <w:rsid w:val="008E36CB"/>
    <w:rsid w:val="008E392B"/>
    <w:rsid w:val="008E3C07"/>
    <w:rsid w:val="008E5A5D"/>
    <w:rsid w:val="008E795F"/>
    <w:rsid w:val="008F1382"/>
    <w:rsid w:val="008F7979"/>
    <w:rsid w:val="009010C1"/>
    <w:rsid w:val="009025EC"/>
    <w:rsid w:val="0090405A"/>
    <w:rsid w:val="0091764B"/>
    <w:rsid w:val="00917C5B"/>
    <w:rsid w:val="00921957"/>
    <w:rsid w:val="00925895"/>
    <w:rsid w:val="00927B1B"/>
    <w:rsid w:val="00927B3B"/>
    <w:rsid w:val="009374C3"/>
    <w:rsid w:val="00940034"/>
    <w:rsid w:val="009460F4"/>
    <w:rsid w:val="009472F5"/>
    <w:rsid w:val="00951925"/>
    <w:rsid w:val="00953EA7"/>
    <w:rsid w:val="009656DB"/>
    <w:rsid w:val="00967C1F"/>
    <w:rsid w:val="0097302D"/>
    <w:rsid w:val="00997B62"/>
    <w:rsid w:val="009A6767"/>
    <w:rsid w:val="009A6B75"/>
    <w:rsid w:val="009D1E80"/>
    <w:rsid w:val="009D2DCA"/>
    <w:rsid w:val="009D4931"/>
    <w:rsid w:val="009D7844"/>
    <w:rsid w:val="009E7227"/>
    <w:rsid w:val="009F0706"/>
    <w:rsid w:val="009F69E2"/>
    <w:rsid w:val="00A00B64"/>
    <w:rsid w:val="00A04B64"/>
    <w:rsid w:val="00A04F8A"/>
    <w:rsid w:val="00A06993"/>
    <w:rsid w:val="00A1775F"/>
    <w:rsid w:val="00A34D50"/>
    <w:rsid w:val="00A67A5F"/>
    <w:rsid w:val="00A67E27"/>
    <w:rsid w:val="00A77987"/>
    <w:rsid w:val="00A81092"/>
    <w:rsid w:val="00A81682"/>
    <w:rsid w:val="00A83701"/>
    <w:rsid w:val="00A85CCE"/>
    <w:rsid w:val="00A869D6"/>
    <w:rsid w:val="00A87B8D"/>
    <w:rsid w:val="00A91906"/>
    <w:rsid w:val="00AA250C"/>
    <w:rsid w:val="00AB0C9B"/>
    <w:rsid w:val="00AB259B"/>
    <w:rsid w:val="00AB56E6"/>
    <w:rsid w:val="00AC0180"/>
    <w:rsid w:val="00AD6DB6"/>
    <w:rsid w:val="00AE2081"/>
    <w:rsid w:val="00AE41A1"/>
    <w:rsid w:val="00AF0EB2"/>
    <w:rsid w:val="00AF7071"/>
    <w:rsid w:val="00B07D5C"/>
    <w:rsid w:val="00B302F2"/>
    <w:rsid w:val="00B32DD6"/>
    <w:rsid w:val="00B41726"/>
    <w:rsid w:val="00B422C5"/>
    <w:rsid w:val="00B46B39"/>
    <w:rsid w:val="00B57C85"/>
    <w:rsid w:val="00B62B27"/>
    <w:rsid w:val="00B72187"/>
    <w:rsid w:val="00B87BAB"/>
    <w:rsid w:val="00B91B80"/>
    <w:rsid w:val="00BA0637"/>
    <w:rsid w:val="00BA4984"/>
    <w:rsid w:val="00BA49A4"/>
    <w:rsid w:val="00BB584D"/>
    <w:rsid w:val="00BC4D4C"/>
    <w:rsid w:val="00BC6B9E"/>
    <w:rsid w:val="00BD0326"/>
    <w:rsid w:val="00BD317D"/>
    <w:rsid w:val="00BD5B67"/>
    <w:rsid w:val="00BD6AB7"/>
    <w:rsid w:val="00BE0E05"/>
    <w:rsid w:val="00C04ABE"/>
    <w:rsid w:val="00C051A8"/>
    <w:rsid w:val="00C0623F"/>
    <w:rsid w:val="00C10B16"/>
    <w:rsid w:val="00C13FDD"/>
    <w:rsid w:val="00C16D03"/>
    <w:rsid w:val="00C31E77"/>
    <w:rsid w:val="00C32060"/>
    <w:rsid w:val="00C328E1"/>
    <w:rsid w:val="00C335B9"/>
    <w:rsid w:val="00C42EA2"/>
    <w:rsid w:val="00C4420A"/>
    <w:rsid w:val="00C56BB1"/>
    <w:rsid w:val="00C6799A"/>
    <w:rsid w:val="00C7271B"/>
    <w:rsid w:val="00C91465"/>
    <w:rsid w:val="00CA0CB5"/>
    <w:rsid w:val="00CB199C"/>
    <w:rsid w:val="00CD1B6C"/>
    <w:rsid w:val="00CD4567"/>
    <w:rsid w:val="00CD5F50"/>
    <w:rsid w:val="00CD6342"/>
    <w:rsid w:val="00CD68F7"/>
    <w:rsid w:val="00CE096F"/>
    <w:rsid w:val="00CE0B64"/>
    <w:rsid w:val="00CF7F8A"/>
    <w:rsid w:val="00D0030F"/>
    <w:rsid w:val="00D10090"/>
    <w:rsid w:val="00D10DFD"/>
    <w:rsid w:val="00D11A08"/>
    <w:rsid w:val="00D14288"/>
    <w:rsid w:val="00D33598"/>
    <w:rsid w:val="00D338A7"/>
    <w:rsid w:val="00D3711D"/>
    <w:rsid w:val="00D3777B"/>
    <w:rsid w:val="00D470CC"/>
    <w:rsid w:val="00D4797A"/>
    <w:rsid w:val="00D54EB2"/>
    <w:rsid w:val="00D640A0"/>
    <w:rsid w:val="00D70C72"/>
    <w:rsid w:val="00D8502D"/>
    <w:rsid w:val="00D92418"/>
    <w:rsid w:val="00D94161"/>
    <w:rsid w:val="00DA41E0"/>
    <w:rsid w:val="00DA78D8"/>
    <w:rsid w:val="00DB2913"/>
    <w:rsid w:val="00DB4422"/>
    <w:rsid w:val="00DB64F8"/>
    <w:rsid w:val="00DB77BD"/>
    <w:rsid w:val="00DC333E"/>
    <w:rsid w:val="00DE0A23"/>
    <w:rsid w:val="00DF1F73"/>
    <w:rsid w:val="00DF6194"/>
    <w:rsid w:val="00E1095C"/>
    <w:rsid w:val="00E222B8"/>
    <w:rsid w:val="00E32080"/>
    <w:rsid w:val="00E4140C"/>
    <w:rsid w:val="00E47CC7"/>
    <w:rsid w:val="00E47E82"/>
    <w:rsid w:val="00E5267F"/>
    <w:rsid w:val="00E5405D"/>
    <w:rsid w:val="00E64ADE"/>
    <w:rsid w:val="00E64BBF"/>
    <w:rsid w:val="00E66110"/>
    <w:rsid w:val="00E76254"/>
    <w:rsid w:val="00E80407"/>
    <w:rsid w:val="00E81B48"/>
    <w:rsid w:val="00EA2676"/>
    <w:rsid w:val="00EC1FC4"/>
    <w:rsid w:val="00EC6A9E"/>
    <w:rsid w:val="00EC7031"/>
    <w:rsid w:val="00ED7FA6"/>
    <w:rsid w:val="00EE3312"/>
    <w:rsid w:val="00EE4A13"/>
    <w:rsid w:val="00EF4688"/>
    <w:rsid w:val="00F059BA"/>
    <w:rsid w:val="00F12B5A"/>
    <w:rsid w:val="00F12C64"/>
    <w:rsid w:val="00F1307C"/>
    <w:rsid w:val="00F139A9"/>
    <w:rsid w:val="00F21D40"/>
    <w:rsid w:val="00F23E5C"/>
    <w:rsid w:val="00F269D0"/>
    <w:rsid w:val="00F307B9"/>
    <w:rsid w:val="00F30F34"/>
    <w:rsid w:val="00F336A4"/>
    <w:rsid w:val="00F42ABE"/>
    <w:rsid w:val="00F43814"/>
    <w:rsid w:val="00F47527"/>
    <w:rsid w:val="00F47586"/>
    <w:rsid w:val="00F537AE"/>
    <w:rsid w:val="00F560D6"/>
    <w:rsid w:val="00F628F9"/>
    <w:rsid w:val="00F65158"/>
    <w:rsid w:val="00F6731B"/>
    <w:rsid w:val="00F72FD8"/>
    <w:rsid w:val="00F75079"/>
    <w:rsid w:val="00F77423"/>
    <w:rsid w:val="00F865E5"/>
    <w:rsid w:val="00FA4CA8"/>
    <w:rsid w:val="00FA5085"/>
    <w:rsid w:val="00FB0932"/>
    <w:rsid w:val="00FB40A4"/>
    <w:rsid w:val="00FC51C7"/>
    <w:rsid w:val="00FD6283"/>
    <w:rsid w:val="00FE149C"/>
    <w:rsid w:val="00FE78D5"/>
    <w:rsid w:val="00FF31BF"/>
    <w:rsid w:val="013D4597"/>
    <w:rsid w:val="01CF5165"/>
    <w:rsid w:val="02474A49"/>
    <w:rsid w:val="028265A2"/>
    <w:rsid w:val="02D149AD"/>
    <w:rsid w:val="02DF026A"/>
    <w:rsid w:val="030852C4"/>
    <w:rsid w:val="03727718"/>
    <w:rsid w:val="03CA639A"/>
    <w:rsid w:val="044B1342"/>
    <w:rsid w:val="049A2394"/>
    <w:rsid w:val="052D6572"/>
    <w:rsid w:val="05325E51"/>
    <w:rsid w:val="053B15A4"/>
    <w:rsid w:val="05B82086"/>
    <w:rsid w:val="05DD25DD"/>
    <w:rsid w:val="05FF381F"/>
    <w:rsid w:val="06557EA6"/>
    <w:rsid w:val="06983249"/>
    <w:rsid w:val="07272C66"/>
    <w:rsid w:val="07465DF0"/>
    <w:rsid w:val="078207E0"/>
    <w:rsid w:val="079B46E0"/>
    <w:rsid w:val="07F726E3"/>
    <w:rsid w:val="08164C45"/>
    <w:rsid w:val="08385709"/>
    <w:rsid w:val="08CC6FE4"/>
    <w:rsid w:val="09B66AB6"/>
    <w:rsid w:val="0A146A49"/>
    <w:rsid w:val="0A867971"/>
    <w:rsid w:val="0A8F0246"/>
    <w:rsid w:val="0AEE39C3"/>
    <w:rsid w:val="0B0A49A4"/>
    <w:rsid w:val="0BE149DD"/>
    <w:rsid w:val="0C336F3C"/>
    <w:rsid w:val="0C3675EE"/>
    <w:rsid w:val="0C976F2E"/>
    <w:rsid w:val="0D0E7E16"/>
    <w:rsid w:val="0D1D7355"/>
    <w:rsid w:val="0D69019A"/>
    <w:rsid w:val="0DCD6217"/>
    <w:rsid w:val="0DE22B81"/>
    <w:rsid w:val="0E2B3F92"/>
    <w:rsid w:val="0E7804B4"/>
    <w:rsid w:val="0E9F0190"/>
    <w:rsid w:val="0E9F67DD"/>
    <w:rsid w:val="0F374EA4"/>
    <w:rsid w:val="0F961289"/>
    <w:rsid w:val="0FB60DE8"/>
    <w:rsid w:val="0FB97DBC"/>
    <w:rsid w:val="0FEC15EC"/>
    <w:rsid w:val="100C38E2"/>
    <w:rsid w:val="105B4B0D"/>
    <w:rsid w:val="109D6AB4"/>
    <w:rsid w:val="10AD49D2"/>
    <w:rsid w:val="10E41661"/>
    <w:rsid w:val="10F34677"/>
    <w:rsid w:val="10F9132E"/>
    <w:rsid w:val="117F7FD3"/>
    <w:rsid w:val="120E0E6B"/>
    <w:rsid w:val="120E1484"/>
    <w:rsid w:val="12220E77"/>
    <w:rsid w:val="12BF2EB0"/>
    <w:rsid w:val="13031F2E"/>
    <w:rsid w:val="13A31852"/>
    <w:rsid w:val="13BA4DC3"/>
    <w:rsid w:val="14871C3B"/>
    <w:rsid w:val="1495101E"/>
    <w:rsid w:val="14F75374"/>
    <w:rsid w:val="15983F21"/>
    <w:rsid w:val="163A3E18"/>
    <w:rsid w:val="167D13D5"/>
    <w:rsid w:val="173F1B3A"/>
    <w:rsid w:val="176D6526"/>
    <w:rsid w:val="18007E3D"/>
    <w:rsid w:val="18163111"/>
    <w:rsid w:val="188C2387"/>
    <w:rsid w:val="19345438"/>
    <w:rsid w:val="197B0571"/>
    <w:rsid w:val="1A2C1209"/>
    <w:rsid w:val="1A5C745A"/>
    <w:rsid w:val="1A7E24B9"/>
    <w:rsid w:val="1A8F2A42"/>
    <w:rsid w:val="1B1F562F"/>
    <w:rsid w:val="1B2D42CD"/>
    <w:rsid w:val="1BC83FBA"/>
    <w:rsid w:val="1BFD04F9"/>
    <w:rsid w:val="1C220468"/>
    <w:rsid w:val="1C2C3332"/>
    <w:rsid w:val="1C9F1550"/>
    <w:rsid w:val="1D3E16D4"/>
    <w:rsid w:val="1D6F6D09"/>
    <w:rsid w:val="1E2A7473"/>
    <w:rsid w:val="1E523111"/>
    <w:rsid w:val="1ED37A63"/>
    <w:rsid w:val="1F011A6A"/>
    <w:rsid w:val="1F085764"/>
    <w:rsid w:val="1FC75161"/>
    <w:rsid w:val="1FCD07BE"/>
    <w:rsid w:val="20147732"/>
    <w:rsid w:val="20430B50"/>
    <w:rsid w:val="205A2D22"/>
    <w:rsid w:val="20FD1B7F"/>
    <w:rsid w:val="21581866"/>
    <w:rsid w:val="220A1EF7"/>
    <w:rsid w:val="22871A43"/>
    <w:rsid w:val="231E661E"/>
    <w:rsid w:val="23501558"/>
    <w:rsid w:val="23682514"/>
    <w:rsid w:val="243B4673"/>
    <w:rsid w:val="25061002"/>
    <w:rsid w:val="25477868"/>
    <w:rsid w:val="25C3280D"/>
    <w:rsid w:val="25D448DA"/>
    <w:rsid w:val="26471D54"/>
    <w:rsid w:val="26721281"/>
    <w:rsid w:val="26734F9A"/>
    <w:rsid w:val="26A86C8C"/>
    <w:rsid w:val="27646443"/>
    <w:rsid w:val="280C5D53"/>
    <w:rsid w:val="284B3AE0"/>
    <w:rsid w:val="2859710E"/>
    <w:rsid w:val="289465FF"/>
    <w:rsid w:val="28CD3FBF"/>
    <w:rsid w:val="28F9342C"/>
    <w:rsid w:val="294D1B6E"/>
    <w:rsid w:val="298A7967"/>
    <w:rsid w:val="298E1EBA"/>
    <w:rsid w:val="29CF3AE0"/>
    <w:rsid w:val="29E96D83"/>
    <w:rsid w:val="2A845019"/>
    <w:rsid w:val="2A8E1826"/>
    <w:rsid w:val="2AD42F38"/>
    <w:rsid w:val="2B201C9E"/>
    <w:rsid w:val="2B5B780D"/>
    <w:rsid w:val="2B752494"/>
    <w:rsid w:val="2B967B5D"/>
    <w:rsid w:val="2BBC4A04"/>
    <w:rsid w:val="2BF529EB"/>
    <w:rsid w:val="2C335573"/>
    <w:rsid w:val="2C5B4A12"/>
    <w:rsid w:val="2C771422"/>
    <w:rsid w:val="2CF540CF"/>
    <w:rsid w:val="2E230164"/>
    <w:rsid w:val="2E9734E2"/>
    <w:rsid w:val="2ED22A0F"/>
    <w:rsid w:val="2F1E7374"/>
    <w:rsid w:val="2F317ACB"/>
    <w:rsid w:val="2F4526D9"/>
    <w:rsid w:val="2F87533E"/>
    <w:rsid w:val="2F955519"/>
    <w:rsid w:val="2FCF6D0B"/>
    <w:rsid w:val="30185680"/>
    <w:rsid w:val="30885502"/>
    <w:rsid w:val="30CA3C07"/>
    <w:rsid w:val="31027C44"/>
    <w:rsid w:val="31283C72"/>
    <w:rsid w:val="313F1884"/>
    <w:rsid w:val="31933C66"/>
    <w:rsid w:val="31E87604"/>
    <w:rsid w:val="31FA6546"/>
    <w:rsid w:val="33AC3AB6"/>
    <w:rsid w:val="33B4161F"/>
    <w:rsid w:val="33D47846"/>
    <w:rsid w:val="340706E9"/>
    <w:rsid w:val="347A50D9"/>
    <w:rsid w:val="34DC6201"/>
    <w:rsid w:val="34FD02FF"/>
    <w:rsid w:val="35441692"/>
    <w:rsid w:val="3591381B"/>
    <w:rsid w:val="35BC6BA3"/>
    <w:rsid w:val="35F34545"/>
    <w:rsid w:val="35FA04E4"/>
    <w:rsid w:val="36132063"/>
    <w:rsid w:val="36881FA4"/>
    <w:rsid w:val="37F61B5A"/>
    <w:rsid w:val="3825542A"/>
    <w:rsid w:val="385354A7"/>
    <w:rsid w:val="3A900EFF"/>
    <w:rsid w:val="3A9F1F0A"/>
    <w:rsid w:val="3ABA4E1E"/>
    <w:rsid w:val="3ACB0680"/>
    <w:rsid w:val="3B745206"/>
    <w:rsid w:val="3B8256F1"/>
    <w:rsid w:val="3C293AE0"/>
    <w:rsid w:val="3C300178"/>
    <w:rsid w:val="3C317936"/>
    <w:rsid w:val="3CAE18DC"/>
    <w:rsid w:val="3CB44FCF"/>
    <w:rsid w:val="3E075039"/>
    <w:rsid w:val="3E1F4E33"/>
    <w:rsid w:val="3E647A59"/>
    <w:rsid w:val="3E9A6C59"/>
    <w:rsid w:val="3FCC4ED9"/>
    <w:rsid w:val="406D35E6"/>
    <w:rsid w:val="409558F0"/>
    <w:rsid w:val="40AB1AFD"/>
    <w:rsid w:val="415D774F"/>
    <w:rsid w:val="41795EF9"/>
    <w:rsid w:val="41933EED"/>
    <w:rsid w:val="41C9707C"/>
    <w:rsid w:val="41E02793"/>
    <w:rsid w:val="420B3DAC"/>
    <w:rsid w:val="426E67C7"/>
    <w:rsid w:val="42762589"/>
    <w:rsid w:val="42C72AD4"/>
    <w:rsid w:val="42FB0B57"/>
    <w:rsid w:val="44902F1E"/>
    <w:rsid w:val="44AC23A3"/>
    <w:rsid w:val="45041C72"/>
    <w:rsid w:val="4506689D"/>
    <w:rsid w:val="451572B6"/>
    <w:rsid w:val="45D00985"/>
    <w:rsid w:val="45F2016D"/>
    <w:rsid w:val="4668385B"/>
    <w:rsid w:val="469C6C38"/>
    <w:rsid w:val="472D7B28"/>
    <w:rsid w:val="477A07AB"/>
    <w:rsid w:val="477A2170"/>
    <w:rsid w:val="479A5232"/>
    <w:rsid w:val="47F54707"/>
    <w:rsid w:val="47FB3D6A"/>
    <w:rsid w:val="483A5C59"/>
    <w:rsid w:val="483C7010"/>
    <w:rsid w:val="48720C3B"/>
    <w:rsid w:val="487913CE"/>
    <w:rsid w:val="4A5640AA"/>
    <w:rsid w:val="4A9D2228"/>
    <w:rsid w:val="4AC52ED1"/>
    <w:rsid w:val="4B7818BD"/>
    <w:rsid w:val="4BC725E9"/>
    <w:rsid w:val="4C0554CB"/>
    <w:rsid w:val="4C2F4672"/>
    <w:rsid w:val="4C597806"/>
    <w:rsid w:val="4D501B86"/>
    <w:rsid w:val="4DA47BF0"/>
    <w:rsid w:val="4DCF7242"/>
    <w:rsid w:val="4DE65C34"/>
    <w:rsid w:val="4DEF23EA"/>
    <w:rsid w:val="4E4C59A0"/>
    <w:rsid w:val="4EB16F5C"/>
    <w:rsid w:val="4F06695E"/>
    <w:rsid w:val="4F422C3A"/>
    <w:rsid w:val="4F477F24"/>
    <w:rsid w:val="4F8C5937"/>
    <w:rsid w:val="4FA32D36"/>
    <w:rsid w:val="4FA709C3"/>
    <w:rsid w:val="4FC12371"/>
    <w:rsid w:val="50000ED0"/>
    <w:rsid w:val="50155554"/>
    <w:rsid w:val="501C16FA"/>
    <w:rsid w:val="50E73516"/>
    <w:rsid w:val="51244B1F"/>
    <w:rsid w:val="514F1492"/>
    <w:rsid w:val="5175750D"/>
    <w:rsid w:val="517D5240"/>
    <w:rsid w:val="52075BBE"/>
    <w:rsid w:val="522E3007"/>
    <w:rsid w:val="52D076A7"/>
    <w:rsid w:val="52EA7DEC"/>
    <w:rsid w:val="52F33D5A"/>
    <w:rsid w:val="53231C07"/>
    <w:rsid w:val="53812D19"/>
    <w:rsid w:val="553D1BAE"/>
    <w:rsid w:val="55684751"/>
    <w:rsid w:val="55867043"/>
    <w:rsid w:val="55BD0E01"/>
    <w:rsid w:val="56D54054"/>
    <w:rsid w:val="56EC7829"/>
    <w:rsid w:val="57120F97"/>
    <w:rsid w:val="57924A67"/>
    <w:rsid w:val="57AB595C"/>
    <w:rsid w:val="57C96EBB"/>
    <w:rsid w:val="57E83927"/>
    <w:rsid w:val="58595802"/>
    <w:rsid w:val="58664631"/>
    <w:rsid w:val="58E753C0"/>
    <w:rsid w:val="590C382F"/>
    <w:rsid w:val="594B69B5"/>
    <w:rsid w:val="596C74DE"/>
    <w:rsid w:val="59902BAE"/>
    <w:rsid w:val="59FE5DA9"/>
    <w:rsid w:val="5A0E3BCE"/>
    <w:rsid w:val="5A384A12"/>
    <w:rsid w:val="5ACD697F"/>
    <w:rsid w:val="5AED19A2"/>
    <w:rsid w:val="5B0C0A30"/>
    <w:rsid w:val="5B763B37"/>
    <w:rsid w:val="5BA8364B"/>
    <w:rsid w:val="5BBC5C29"/>
    <w:rsid w:val="5BCD3E5E"/>
    <w:rsid w:val="5BF5144B"/>
    <w:rsid w:val="5C34538D"/>
    <w:rsid w:val="5C6A3983"/>
    <w:rsid w:val="5C794E56"/>
    <w:rsid w:val="5C952D5F"/>
    <w:rsid w:val="5D50783D"/>
    <w:rsid w:val="5D7F5AF4"/>
    <w:rsid w:val="5DD317C5"/>
    <w:rsid w:val="5E1C7DF2"/>
    <w:rsid w:val="5E435353"/>
    <w:rsid w:val="5E8F22E7"/>
    <w:rsid w:val="5EE8370D"/>
    <w:rsid w:val="5F5148CF"/>
    <w:rsid w:val="5F641C29"/>
    <w:rsid w:val="5FA56D82"/>
    <w:rsid w:val="5FDC4F37"/>
    <w:rsid w:val="604D2EC1"/>
    <w:rsid w:val="60604C0E"/>
    <w:rsid w:val="61005AED"/>
    <w:rsid w:val="61034C1E"/>
    <w:rsid w:val="61152C73"/>
    <w:rsid w:val="621D0A33"/>
    <w:rsid w:val="622551F8"/>
    <w:rsid w:val="623F4B4A"/>
    <w:rsid w:val="62B12781"/>
    <w:rsid w:val="631B39FA"/>
    <w:rsid w:val="632C244A"/>
    <w:rsid w:val="638F6D66"/>
    <w:rsid w:val="63AC717D"/>
    <w:rsid w:val="641868C1"/>
    <w:rsid w:val="64700563"/>
    <w:rsid w:val="648741D0"/>
    <w:rsid w:val="64D4400D"/>
    <w:rsid w:val="65077AE2"/>
    <w:rsid w:val="65687A89"/>
    <w:rsid w:val="662C04C0"/>
    <w:rsid w:val="66AB5F57"/>
    <w:rsid w:val="674F0937"/>
    <w:rsid w:val="688E28B7"/>
    <w:rsid w:val="68EB0E67"/>
    <w:rsid w:val="69C604CA"/>
    <w:rsid w:val="6A7C0DD4"/>
    <w:rsid w:val="6A7D1633"/>
    <w:rsid w:val="6AD762F6"/>
    <w:rsid w:val="6B0E22EF"/>
    <w:rsid w:val="6B3C0C03"/>
    <w:rsid w:val="6B5F42C7"/>
    <w:rsid w:val="6B8A44FA"/>
    <w:rsid w:val="6BAB3FCB"/>
    <w:rsid w:val="6BEF31CB"/>
    <w:rsid w:val="6C457074"/>
    <w:rsid w:val="6C4F2A09"/>
    <w:rsid w:val="6C5F4B85"/>
    <w:rsid w:val="6CDB2CEE"/>
    <w:rsid w:val="6D3F550E"/>
    <w:rsid w:val="6D72137A"/>
    <w:rsid w:val="6D7C077E"/>
    <w:rsid w:val="6D9C3A77"/>
    <w:rsid w:val="6DDF3271"/>
    <w:rsid w:val="6DF10620"/>
    <w:rsid w:val="6DFE2ABE"/>
    <w:rsid w:val="6E1C0BA4"/>
    <w:rsid w:val="6EA8709D"/>
    <w:rsid w:val="6EAC1E62"/>
    <w:rsid w:val="6F605457"/>
    <w:rsid w:val="6F945B98"/>
    <w:rsid w:val="6FC92D56"/>
    <w:rsid w:val="71184795"/>
    <w:rsid w:val="71765670"/>
    <w:rsid w:val="717F1642"/>
    <w:rsid w:val="71BF54BD"/>
    <w:rsid w:val="71EB3A22"/>
    <w:rsid w:val="720C6884"/>
    <w:rsid w:val="72161169"/>
    <w:rsid w:val="72373B3F"/>
    <w:rsid w:val="72591C87"/>
    <w:rsid w:val="72C26677"/>
    <w:rsid w:val="72C7051F"/>
    <w:rsid w:val="72E26413"/>
    <w:rsid w:val="72FE054D"/>
    <w:rsid w:val="731608E5"/>
    <w:rsid w:val="7332279E"/>
    <w:rsid w:val="7465371B"/>
    <w:rsid w:val="74EB07A8"/>
    <w:rsid w:val="756D7006"/>
    <w:rsid w:val="757D0BCD"/>
    <w:rsid w:val="76CA3847"/>
    <w:rsid w:val="772C4DBD"/>
    <w:rsid w:val="78184BE4"/>
    <w:rsid w:val="78184EC5"/>
    <w:rsid w:val="785F4189"/>
    <w:rsid w:val="78C07999"/>
    <w:rsid w:val="79031D84"/>
    <w:rsid w:val="790709FE"/>
    <w:rsid w:val="794813D9"/>
    <w:rsid w:val="79510FF8"/>
    <w:rsid w:val="796D3308"/>
    <w:rsid w:val="7A95542D"/>
    <w:rsid w:val="7AA734A8"/>
    <w:rsid w:val="7AFC4A0D"/>
    <w:rsid w:val="7B8E6FD1"/>
    <w:rsid w:val="7D342699"/>
    <w:rsid w:val="7DC96161"/>
    <w:rsid w:val="7E363320"/>
    <w:rsid w:val="7EA979DB"/>
    <w:rsid w:val="7EC55059"/>
    <w:rsid w:val="7F115287"/>
    <w:rsid w:val="7F876EA8"/>
    <w:rsid w:val="7FA54716"/>
    <w:rsid w:val="7FDA6ECE"/>
    <w:rsid w:val="7FF73A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qFormat="1" w:uiPriority="0" w:semiHidden="0" w:name="annotation text"/>
    <w:lsdException w:qFormat="1" w:uiPriority="0"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iPriority="99" w:semiHidden="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keepNext/>
      <w:keepLines/>
      <w:spacing w:before="260" w:after="260" w:line="413" w:lineRule="auto"/>
      <w:ind w:firstLine="883" w:firstLineChars="200"/>
      <w:outlineLvl w:val="1"/>
    </w:pPr>
    <w:rPr>
      <w:rFonts w:ascii="Arial" w:hAnsi="Arial" w:eastAsia="黑体"/>
      <w:b/>
      <w:sz w:val="32"/>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unhideWhenUsed/>
    <w:qFormat/>
    <w:uiPriority w:val="0"/>
    <w:pPr>
      <w:jc w:val="left"/>
    </w:pPr>
  </w:style>
  <w:style w:type="paragraph" w:styleId="4">
    <w:name w:val="Body Text Indent"/>
    <w:basedOn w:val="1"/>
    <w:unhideWhenUsed/>
    <w:qFormat/>
    <w:uiPriority w:val="0"/>
    <w:pPr>
      <w:spacing w:line="500" w:lineRule="exact"/>
      <w:ind w:firstLine="540"/>
    </w:pPr>
    <w:rPr>
      <w:rFonts w:eastAsia="仿宋_GB2312"/>
      <w:sz w:val="30"/>
      <w:szCs w:val="20"/>
    </w:rPr>
  </w:style>
  <w:style w:type="paragraph" w:styleId="5">
    <w:name w:val="Date"/>
    <w:basedOn w:val="1"/>
    <w:next w:val="1"/>
    <w:link w:val="15"/>
    <w:unhideWhenUsed/>
    <w:qFormat/>
    <w:uiPriority w:val="99"/>
    <w:pPr>
      <w:ind w:left="100" w:leftChars="2500"/>
    </w:pPr>
  </w:style>
  <w:style w:type="paragraph" w:styleId="6">
    <w:name w:val="Balloon Text"/>
    <w:basedOn w:val="1"/>
    <w:link w:val="18"/>
    <w:unhideWhenUsed/>
    <w:qFormat/>
    <w:uiPriority w:val="0"/>
    <w:rPr>
      <w:sz w:val="18"/>
      <w:szCs w:val="18"/>
    </w:rPr>
  </w:style>
  <w:style w:type="paragraph" w:styleId="7">
    <w:name w:val="footer"/>
    <w:basedOn w:val="1"/>
    <w:link w:val="17"/>
    <w:unhideWhenUsed/>
    <w:qFormat/>
    <w:uiPriority w:val="0"/>
    <w:pPr>
      <w:tabs>
        <w:tab w:val="center" w:pos="4153"/>
        <w:tab w:val="right" w:pos="8306"/>
      </w:tabs>
      <w:snapToGrid w:val="0"/>
      <w:jc w:val="left"/>
    </w:pPr>
    <w:rPr>
      <w:sz w:val="18"/>
      <w:szCs w:val="18"/>
    </w:rPr>
  </w:style>
  <w:style w:type="paragraph" w:styleId="8">
    <w:name w:val="header"/>
    <w:basedOn w:val="1"/>
    <w:link w:val="16"/>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4"/>
    <w:qFormat/>
    <w:uiPriority w:val="0"/>
    <w:pPr>
      <w:ind w:firstLine="420" w:firstLineChars="200"/>
    </w:pPr>
  </w:style>
  <w:style w:type="character" w:styleId="12">
    <w:name w:val="Hyperlink"/>
    <w:basedOn w:val="11"/>
    <w:unhideWhenUsed/>
    <w:qFormat/>
    <w:uiPriority w:val="0"/>
    <w:rPr>
      <w:color w:val="0000FF"/>
      <w:u w:val="single"/>
    </w:rPr>
  </w:style>
  <w:style w:type="paragraph" w:customStyle="1" w:styleId="13">
    <w:name w:val="目录 21"/>
    <w:basedOn w:val="1"/>
    <w:next w:val="1"/>
    <w:qFormat/>
    <w:uiPriority w:val="0"/>
    <w:pPr>
      <w:spacing w:before="100" w:beforeAutospacing="1" w:after="100" w:afterAutospacing="1"/>
      <w:ind w:left="420" w:leftChars="200"/>
    </w:pPr>
  </w:style>
  <w:style w:type="paragraph" w:customStyle="1" w:styleId="14">
    <w:name w:val="列出段落1"/>
    <w:basedOn w:val="1"/>
    <w:qFormat/>
    <w:uiPriority w:val="34"/>
    <w:pPr>
      <w:ind w:firstLine="420" w:firstLineChars="200"/>
    </w:pPr>
  </w:style>
  <w:style w:type="character" w:customStyle="1" w:styleId="15">
    <w:name w:val="日期 字符"/>
    <w:basedOn w:val="11"/>
    <w:link w:val="5"/>
    <w:semiHidden/>
    <w:qFormat/>
    <w:uiPriority w:val="99"/>
  </w:style>
  <w:style w:type="character" w:customStyle="1" w:styleId="16">
    <w:name w:val="页眉 字符"/>
    <w:link w:val="8"/>
    <w:qFormat/>
    <w:uiPriority w:val="0"/>
    <w:rPr>
      <w:rFonts w:ascii="Calibri" w:hAnsi="Calibri"/>
      <w:kern w:val="2"/>
      <w:sz w:val="18"/>
      <w:szCs w:val="18"/>
    </w:rPr>
  </w:style>
  <w:style w:type="character" w:customStyle="1" w:styleId="17">
    <w:name w:val="页脚 字符"/>
    <w:link w:val="7"/>
    <w:qFormat/>
    <w:uiPriority w:val="0"/>
    <w:rPr>
      <w:rFonts w:ascii="Calibri" w:hAnsi="Calibri"/>
      <w:kern w:val="2"/>
      <w:sz w:val="18"/>
      <w:szCs w:val="18"/>
    </w:rPr>
  </w:style>
  <w:style w:type="character" w:customStyle="1" w:styleId="18">
    <w:name w:val="批注框文本 字符"/>
    <w:link w:val="6"/>
    <w:semiHidden/>
    <w:qFormat/>
    <w:uiPriority w:val="0"/>
    <w:rPr>
      <w:rFonts w:ascii="Calibri" w:hAnsi="Calibri"/>
      <w:kern w:val="2"/>
      <w:sz w:val="18"/>
      <w:szCs w:val="18"/>
    </w:rPr>
  </w:style>
  <w:style w:type="paragraph" w:customStyle="1" w:styleId="19">
    <w:name w:val="Revision"/>
    <w:hidden/>
    <w:unhideWhenUsed/>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6</Pages>
  <Words>1611</Words>
  <Characters>1660</Characters>
  <Lines>69</Lines>
  <Paragraphs>48</Paragraphs>
  <TotalTime>107</TotalTime>
  <ScaleCrop>false</ScaleCrop>
  <LinksUpToDate>false</LinksUpToDate>
  <CharactersWithSpaces>3223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2017-01-19T08:18:00Z</dcterms:created>
  <dc:creator>金庆忍</dc:creator>
  <cp:lastModifiedBy>陆新</cp:lastModifiedBy>
  <dcterms:modified xsi:type="dcterms:W3CDTF">2026-05-28T03:43:39Z</dcterms:modified>
  <dc:title>广西电网有限责任公司2016年电压监测终端和电能质量在线监测装置送样检测公告（草拟）</dc:title>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37D240F6F2D1467A90C5072C5E2D4504_12</vt:lpwstr>
  </property>
  <property fmtid="{D5CDD505-2E9C-101B-9397-08002B2CF9AE}" pid="4" name="KSOTemplateDocerSaveRecord">
    <vt:lpwstr>eyJoZGlkIjoiNmZmZWE0N2Q0NDgwYTEzN2QxODU2Yjg5MTU2MWE3MTUiLCJ1c2VySWQiOiI0MzQ3OTE4MzkifQ==</vt:lpwstr>
  </property>
</Properties>
</file>