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p>
    <w:p>
      <w:pPr>
        <w:rPr>
          <w:highlight w:val="none"/>
        </w:rPr>
      </w:pPr>
      <w:r>
        <w:rPr>
          <w:highlight w:val="none"/>
          <w:lang w:eastAsia="zh-CN"/>
        </w:rPr>
        <w:pict>
          <v:rect id="文本框 1" o:spid="_x0000_s1026" o:spt="1" style="position:absolute;left:0pt;margin-left:278pt;margin-top:27.1pt;height:0pt;width:0pt;visibility:hidden;z-index:251659264;mso-width-relative:page;mso-height-relative:page;" coordsize="21600,21600">
            <v:path/>
            <v:fill opacity="0f" focussize="0,0"/>
            <v:stroke opacity="0f"/>
            <v:imagedata o:title=""/>
            <o:lock v:ext="edit"/>
            <v:textbox>
              <w:txbxContent>
                <w:p>
                  <w:r>
                    <w:t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w:t>
                  </w:r>
                </w:p>
              </w:txbxContent>
            </v:textbox>
          </v:rect>
        </w:pict>
      </w:r>
      <w:r>
        <w:rPr>
          <w:rFonts w:hint="eastAsia" w:ascii="宋体" w:hAnsi="宋体" w:cs="宋体"/>
          <w:b/>
          <w:sz w:val="40"/>
          <w:szCs w:val="40"/>
          <w:highlight w:val="none"/>
        </w:rPr>
        <w:drawing>
          <wp:anchor distT="0" distB="0" distL="114300" distR="114300" simplePos="0" relativeHeight="251660288" behindDoc="1" locked="0" layoutInCell="1" allowOverlap="1">
            <wp:simplePos x="0" y="0"/>
            <wp:positionH relativeFrom="column">
              <wp:posOffset>-1133475</wp:posOffset>
            </wp:positionH>
            <wp:positionV relativeFrom="paragraph">
              <wp:posOffset>-913130</wp:posOffset>
            </wp:positionV>
            <wp:extent cx="7543800" cy="5982970"/>
            <wp:effectExtent l="0" t="0" r="0" b="11430"/>
            <wp:wrapNone/>
            <wp:docPr id="1" name="图片 1" descr="封面模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模板"/>
                    <pic:cNvPicPr>
                      <a:picLocks noChangeAspect="1"/>
                    </pic:cNvPicPr>
                  </pic:nvPicPr>
                  <pic:blipFill>
                    <a:blip r:embed="rId7"/>
                    <a:stretch>
                      <a:fillRect/>
                    </a:stretch>
                  </pic:blipFill>
                  <pic:spPr>
                    <a:xfrm>
                      <a:off x="0" y="0"/>
                      <a:ext cx="7543800" cy="5982970"/>
                    </a:xfrm>
                    <a:prstGeom prst="rect">
                      <a:avLst/>
                    </a:prstGeom>
                  </pic:spPr>
                </pic:pic>
              </a:graphicData>
            </a:graphic>
          </wp:anchor>
        </w:drawing>
      </w:r>
    </w:p>
    <w:p>
      <w:pPr>
        <w:rPr>
          <w:highlight w:val="none"/>
        </w:rPr>
      </w:pPr>
    </w:p>
    <w:p>
      <w:pPr>
        <w:rPr>
          <w:highlight w:val="none"/>
        </w:rPr>
      </w:pPr>
    </w:p>
    <w:p>
      <w:pPr>
        <w:rPr>
          <w:highlight w:val="none"/>
        </w:rPr>
      </w:pPr>
    </w:p>
    <w:p>
      <w:pPr>
        <w:rPr>
          <w:highlight w:val="none"/>
        </w:rPr>
      </w:pPr>
    </w:p>
    <w:p>
      <w:pPr>
        <w:spacing w:line="1000" w:lineRule="exact"/>
        <w:rPr>
          <w:highlight w:val="none"/>
        </w:rPr>
      </w:pPr>
    </w:p>
    <w:p>
      <w:pPr>
        <w:spacing w:line="360" w:lineRule="auto"/>
        <w:jc w:val="center"/>
        <w:rPr>
          <w:rFonts w:ascii="宋体" w:hAnsi="宋体"/>
          <w:b/>
          <w:sz w:val="22"/>
          <w:szCs w:val="22"/>
          <w:highlight w:val="none"/>
        </w:rPr>
      </w:pPr>
    </w:p>
    <w:p>
      <w:pPr>
        <w:spacing w:line="360" w:lineRule="auto"/>
        <w:jc w:val="center"/>
        <w:rPr>
          <w:rFonts w:ascii="宋体" w:hAnsi="宋体"/>
          <w:b/>
          <w:highlight w:val="none"/>
        </w:rPr>
      </w:pPr>
    </w:p>
    <w:p>
      <w:pPr>
        <w:spacing w:line="360" w:lineRule="auto"/>
        <w:jc w:val="center"/>
        <w:rPr>
          <w:rFonts w:ascii="宋体" w:hAnsi="宋体"/>
          <w:b/>
          <w:sz w:val="44"/>
          <w:szCs w:val="44"/>
          <w:highlight w:val="none"/>
        </w:rPr>
      </w:pPr>
      <w:bookmarkStart w:id="0" w:name="_Toc13647"/>
      <w:bookmarkStart w:id="1" w:name="_Toc20528"/>
      <w:bookmarkStart w:id="2" w:name="_Toc8173"/>
      <w:bookmarkStart w:id="3" w:name="_Toc22323"/>
      <w:r>
        <w:rPr>
          <w:rFonts w:hint="eastAsia" w:ascii="宋体" w:hAnsi="宋体"/>
          <w:b/>
          <w:sz w:val="44"/>
          <w:szCs w:val="44"/>
          <w:highlight w:val="none"/>
        </w:rPr>
        <w:t>南网储能公司2026-2029年人工智能</w:t>
      </w:r>
      <w:r>
        <w:rPr>
          <w:rFonts w:hint="eastAsia" w:ascii="宋体" w:hAnsi="宋体"/>
          <w:b/>
          <w:sz w:val="44"/>
          <w:szCs w:val="44"/>
          <w:highlight w:val="none"/>
          <w:lang w:val="en-US" w:eastAsia="zh-CN"/>
        </w:rPr>
        <w:t>高</w:t>
      </w:r>
      <w:r>
        <w:rPr>
          <w:rFonts w:hint="eastAsia" w:ascii="宋体" w:hAnsi="宋体"/>
          <w:b/>
          <w:sz w:val="44"/>
          <w:szCs w:val="44"/>
          <w:highlight w:val="none"/>
        </w:rPr>
        <w:t>性能算力资源租赁项目</w:t>
      </w:r>
      <w:bookmarkEnd w:id="0"/>
      <w:bookmarkEnd w:id="1"/>
      <w:bookmarkEnd w:id="2"/>
      <w:bookmarkEnd w:id="3"/>
    </w:p>
    <w:p>
      <w:pPr>
        <w:wordWrap w:val="0"/>
        <w:jc w:val="right"/>
        <w:rPr>
          <w:rFonts w:ascii="宋体" w:hAnsi="宋体"/>
          <w:b/>
          <w:sz w:val="2"/>
          <w:szCs w:val="2"/>
          <w:highlight w:val="none"/>
        </w:rPr>
      </w:pPr>
    </w:p>
    <w:p>
      <w:pPr>
        <w:wordWrap w:val="0"/>
        <w:jc w:val="right"/>
        <w:rPr>
          <w:rFonts w:ascii="宋体" w:hAnsi="宋体"/>
          <w:b/>
          <w:sz w:val="72"/>
          <w:szCs w:val="72"/>
          <w:highlight w:val="none"/>
        </w:rPr>
      </w:pPr>
      <w:bookmarkStart w:id="4" w:name="_Toc5385"/>
      <w:bookmarkStart w:id="5" w:name="_Toc1134"/>
      <w:r>
        <w:rPr>
          <w:rFonts w:hint="eastAsia" w:ascii="宋体" w:hAnsi="宋体"/>
          <w:b/>
          <w:sz w:val="72"/>
          <w:szCs w:val="72"/>
          <w:highlight w:val="none"/>
        </w:rPr>
        <w:t>技术规范书</w:t>
      </w:r>
      <w:bookmarkEnd w:id="4"/>
      <w:bookmarkEnd w:id="5"/>
      <w:r>
        <w:rPr>
          <w:rFonts w:hint="eastAsia" w:ascii="宋体" w:hAnsi="宋体"/>
          <w:b/>
          <w:sz w:val="72"/>
          <w:szCs w:val="72"/>
          <w:highlight w:val="none"/>
        </w:rPr>
        <w:t xml:space="preserve"> </w:t>
      </w:r>
    </w:p>
    <w:p>
      <w:pPr>
        <w:spacing w:line="360" w:lineRule="auto"/>
        <w:rPr>
          <w:rFonts w:eastAsia="楷体_GB2312"/>
          <w:sz w:val="32"/>
          <w:szCs w:val="32"/>
          <w:highlight w:val="none"/>
        </w:rPr>
      </w:pPr>
    </w:p>
    <w:p>
      <w:pPr>
        <w:spacing w:line="360" w:lineRule="auto"/>
        <w:rPr>
          <w:rFonts w:ascii="宋体" w:hAnsi="宋体"/>
          <w:b/>
          <w:sz w:val="36"/>
          <w:szCs w:val="36"/>
          <w:highlight w:val="none"/>
        </w:rPr>
      </w:pPr>
    </w:p>
    <w:p>
      <w:pPr>
        <w:spacing w:line="360" w:lineRule="auto"/>
        <w:jc w:val="center"/>
        <w:rPr>
          <w:rFonts w:ascii="宋体" w:hAnsi="宋体"/>
          <w:b/>
          <w:sz w:val="36"/>
          <w:szCs w:val="36"/>
          <w:highlight w:val="none"/>
        </w:rPr>
      </w:pPr>
    </w:p>
    <w:p>
      <w:pPr>
        <w:pStyle w:val="11"/>
        <w:rPr>
          <w:highlight w:val="none"/>
        </w:rPr>
      </w:pPr>
    </w:p>
    <w:p>
      <w:pPr>
        <w:spacing w:line="360" w:lineRule="auto"/>
        <w:jc w:val="center"/>
        <w:rPr>
          <w:rFonts w:ascii="宋体" w:hAnsi="宋体"/>
          <w:b/>
          <w:sz w:val="36"/>
          <w:szCs w:val="36"/>
          <w:highlight w:val="none"/>
        </w:rPr>
      </w:pPr>
    </w:p>
    <w:p>
      <w:pPr>
        <w:spacing w:line="360" w:lineRule="auto"/>
        <w:jc w:val="center"/>
        <w:rPr>
          <w:rFonts w:ascii="宋体" w:hAnsi="宋体"/>
          <w:b/>
          <w:sz w:val="36"/>
          <w:szCs w:val="36"/>
          <w:highlight w:val="none"/>
        </w:rPr>
      </w:pPr>
    </w:p>
    <w:p>
      <w:pPr>
        <w:pStyle w:val="11"/>
        <w:rPr>
          <w:rFonts w:ascii="宋体" w:hAnsi="宋体"/>
          <w:b/>
          <w:sz w:val="36"/>
          <w:szCs w:val="36"/>
          <w:highlight w:val="none"/>
        </w:rPr>
      </w:pPr>
    </w:p>
    <w:p>
      <w:pPr>
        <w:rPr>
          <w:rFonts w:ascii="宋体" w:hAnsi="宋体"/>
          <w:b/>
          <w:sz w:val="36"/>
          <w:szCs w:val="36"/>
          <w:highlight w:val="none"/>
        </w:rPr>
      </w:pPr>
    </w:p>
    <w:p>
      <w:pPr>
        <w:pStyle w:val="11"/>
        <w:rPr>
          <w:rFonts w:ascii="宋体" w:hAnsi="宋体"/>
          <w:b/>
          <w:sz w:val="36"/>
          <w:szCs w:val="36"/>
          <w:highlight w:val="none"/>
        </w:rPr>
      </w:pPr>
    </w:p>
    <w:p>
      <w:pPr>
        <w:spacing w:line="360" w:lineRule="auto"/>
        <w:jc w:val="center"/>
        <w:rPr>
          <w:rFonts w:ascii="宋体" w:hAnsi="宋体"/>
          <w:b/>
          <w:sz w:val="36"/>
          <w:szCs w:val="36"/>
          <w:highlight w:val="none"/>
        </w:rPr>
      </w:pPr>
    </w:p>
    <w:p>
      <w:pPr>
        <w:spacing w:line="360" w:lineRule="auto"/>
        <w:jc w:val="center"/>
        <w:rPr>
          <w:rFonts w:ascii="宋体" w:hAnsi="宋体"/>
          <w:b/>
          <w:sz w:val="36"/>
          <w:szCs w:val="36"/>
          <w:highlight w:val="none"/>
        </w:rPr>
      </w:pPr>
      <w:bookmarkStart w:id="6" w:name="_Toc5144"/>
      <w:bookmarkStart w:id="7" w:name="_Toc29747"/>
      <w:r>
        <w:rPr>
          <w:rFonts w:hint="eastAsia" w:ascii="宋体" w:hAnsi="宋体"/>
          <w:b/>
          <w:sz w:val="36"/>
          <w:szCs w:val="36"/>
          <w:highlight w:val="none"/>
        </w:rPr>
        <w:t>南方电网储能股份有限公司</w:t>
      </w:r>
      <w:bookmarkEnd w:id="6"/>
      <w:bookmarkEnd w:id="7"/>
    </w:p>
    <w:p>
      <w:pPr>
        <w:spacing w:line="360" w:lineRule="auto"/>
        <w:jc w:val="center"/>
        <w:rPr>
          <w:rFonts w:ascii="宋体" w:hAnsi="宋体"/>
          <w:i/>
          <w:color w:val="0070C0"/>
          <w:highlight w:val="none"/>
        </w:rPr>
      </w:pPr>
      <w:r>
        <w:rPr>
          <w:rFonts w:hint="eastAsia" w:ascii="宋体" w:hAnsi="宋体"/>
          <w:b/>
          <w:sz w:val="36"/>
          <w:szCs w:val="36"/>
          <w:highlight w:val="none"/>
          <w:lang w:val="en-US" w:eastAsia="zh-CN"/>
        </w:rPr>
        <w:t>2026</w:t>
      </w:r>
      <w:r>
        <w:rPr>
          <w:rFonts w:ascii="宋体" w:hAnsi="宋体"/>
          <w:b/>
          <w:sz w:val="36"/>
          <w:szCs w:val="36"/>
          <w:highlight w:val="none"/>
        </w:rPr>
        <w:t>年</w:t>
      </w:r>
      <w:r>
        <w:rPr>
          <w:rFonts w:hint="eastAsia" w:ascii="宋体" w:hAnsi="宋体"/>
          <w:b/>
          <w:sz w:val="36"/>
          <w:szCs w:val="36"/>
          <w:highlight w:val="none"/>
          <w:lang w:val="en-US" w:eastAsia="zh-CN"/>
        </w:rPr>
        <w:t>03</w:t>
      </w:r>
      <w:r>
        <w:rPr>
          <w:rFonts w:hint="eastAsia" w:ascii="宋体" w:hAnsi="宋体"/>
          <w:b/>
          <w:sz w:val="36"/>
          <w:szCs w:val="36"/>
          <w:highlight w:val="none"/>
        </w:rPr>
        <w:t>月</w:t>
      </w:r>
    </w:p>
    <w:p>
      <w:pPr>
        <w:spacing w:line="360" w:lineRule="auto"/>
        <w:jc w:val="center"/>
        <w:rPr>
          <w:b/>
          <w:bCs/>
          <w:kern w:val="44"/>
          <w:sz w:val="44"/>
          <w:szCs w:val="44"/>
          <w:highlight w:val="none"/>
        </w:rPr>
        <w:sectPr>
          <w:pgSz w:w="11906" w:h="16838"/>
          <w:pgMar w:top="1247" w:right="1797" w:bottom="1440" w:left="1797" w:header="851" w:footer="992" w:gutter="0"/>
          <w:cols w:space="720" w:num="1"/>
          <w:docGrid w:linePitch="312" w:charSpace="0"/>
        </w:sectPr>
      </w:pPr>
    </w:p>
    <w:p>
      <w:pPr>
        <w:pStyle w:val="67"/>
        <w:spacing w:line="360" w:lineRule="auto"/>
        <w:jc w:val="center"/>
        <w:rPr>
          <w:rFonts w:ascii="宋体" w:hAnsi="宋体" w:cs="宋体"/>
          <w:b w:val="0"/>
          <w:color w:val="auto"/>
          <w:sz w:val="32"/>
          <w:szCs w:val="32"/>
          <w:highlight w:val="none"/>
        </w:rPr>
      </w:pPr>
    </w:p>
    <w:sdt>
      <w:sdtPr>
        <w:rPr>
          <w:rFonts w:hint="eastAsia" w:ascii="宋体" w:hAnsi="宋体" w:cs="宋体"/>
          <w:sz w:val="28"/>
          <w:szCs w:val="36"/>
          <w:highlight w:val="none"/>
        </w:rPr>
        <w:id w:val="147465564"/>
        <w15:color w:val="DBDBDB"/>
        <w:docPartObj>
          <w:docPartGallery w:val="Table of Contents"/>
          <w:docPartUnique/>
        </w:docPartObj>
      </w:sdtPr>
      <w:sdtEndPr>
        <w:rPr>
          <w:rFonts w:hint="eastAsia" w:ascii="宋体" w:hAnsi="宋体" w:cs="宋体"/>
          <w:sz w:val="28"/>
          <w:szCs w:val="36"/>
          <w:highlight w:val="none"/>
        </w:rPr>
      </w:sdtEndPr>
      <w:sdtContent>
        <w:p>
          <w:pPr>
            <w:jc w:val="center"/>
            <w:rPr>
              <w:rFonts w:ascii="宋体" w:hAnsi="宋体" w:cs="宋体"/>
              <w:sz w:val="36"/>
              <w:szCs w:val="36"/>
              <w:highlight w:val="none"/>
            </w:rPr>
          </w:pPr>
          <w:r>
            <w:rPr>
              <w:rFonts w:hint="eastAsia" w:ascii="宋体" w:hAnsi="宋体" w:cs="宋体"/>
              <w:sz w:val="28"/>
              <w:szCs w:val="36"/>
              <w:highlight w:val="none"/>
            </w:rPr>
            <w:t>目录</w:t>
          </w:r>
        </w:p>
        <w:p>
          <w:pPr>
            <w:pStyle w:val="22"/>
            <w:tabs>
              <w:tab w:val="right" w:leader="dot" w:pos="8306"/>
            </w:tabs>
            <w:spacing w:line="360" w:lineRule="auto"/>
            <w:rPr>
              <w:rFonts w:ascii="宋体" w:hAnsi="宋体" w:cs="宋体"/>
              <w:highlight w:val="none"/>
            </w:rPr>
          </w:pPr>
          <w:r>
            <w:rPr>
              <w:rFonts w:hint="eastAsia" w:ascii="宋体" w:hAnsi="宋体" w:cs="宋体"/>
              <w:highlight w:val="none"/>
            </w:rPr>
            <w:fldChar w:fldCharType="begin"/>
          </w:r>
          <w:r>
            <w:rPr>
              <w:rFonts w:hint="eastAsia" w:ascii="宋体" w:hAnsi="宋体" w:cs="宋体"/>
              <w:highlight w:val="none"/>
            </w:rPr>
            <w:instrText xml:space="preserve">TOC \o "1-1" \h \u </w:instrText>
          </w:r>
          <w:r>
            <w:rPr>
              <w:rFonts w:hint="eastAsia" w:ascii="宋体" w:hAnsi="宋体" w:cs="宋体"/>
              <w:highlight w:val="none"/>
            </w:rPr>
            <w:fldChar w:fldCharType="separate"/>
          </w:r>
          <w:r>
            <w:rPr>
              <w:highlight w:val="none"/>
            </w:rPr>
            <w:fldChar w:fldCharType="begin"/>
          </w:r>
          <w:r>
            <w:rPr>
              <w:highlight w:val="none"/>
            </w:rPr>
            <w:instrText xml:space="preserve"> HYPERLINK \l "_Toc3442" </w:instrText>
          </w:r>
          <w:r>
            <w:rPr>
              <w:highlight w:val="none"/>
            </w:rPr>
            <w:fldChar w:fldCharType="separate"/>
          </w:r>
          <w:r>
            <w:rPr>
              <w:rFonts w:hint="eastAsia" w:ascii="宋体" w:hAnsi="宋体" w:cs="宋体"/>
              <w:bCs/>
              <w:highlight w:val="none"/>
            </w:rPr>
            <w:t>一、概述</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_Toc3442 \h </w:instrText>
          </w:r>
          <w:r>
            <w:rPr>
              <w:rFonts w:hint="eastAsia" w:ascii="宋体" w:hAnsi="宋体" w:cs="宋体"/>
              <w:highlight w:val="none"/>
            </w:rPr>
            <w:fldChar w:fldCharType="separate"/>
          </w:r>
          <w:r>
            <w:rPr>
              <w:rFonts w:hint="eastAsia" w:ascii="宋体" w:hAnsi="宋体" w:cs="宋体"/>
              <w:highlight w:val="none"/>
            </w:rPr>
            <w:t>3</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"_Toc17801" </w:instrText>
          </w:r>
          <w:r>
            <w:rPr>
              <w:highlight w:val="none"/>
            </w:rPr>
            <w:fldChar w:fldCharType="separate"/>
          </w:r>
          <w:r>
            <w:rPr>
              <w:rFonts w:hint="eastAsia" w:ascii="宋体" w:hAnsi="宋体" w:cs="宋体"/>
              <w:bCs/>
              <w:highlight w:val="none"/>
            </w:rPr>
            <w:t>二、质量及安全保证</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_Toc17801 \h </w:instrText>
          </w:r>
          <w:r>
            <w:rPr>
              <w:rFonts w:hint="eastAsia" w:ascii="宋体" w:hAnsi="宋体" w:cs="宋体"/>
              <w:highlight w:val="none"/>
            </w:rPr>
            <w:fldChar w:fldCharType="separate"/>
          </w:r>
          <w:r>
            <w:rPr>
              <w:rFonts w:hint="eastAsia" w:ascii="宋体" w:hAnsi="宋体" w:cs="宋体"/>
              <w:highlight w:val="none"/>
            </w:rPr>
            <w:t>3</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"_Toc22511" </w:instrText>
          </w:r>
          <w:r>
            <w:rPr>
              <w:highlight w:val="none"/>
            </w:rPr>
            <w:fldChar w:fldCharType="separate"/>
          </w:r>
          <w:r>
            <w:rPr>
              <w:rFonts w:hint="eastAsia" w:ascii="宋体" w:hAnsi="宋体" w:cs="宋体"/>
              <w:bCs/>
              <w:highlight w:val="none"/>
            </w:rPr>
            <w:t>三、服务内容</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_Toc22511 \h </w:instrText>
          </w:r>
          <w:r>
            <w:rPr>
              <w:rFonts w:hint="eastAsia" w:ascii="宋体" w:hAnsi="宋体" w:cs="宋体"/>
              <w:highlight w:val="none"/>
            </w:rPr>
            <w:fldChar w:fldCharType="separate"/>
          </w:r>
          <w:r>
            <w:rPr>
              <w:rFonts w:hint="eastAsia" w:ascii="宋体" w:hAnsi="宋体" w:cs="宋体"/>
              <w:highlight w:val="none"/>
            </w:rPr>
            <w:t>3</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"_Toc3692" </w:instrText>
          </w:r>
          <w:r>
            <w:rPr>
              <w:highlight w:val="none"/>
            </w:rPr>
            <w:fldChar w:fldCharType="separate"/>
          </w:r>
          <w:r>
            <w:rPr>
              <w:rFonts w:hint="eastAsia" w:ascii="宋体" w:hAnsi="宋体" w:cs="宋体"/>
              <w:bCs/>
              <w:highlight w:val="none"/>
            </w:rPr>
            <w:t>四、服务期限</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_Toc3692 \h </w:instrText>
          </w:r>
          <w:r>
            <w:rPr>
              <w:rFonts w:hint="eastAsia" w:ascii="宋体" w:hAnsi="宋体" w:cs="宋体"/>
              <w:highlight w:val="none"/>
            </w:rPr>
            <w:fldChar w:fldCharType="separate"/>
          </w:r>
          <w:r>
            <w:rPr>
              <w:rFonts w:hint="eastAsia" w:ascii="宋体" w:hAnsi="宋体" w:cs="宋体"/>
              <w:highlight w:val="none"/>
            </w:rPr>
            <w:t>4</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"_Toc2269" </w:instrText>
          </w:r>
          <w:r>
            <w:rPr>
              <w:highlight w:val="none"/>
            </w:rPr>
            <w:fldChar w:fldCharType="separate"/>
          </w:r>
          <w:r>
            <w:rPr>
              <w:rFonts w:hint="eastAsia" w:ascii="宋体" w:hAnsi="宋体" w:cs="宋体"/>
              <w:bCs/>
              <w:highlight w:val="none"/>
            </w:rPr>
            <w:t>五、</w:t>
          </w:r>
          <w:r>
            <w:rPr>
              <w:rFonts w:hint="eastAsia" w:ascii="宋体" w:hAnsi="宋体" w:cs="宋体"/>
              <w:highlight w:val="none"/>
            </w:rPr>
            <w:t>服务</w:t>
          </w:r>
          <w:r>
            <w:rPr>
              <w:rFonts w:hint="eastAsia" w:ascii="宋体" w:hAnsi="宋体" w:cs="宋体"/>
              <w:bCs/>
              <w:highlight w:val="none"/>
            </w:rPr>
            <w:t>要求</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_Toc2269 \h </w:instrText>
          </w:r>
          <w:r>
            <w:rPr>
              <w:rFonts w:hint="eastAsia" w:ascii="宋体" w:hAnsi="宋体" w:cs="宋体"/>
              <w:highlight w:val="none"/>
            </w:rPr>
            <w:fldChar w:fldCharType="separate"/>
          </w:r>
          <w:r>
            <w:rPr>
              <w:rFonts w:hint="eastAsia" w:ascii="宋体" w:hAnsi="宋体" w:cs="宋体"/>
              <w:highlight w:val="none"/>
            </w:rPr>
            <w:t>5</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"_Toc19199" </w:instrText>
          </w:r>
          <w:r>
            <w:rPr>
              <w:highlight w:val="none"/>
            </w:rPr>
            <w:fldChar w:fldCharType="separate"/>
          </w:r>
          <w:r>
            <w:rPr>
              <w:rFonts w:hint="eastAsia" w:ascii="宋体" w:hAnsi="宋体" w:cs="宋体"/>
              <w:highlight w:val="none"/>
            </w:rPr>
            <w:t>六、项目实施</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_Toc19199 \h </w:instrText>
          </w:r>
          <w:r>
            <w:rPr>
              <w:rFonts w:hint="eastAsia" w:ascii="宋体" w:hAnsi="宋体" w:cs="宋体"/>
              <w:highlight w:val="none"/>
            </w:rPr>
            <w:fldChar w:fldCharType="separate"/>
          </w:r>
          <w:r>
            <w:rPr>
              <w:rFonts w:hint="eastAsia" w:ascii="宋体" w:hAnsi="宋体" w:cs="宋体"/>
              <w:highlight w:val="none"/>
            </w:rPr>
            <w:t>7</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"_Toc3753" </w:instrText>
          </w:r>
          <w:r>
            <w:rPr>
              <w:highlight w:val="none"/>
            </w:rPr>
            <w:fldChar w:fldCharType="separate"/>
          </w:r>
          <w:r>
            <w:rPr>
              <w:rFonts w:hint="eastAsia" w:ascii="宋体" w:hAnsi="宋体" w:cs="宋体"/>
              <w:bCs/>
              <w:highlight w:val="none"/>
            </w:rPr>
            <w:t>七、培训服务</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_Toc3753 \h </w:instrText>
          </w:r>
          <w:r>
            <w:rPr>
              <w:rFonts w:hint="eastAsia" w:ascii="宋体" w:hAnsi="宋体" w:cs="宋体"/>
              <w:highlight w:val="none"/>
            </w:rPr>
            <w:fldChar w:fldCharType="separate"/>
          </w:r>
          <w:r>
            <w:rPr>
              <w:rFonts w:hint="eastAsia" w:ascii="宋体" w:hAnsi="宋体" w:cs="宋体"/>
              <w:highlight w:val="none"/>
            </w:rPr>
            <w:t>10</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"_Toc2600" </w:instrText>
          </w:r>
          <w:r>
            <w:rPr>
              <w:highlight w:val="none"/>
            </w:rPr>
            <w:fldChar w:fldCharType="separate"/>
          </w:r>
          <w:r>
            <w:rPr>
              <w:rFonts w:hint="eastAsia" w:ascii="宋体" w:hAnsi="宋体" w:cs="宋体"/>
              <w:bCs/>
              <w:highlight w:val="none"/>
            </w:rPr>
            <w:t>八、售后服务</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_Toc2600 \h </w:instrText>
          </w:r>
          <w:r>
            <w:rPr>
              <w:rFonts w:hint="eastAsia" w:ascii="宋体" w:hAnsi="宋体" w:cs="宋体"/>
              <w:highlight w:val="none"/>
            </w:rPr>
            <w:fldChar w:fldCharType="separate"/>
          </w:r>
          <w:r>
            <w:rPr>
              <w:rFonts w:hint="eastAsia" w:ascii="宋体" w:hAnsi="宋体" w:cs="宋体"/>
              <w:highlight w:val="none"/>
            </w:rPr>
            <w:t>11</w:t>
          </w:r>
          <w:r>
            <w:rPr>
              <w:rFonts w:hint="eastAsia" w:ascii="宋体" w:hAnsi="宋体" w:cs="宋体"/>
              <w:highlight w:val="none"/>
            </w:rPr>
            <w:fldChar w:fldCharType="end"/>
          </w:r>
          <w:r>
            <w:rPr>
              <w:rFonts w:hint="eastAsia" w:ascii="宋体" w:hAnsi="宋体" w:cs="宋体"/>
              <w:highlight w:val="none"/>
            </w:rPr>
            <w:fldChar w:fldCharType="end"/>
          </w:r>
        </w:p>
        <w:p>
          <w:pPr>
            <w:pStyle w:val="22"/>
            <w:tabs>
              <w:tab w:val="right" w:leader="dot" w:pos="8306"/>
            </w:tabs>
            <w:spacing w:line="360" w:lineRule="auto"/>
            <w:rPr>
              <w:rFonts w:ascii="宋体" w:hAnsi="宋体" w:cs="宋体"/>
              <w:highlight w:val="none"/>
            </w:rPr>
          </w:pPr>
          <w:r>
            <w:rPr>
              <w:highlight w:val="none"/>
            </w:rPr>
            <w:fldChar w:fldCharType="begin"/>
          </w:r>
          <w:r>
            <w:rPr>
              <w:highlight w:val="none"/>
            </w:rPr>
            <w:instrText xml:space="preserve"> HYPERLINK \l "_Toc22056" </w:instrText>
          </w:r>
          <w:r>
            <w:rPr>
              <w:highlight w:val="none"/>
            </w:rPr>
            <w:fldChar w:fldCharType="separate"/>
          </w:r>
          <w:r>
            <w:rPr>
              <w:rFonts w:hint="eastAsia" w:ascii="宋体" w:hAnsi="宋体" w:cs="宋体"/>
              <w:bCs/>
              <w:highlight w:val="none"/>
            </w:rPr>
            <w:t>九、技术文档</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_Toc22056 \h </w:instrText>
          </w:r>
          <w:r>
            <w:rPr>
              <w:rFonts w:hint="eastAsia" w:ascii="宋体" w:hAnsi="宋体" w:cs="宋体"/>
              <w:highlight w:val="none"/>
            </w:rPr>
            <w:fldChar w:fldCharType="separate"/>
          </w:r>
          <w:r>
            <w:rPr>
              <w:rFonts w:hint="eastAsia" w:ascii="宋体" w:hAnsi="宋体" w:cs="宋体"/>
              <w:highlight w:val="none"/>
            </w:rPr>
            <w:t>11</w:t>
          </w:r>
          <w:r>
            <w:rPr>
              <w:rFonts w:hint="eastAsia" w:ascii="宋体" w:hAnsi="宋体" w:cs="宋体"/>
              <w:highlight w:val="none"/>
            </w:rPr>
            <w:fldChar w:fldCharType="end"/>
          </w:r>
          <w:r>
            <w:rPr>
              <w:rFonts w:hint="eastAsia" w:ascii="宋体" w:hAnsi="宋体" w:cs="宋体"/>
              <w:highlight w:val="none"/>
            </w:rPr>
            <w:fldChar w:fldCharType="end"/>
          </w:r>
        </w:p>
        <w:p>
          <w:pPr>
            <w:spacing w:line="360" w:lineRule="auto"/>
            <w:rPr>
              <w:rFonts w:ascii="宋体" w:hAnsi="宋体" w:cs="宋体"/>
              <w:highlight w:val="none"/>
            </w:rPr>
          </w:pPr>
          <w:r>
            <w:rPr>
              <w:rFonts w:hint="eastAsia" w:ascii="宋体" w:hAnsi="宋体" w:cs="宋体"/>
              <w:highlight w:val="none"/>
            </w:rPr>
            <w:fldChar w:fldCharType="end"/>
          </w:r>
        </w:p>
      </w:sdtContent>
    </w:sdt>
    <w:p>
      <w:pPr>
        <w:snapToGrid w:val="0"/>
        <w:spacing w:line="360" w:lineRule="auto"/>
        <w:ind w:firstLine="480" w:firstLineChars="200"/>
        <w:rPr>
          <w:rFonts w:ascii="宋体" w:hAnsi="宋体" w:cs="宋体"/>
          <w:highlight w:val="none"/>
        </w:rPr>
      </w:pPr>
    </w:p>
    <w:p>
      <w:pPr>
        <w:snapToGrid w:val="0"/>
        <w:spacing w:line="360" w:lineRule="auto"/>
        <w:ind w:firstLine="480" w:firstLineChars="200"/>
        <w:rPr>
          <w:rFonts w:ascii="宋体" w:hAnsi="宋体"/>
          <w:highlight w:val="none"/>
        </w:rPr>
      </w:pPr>
    </w:p>
    <w:p>
      <w:pPr>
        <w:snapToGrid w:val="0"/>
        <w:spacing w:line="360" w:lineRule="auto"/>
        <w:ind w:firstLine="480" w:firstLineChars="200"/>
        <w:rPr>
          <w:rFonts w:ascii="宋体" w:hAnsi="宋体"/>
          <w:highlight w:val="none"/>
        </w:rPr>
      </w:pPr>
    </w:p>
    <w:p>
      <w:pPr>
        <w:snapToGrid w:val="0"/>
        <w:spacing w:line="360" w:lineRule="auto"/>
        <w:ind w:firstLine="480" w:firstLineChars="200"/>
        <w:rPr>
          <w:rFonts w:ascii="宋体" w:hAnsi="宋体"/>
          <w:highlight w:val="none"/>
        </w:rPr>
      </w:pPr>
    </w:p>
    <w:p>
      <w:pPr>
        <w:snapToGrid w:val="0"/>
        <w:spacing w:line="360" w:lineRule="auto"/>
        <w:ind w:firstLine="480" w:firstLineChars="200"/>
        <w:rPr>
          <w:rFonts w:ascii="宋体" w:hAnsi="宋体"/>
          <w:highlight w:val="none"/>
        </w:rPr>
      </w:pPr>
    </w:p>
    <w:p>
      <w:pPr>
        <w:spacing w:line="360" w:lineRule="auto"/>
        <w:jc w:val="center"/>
        <w:rPr>
          <w:rFonts w:ascii="宋体" w:hAnsi="宋体"/>
          <w:sz w:val="52"/>
          <w:szCs w:val="52"/>
          <w:highlight w:val="none"/>
        </w:rPr>
      </w:pPr>
      <w:bookmarkStart w:id="8" w:name="_Toc261418235"/>
      <w:bookmarkStart w:id="9" w:name="_Toc261423865"/>
      <w:bookmarkStart w:id="10" w:name="_Toc291008591"/>
    </w:p>
    <w:p>
      <w:pPr>
        <w:spacing w:line="360" w:lineRule="auto"/>
        <w:jc w:val="center"/>
        <w:rPr>
          <w:rFonts w:ascii="宋体" w:hAnsi="宋体"/>
          <w:sz w:val="52"/>
          <w:szCs w:val="52"/>
          <w:highlight w:val="none"/>
        </w:rPr>
      </w:pPr>
    </w:p>
    <w:p>
      <w:pPr>
        <w:spacing w:line="360" w:lineRule="auto"/>
        <w:jc w:val="center"/>
        <w:rPr>
          <w:rFonts w:ascii="宋体" w:hAnsi="宋体"/>
          <w:sz w:val="52"/>
          <w:szCs w:val="52"/>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p>
    <w:bookmarkEnd w:id="8"/>
    <w:bookmarkEnd w:id="9"/>
    <w:bookmarkEnd w:id="10"/>
    <w:p>
      <w:pPr>
        <w:pStyle w:val="2"/>
        <w:adjustRightInd w:val="0"/>
        <w:snapToGrid w:val="0"/>
        <w:spacing w:before="320" w:after="120" w:line="413" w:lineRule="auto"/>
        <w:rPr>
          <w:rFonts w:eastAsia="黑体"/>
          <w:sz w:val="24"/>
          <w:highlight w:val="none"/>
        </w:rPr>
      </w:pPr>
      <w:bookmarkStart w:id="11" w:name="_Toc31963"/>
      <w:bookmarkStart w:id="12" w:name="_Toc3442"/>
      <w:bookmarkStart w:id="13" w:name="_Toc1331"/>
      <w:bookmarkStart w:id="14" w:name="_Toc32531"/>
      <w:bookmarkStart w:id="15" w:name="_Toc1775"/>
      <w:bookmarkStart w:id="16" w:name="_Toc28786"/>
      <w:bookmarkStart w:id="17" w:name="_Toc24505"/>
      <w:bookmarkStart w:id="18" w:name="_Toc23128"/>
      <w:r>
        <w:rPr>
          <w:rFonts w:hint="eastAsia" w:eastAsia="黑体"/>
          <w:sz w:val="24"/>
          <w:highlight w:val="none"/>
        </w:rPr>
        <w:t>一、概述</w:t>
      </w:r>
      <w:bookmarkEnd w:id="11"/>
      <w:bookmarkEnd w:id="12"/>
      <w:bookmarkEnd w:id="13"/>
      <w:bookmarkEnd w:id="14"/>
      <w:bookmarkEnd w:id="15"/>
      <w:bookmarkEnd w:id="16"/>
      <w:bookmarkEnd w:id="17"/>
      <w:bookmarkEnd w:id="18"/>
    </w:p>
    <w:p>
      <w:pPr>
        <w:numPr>
          <w:ilvl w:val="1"/>
          <w:numId w:val="5"/>
        </w:numPr>
        <w:spacing w:line="360" w:lineRule="auto"/>
        <w:ind w:left="0" w:firstLine="480" w:firstLineChars="200"/>
        <w:rPr>
          <w:rFonts w:ascii="宋体" w:hAnsi="宋体"/>
          <w:szCs w:val="21"/>
          <w:highlight w:val="none"/>
        </w:rPr>
      </w:pPr>
      <w:r>
        <w:rPr>
          <w:rFonts w:hint="eastAsia"/>
          <w:highlight w:val="none"/>
        </w:rPr>
        <w:t xml:space="preserve"> 为满足南方电网储能股份有限公司在人工智能领域的研发、测试及部署需求，拟采购</w:t>
      </w:r>
      <w:r>
        <w:rPr>
          <w:rFonts w:hint="eastAsia"/>
          <w:bCs/>
          <w:highlight w:val="none"/>
        </w:rPr>
        <w:t>高性能人工智能算力资源租赁服务</w:t>
      </w:r>
      <w:r>
        <w:rPr>
          <w:rFonts w:hint="eastAsia"/>
          <w:highlight w:val="none"/>
        </w:rPr>
        <w:t>。</w:t>
      </w:r>
    </w:p>
    <w:p>
      <w:pPr>
        <w:numPr>
          <w:ilvl w:val="1"/>
          <w:numId w:val="5"/>
        </w:numPr>
        <w:spacing w:line="360" w:lineRule="auto"/>
        <w:ind w:left="0" w:firstLine="480" w:firstLineChars="200"/>
        <w:rPr>
          <w:rFonts w:ascii="宋体" w:hAnsi="宋体"/>
          <w:szCs w:val="21"/>
          <w:highlight w:val="none"/>
        </w:rPr>
      </w:pPr>
      <w:r>
        <w:rPr>
          <w:rFonts w:hint="eastAsia"/>
          <w:highlight w:val="none"/>
        </w:rPr>
        <w:t xml:space="preserve"> 本文件为</w:t>
      </w:r>
      <w:r>
        <w:rPr>
          <w:rFonts w:hint="eastAsia"/>
          <w:highlight w:val="none"/>
          <w:u w:val="single"/>
        </w:rPr>
        <w:t>南网储能公司2026-2029年人工智能</w:t>
      </w:r>
      <w:r>
        <w:rPr>
          <w:rFonts w:hint="eastAsia"/>
          <w:highlight w:val="none"/>
          <w:u w:val="single"/>
          <w:lang w:val="en-US" w:eastAsia="zh-CN"/>
        </w:rPr>
        <w:t>高</w:t>
      </w:r>
      <w:r>
        <w:rPr>
          <w:rFonts w:hint="eastAsia"/>
          <w:highlight w:val="none"/>
          <w:u w:val="single"/>
        </w:rPr>
        <w:t>性能算力资源租赁项目</w:t>
      </w:r>
      <w:r>
        <w:rPr>
          <w:rFonts w:hint="eastAsia"/>
          <w:highlight w:val="none"/>
        </w:rPr>
        <w:t>技术规范书文件。投标方必须仔细阅读本文件的所有条款，以中文逐条做出明确答复（点对点应答）并给出相关技术指标偏差，提供技术建议书，提交设备配置清单及相关产品详细说明文档等附件资料</w:t>
      </w:r>
      <w:r>
        <w:rPr>
          <w:rFonts w:hint="eastAsia" w:ascii="宋体" w:hAnsi="宋体"/>
          <w:szCs w:val="21"/>
          <w:highlight w:val="none"/>
        </w:rPr>
        <w:t>。</w:t>
      </w:r>
    </w:p>
    <w:p>
      <w:pPr>
        <w:pStyle w:val="2"/>
        <w:adjustRightInd w:val="0"/>
        <w:snapToGrid w:val="0"/>
        <w:spacing w:before="320" w:after="120" w:line="413" w:lineRule="auto"/>
        <w:rPr>
          <w:rFonts w:eastAsia="黑体"/>
          <w:sz w:val="24"/>
          <w:highlight w:val="none"/>
        </w:rPr>
      </w:pPr>
      <w:bookmarkStart w:id="19" w:name="_Toc8629"/>
      <w:bookmarkStart w:id="20" w:name="_Toc17801"/>
      <w:bookmarkStart w:id="21" w:name="_Toc20193"/>
      <w:bookmarkStart w:id="22" w:name="_Toc281836847"/>
      <w:bookmarkStart w:id="23" w:name="_Toc22034"/>
      <w:bookmarkStart w:id="24" w:name="_Toc2915"/>
      <w:bookmarkStart w:id="25" w:name="_Toc4786"/>
      <w:bookmarkStart w:id="26" w:name="_Toc281836865"/>
      <w:bookmarkStart w:id="27" w:name="_Toc13424"/>
      <w:bookmarkStart w:id="28" w:name="_Toc31075"/>
      <w:r>
        <w:rPr>
          <w:rFonts w:hint="eastAsia" w:eastAsia="黑体"/>
          <w:sz w:val="24"/>
          <w:highlight w:val="none"/>
        </w:rPr>
        <w:t>二、质量及安全保证</w:t>
      </w:r>
      <w:bookmarkEnd w:id="19"/>
      <w:bookmarkEnd w:id="20"/>
      <w:bookmarkEnd w:id="21"/>
      <w:bookmarkEnd w:id="22"/>
      <w:bookmarkEnd w:id="23"/>
      <w:bookmarkEnd w:id="24"/>
      <w:bookmarkEnd w:id="25"/>
      <w:bookmarkEnd w:id="26"/>
      <w:bookmarkEnd w:id="27"/>
      <w:bookmarkEnd w:id="28"/>
    </w:p>
    <w:p>
      <w:pPr>
        <w:numPr>
          <w:ilvl w:val="1"/>
          <w:numId w:val="6"/>
        </w:numPr>
        <w:spacing w:line="360" w:lineRule="auto"/>
        <w:ind w:left="0" w:firstLine="480" w:firstLineChars="200"/>
        <w:rPr>
          <w:rFonts w:ascii="宋体" w:hAnsi="宋体"/>
          <w:szCs w:val="21"/>
          <w:highlight w:val="none"/>
        </w:rPr>
      </w:pPr>
      <w:bookmarkStart w:id="29" w:name="_Toc281749165"/>
      <w:bookmarkEnd w:id="29"/>
      <w:bookmarkStart w:id="30" w:name="_Toc281836866"/>
      <w:r>
        <w:rPr>
          <w:rFonts w:hint="eastAsia" w:ascii="宋体" w:hAnsi="宋体"/>
          <w:szCs w:val="21"/>
          <w:highlight w:val="none"/>
        </w:rPr>
        <w:t xml:space="preserve"> 租赁的新产品除满足本协议书外，投标方还需提供产品的鉴定证书。</w:t>
      </w:r>
      <w:bookmarkEnd w:id="30"/>
    </w:p>
    <w:p>
      <w:pPr>
        <w:numPr>
          <w:ilvl w:val="1"/>
          <w:numId w:val="6"/>
        </w:numPr>
        <w:spacing w:line="360" w:lineRule="auto"/>
        <w:ind w:left="0" w:firstLine="480" w:firstLineChars="200"/>
        <w:rPr>
          <w:rFonts w:ascii="宋体" w:hAnsi="宋体"/>
          <w:szCs w:val="21"/>
          <w:highlight w:val="none"/>
        </w:rPr>
      </w:pPr>
      <w:bookmarkStart w:id="31" w:name="_Toc281836867"/>
      <w:r>
        <w:rPr>
          <w:rFonts w:hint="eastAsia" w:ascii="宋体" w:hAnsi="宋体"/>
          <w:szCs w:val="21"/>
          <w:highlight w:val="none"/>
        </w:rPr>
        <w:t xml:space="preserve"> 投标方保证制造过程中的所有工艺、材料等（包括投标方的外构件在内）均符合协议书的规定。若招标方根据运行经验需投标方提供某种外购零部件，投标方积极配合。</w:t>
      </w:r>
      <w:bookmarkEnd w:id="31"/>
    </w:p>
    <w:p>
      <w:pPr>
        <w:numPr>
          <w:ilvl w:val="1"/>
          <w:numId w:val="6"/>
        </w:numPr>
        <w:spacing w:line="360" w:lineRule="auto"/>
        <w:ind w:left="0" w:firstLine="480" w:firstLineChars="200"/>
        <w:rPr>
          <w:rFonts w:ascii="宋体" w:hAnsi="宋体"/>
          <w:szCs w:val="21"/>
          <w:highlight w:val="none"/>
        </w:rPr>
      </w:pPr>
      <w:bookmarkStart w:id="32" w:name="_Toc281836868"/>
      <w:r>
        <w:rPr>
          <w:rFonts w:hint="eastAsia" w:ascii="宋体" w:hAnsi="宋体"/>
          <w:szCs w:val="21"/>
          <w:highlight w:val="none"/>
        </w:rPr>
        <w:t xml:space="preserve"> 投标方遵守本协议书中各条款和工作项目的ISO9000 GB/T1900 质量保证体系，该质量保证体系经过国家认证和正常运转。</w:t>
      </w:r>
      <w:bookmarkEnd w:id="32"/>
    </w:p>
    <w:p>
      <w:pPr>
        <w:numPr>
          <w:ilvl w:val="1"/>
          <w:numId w:val="6"/>
        </w:numPr>
        <w:spacing w:line="360" w:lineRule="auto"/>
        <w:ind w:left="0" w:firstLine="480" w:firstLineChars="200"/>
        <w:rPr>
          <w:rFonts w:ascii="宋体" w:hAnsi="宋体"/>
          <w:szCs w:val="21"/>
          <w:highlight w:val="none"/>
        </w:rPr>
      </w:pPr>
      <w:r>
        <w:rPr>
          <w:rFonts w:hint="eastAsia" w:ascii="宋体" w:hAnsi="宋体"/>
          <w:szCs w:val="21"/>
          <w:highlight w:val="none"/>
        </w:rPr>
        <w:t xml:space="preserve"> 投标方提供的任何固件和软件不得存在漏洞和后门。</w:t>
      </w:r>
    </w:p>
    <w:p>
      <w:pPr>
        <w:numPr>
          <w:ilvl w:val="1"/>
          <w:numId w:val="6"/>
        </w:numPr>
        <w:spacing w:line="360" w:lineRule="auto"/>
        <w:ind w:left="0" w:firstLine="480" w:firstLineChars="200"/>
        <w:rPr>
          <w:rFonts w:ascii="宋体" w:hAnsi="宋体"/>
          <w:szCs w:val="21"/>
          <w:highlight w:val="none"/>
        </w:rPr>
      </w:pPr>
      <w:r>
        <w:rPr>
          <w:rFonts w:hint="eastAsia" w:ascii="宋体" w:hAnsi="宋体"/>
          <w:szCs w:val="21"/>
          <w:highlight w:val="none"/>
        </w:rPr>
        <w:t xml:space="preserve"> 投标方所提供固件和软件的原制造商提供补丁支持。</w:t>
      </w:r>
    </w:p>
    <w:p>
      <w:pPr>
        <w:numPr>
          <w:ilvl w:val="1"/>
          <w:numId w:val="6"/>
        </w:numPr>
        <w:spacing w:line="360" w:lineRule="auto"/>
        <w:ind w:left="0" w:firstLine="480" w:firstLineChars="200"/>
        <w:rPr>
          <w:rFonts w:ascii="宋体" w:hAnsi="宋体"/>
          <w:szCs w:val="21"/>
          <w:highlight w:val="none"/>
        </w:rPr>
      </w:pPr>
      <w:r>
        <w:rPr>
          <w:rFonts w:hint="eastAsia" w:ascii="宋体" w:hAnsi="宋体"/>
          <w:szCs w:val="21"/>
          <w:highlight w:val="none"/>
        </w:rPr>
        <w:t xml:space="preserve"> 投标方或投标方所提供固件和软件的原制造商发现缺陷，在发布补丁程序后一周内向招标方提供补丁程序或者配件。</w:t>
      </w:r>
    </w:p>
    <w:p>
      <w:pPr>
        <w:numPr>
          <w:ilvl w:val="1"/>
          <w:numId w:val="6"/>
        </w:numPr>
        <w:spacing w:line="360" w:lineRule="auto"/>
        <w:ind w:left="0" w:firstLine="480" w:firstLineChars="200"/>
        <w:rPr>
          <w:rFonts w:ascii="宋体" w:hAnsi="宋体"/>
          <w:szCs w:val="21"/>
          <w:highlight w:val="none"/>
        </w:rPr>
      </w:pPr>
      <w:r>
        <w:rPr>
          <w:rFonts w:hint="eastAsia" w:ascii="宋体" w:hAnsi="宋体"/>
          <w:szCs w:val="21"/>
          <w:highlight w:val="none"/>
        </w:rPr>
        <w:t xml:space="preserve"> 招标方发现投标方所提供固件和软件存在缺陷，原制造商在接到招标方通知之日起1个月内提供相应的补丁程序或者配件。</w:t>
      </w:r>
    </w:p>
    <w:p>
      <w:pPr>
        <w:numPr>
          <w:ilvl w:val="1"/>
          <w:numId w:val="6"/>
        </w:numPr>
        <w:spacing w:line="360" w:lineRule="auto"/>
        <w:ind w:left="0" w:firstLine="480" w:firstLineChars="200"/>
        <w:rPr>
          <w:rFonts w:ascii="宋体" w:hAnsi="宋体"/>
          <w:szCs w:val="21"/>
          <w:highlight w:val="none"/>
        </w:rPr>
      </w:pPr>
      <w:r>
        <w:rPr>
          <w:rFonts w:hint="eastAsia" w:ascii="宋体" w:hAnsi="宋体"/>
          <w:szCs w:val="21"/>
          <w:highlight w:val="none"/>
        </w:rPr>
        <w:t xml:space="preserve"> 投标方提供的产品若不符合国家网络安全审查等相关政策，由投标方免费进行更换。</w:t>
      </w:r>
    </w:p>
    <w:p>
      <w:pPr>
        <w:pStyle w:val="2"/>
        <w:adjustRightInd w:val="0"/>
        <w:snapToGrid w:val="0"/>
        <w:spacing w:before="320" w:after="120" w:line="413" w:lineRule="auto"/>
        <w:rPr>
          <w:rFonts w:eastAsia="黑体"/>
          <w:sz w:val="24"/>
          <w:highlight w:val="none"/>
        </w:rPr>
      </w:pPr>
      <w:bookmarkStart w:id="33" w:name="_Toc21446"/>
      <w:bookmarkStart w:id="34" w:name="_Toc5960"/>
      <w:bookmarkStart w:id="35" w:name="_Toc22511"/>
      <w:bookmarkStart w:id="36" w:name="_Toc10787"/>
      <w:bookmarkStart w:id="37" w:name="_Toc13316"/>
      <w:bookmarkStart w:id="38" w:name="_Toc1314"/>
      <w:bookmarkStart w:id="39" w:name="_Toc1755"/>
      <w:bookmarkStart w:id="40" w:name="_Toc2630"/>
      <w:bookmarkStart w:id="41" w:name="_Toc332013278"/>
      <w:bookmarkStart w:id="42" w:name="_Toc291008595"/>
      <w:r>
        <w:rPr>
          <w:rFonts w:hint="eastAsia" w:eastAsia="黑体"/>
          <w:sz w:val="24"/>
          <w:highlight w:val="none"/>
        </w:rPr>
        <w:t>三、服务内容</w:t>
      </w:r>
      <w:bookmarkEnd w:id="33"/>
      <w:bookmarkEnd w:id="34"/>
      <w:bookmarkEnd w:id="35"/>
      <w:bookmarkEnd w:id="36"/>
      <w:bookmarkEnd w:id="37"/>
      <w:bookmarkEnd w:id="38"/>
      <w:bookmarkEnd w:id="39"/>
      <w:bookmarkEnd w:id="40"/>
    </w:p>
    <w:p>
      <w:pPr>
        <w:numPr>
          <w:ilvl w:val="0"/>
          <w:numId w:val="7"/>
        </w:numPr>
        <w:spacing w:line="360" w:lineRule="auto"/>
        <w:ind w:left="0" w:firstLine="480" w:firstLineChars="200"/>
        <w:rPr>
          <w:bCs/>
          <w:highlight w:val="none"/>
        </w:rPr>
      </w:pPr>
      <w:bookmarkStart w:id="43" w:name="_Toc526272794"/>
      <w:bookmarkStart w:id="44" w:name="_Toc144120382"/>
      <w:bookmarkStart w:id="45" w:name="_Toc221954755"/>
      <w:bookmarkStart w:id="46" w:name="_Toc144126299"/>
      <w:bookmarkStart w:id="47" w:name="_Toc44215780"/>
      <w:bookmarkStart w:id="48" w:name="_Toc526272386"/>
      <w:bookmarkStart w:id="49" w:name="_Toc44215941"/>
      <w:bookmarkStart w:id="50" w:name="_Toc263581805"/>
      <w:bookmarkStart w:id="51" w:name="_Toc144120610"/>
      <w:r>
        <w:rPr>
          <w:rFonts w:hint="eastAsia"/>
          <w:bCs/>
          <w:highlight w:val="none"/>
        </w:rPr>
        <w:t>服务清单</w:t>
      </w:r>
    </w:p>
    <w:tbl>
      <w:tblPr>
        <w:tblStyle w:val="30"/>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1460"/>
        <w:gridCol w:w="3831"/>
        <w:gridCol w:w="4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294" w:type="pct"/>
            <w:vAlign w:val="center"/>
          </w:tcPr>
          <w:p>
            <w:pPr>
              <w:keepNext w:val="0"/>
              <w:keepLines w:val="0"/>
              <w:suppressLineNumbers w:val="0"/>
              <w:spacing w:before="0" w:beforeAutospacing="0" w:after="0" w:afterAutospacing="0" w:line="360" w:lineRule="auto"/>
              <w:ind w:left="0" w:right="0"/>
              <w:jc w:val="center"/>
              <w:rPr>
                <w:rFonts w:hint="eastAsia"/>
                <w:bCs/>
                <w:highlight w:val="none"/>
              </w:rPr>
            </w:pPr>
            <w:r>
              <w:rPr>
                <w:rFonts w:hint="eastAsia"/>
                <w:bCs/>
                <w:highlight w:val="none"/>
              </w:rPr>
              <w:t>序号</w:t>
            </w:r>
          </w:p>
        </w:tc>
        <w:tc>
          <w:tcPr>
            <w:tcW w:w="735" w:type="pct"/>
            <w:vAlign w:val="center"/>
          </w:tcPr>
          <w:p>
            <w:pPr>
              <w:keepNext w:val="0"/>
              <w:keepLines w:val="0"/>
              <w:suppressLineNumbers w:val="0"/>
              <w:spacing w:before="0" w:beforeAutospacing="0" w:after="0" w:afterAutospacing="0" w:line="360" w:lineRule="auto"/>
              <w:ind w:left="0" w:right="0"/>
              <w:jc w:val="center"/>
              <w:rPr>
                <w:rFonts w:hint="eastAsia"/>
                <w:bCs/>
                <w:highlight w:val="none"/>
              </w:rPr>
            </w:pPr>
            <w:r>
              <w:rPr>
                <w:rFonts w:hint="eastAsia"/>
                <w:bCs/>
                <w:highlight w:val="none"/>
              </w:rPr>
              <w:t>服务名称</w:t>
            </w:r>
          </w:p>
        </w:tc>
        <w:tc>
          <w:tcPr>
            <w:tcW w:w="1929" w:type="pct"/>
            <w:vAlign w:val="center"/>
          </w:tcPr>
          <w:p>
            <w:pPr>
              <w:keepNext w:val="0"/>
              <w:keepLines w:val="0"/>
              <w:suppressLineNumbers w:val="0"/>
              <w:spacing w:before="0" w:beforeAutospacing="0" w:after="0" w:afterAutospacing="0" w:line="360" w:lineRule="auto"/>
              <w:ind w:left="0" w:right="0"/>
              <w:jc w:val="center"/>
              <w:rPr>
                <w:rFonts w:hint="eastAsia"/>
                <w:bCs/>
                <w:highlight w:val="none"/>
              </w:rPr>
            </w:pPr>
            <w:r>
              <w:rPr>
                <w:rFonts w:hint="eastAsia"/>
                <w:bCs/>
                <w:highlight w:val="none"/>
              </w:rPr>
              <w:t>服务项目</w:t>
            </w:r>
          </w:p>
        </w:tc>
        <w:tc>
          <w:tcPr>
            <w:tcW w:w="2040" w:type="pct"/>
            <w:vAlign w:val="center"/>
          </w:tcPr>
          <w:p>
            <w:pPr>
              <w:keepNext w:val="0"/>
              <w:keepLines w:val="0"/>
              <w:suppressLineNumbers w:val="0"/>
              <w:spacing w:before="0" w:beforeAutospacing="0" w:after="0" w:afterAutospacing="0" w:line="360" w:lineRule="auto"/>
              <w:ind w:left="0" w:right="0"/>
              <w:jc w:val="center"/>
              <w:rPr>
                <w:rFonts w:hint="eastAsia"/>
                <w:bCs/>
                <w:highlight w:val="none"/>
              </w:rPr>
            </w:pPr>
            <w:r>
              <w:rPr>
                <w:rFonts w:hint="eastAsia"/>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294" w:type="pct"/>
            <w:vAlign w:val="center"/>
          </w:tcPr>
          <w:p>
            <w:pPr>
              <w:keepNext w:val="0"/>
              <w:keepLines w:val="0"/>
              <w:suppressLineNumbers w:val="0"/>
              <w:spacing w:before="0" w:beforeAutospacing="0" w:after="0" w:afterAutospacing="0" w:line="360" w:lineRule="auto"/>
              <w:ind w:left="0" w:right="0"/>
              <w:jc w:val="center"/>
              <w:rPr>
                <w:rFonts w:hint="eastAsia"/>
                <w:bCs/>
                <w:highlight w:val="none"/>
              </w:rPr>
            </w:pPr>
            <w:r>
              <w:rPr>
                <w:rFonts w:hint="eastAsia"/>
                <w:bCs/>
                <w:highlight w:val="none"/>
              </w:rPr>
              <w:t>1</w:t>
            </w:r>
          </w:p>
        </w:tc>
        <w:tc>
          <w:tcPr>
            <w:tcW w:w="735" w:type="pct"/>
            <w:vAlign w:val="center"/>
          </w:tcPr>
          <w:p>
            <w:pPr>
              <w:keepNext w:val="0"/>
              <w:keepLines w:val="0"/>
              <w:suppressLineNumbers w:val="0"/>
              <w:spacing w:before="0" w:beforeAutospacing="0" w:after="0" w:afterAutospacing="0" w:line="360" w:lineRule="auto"/>
              <w:ind w:left="0" w:right="0"/>
              <w:jc w:val="center"/>
              <w:rPr>
                <w:rFonts w:hint="eastAsia"/>
                <w:bCs/>
                <w:sz w:val="28"/>
                <w:szCs w:val="28"/>
                <w:highlight w:val="none"/>
              </w:rPr>
            </w:pPr>
            <w:r>
              <w:rPr>
                <w:rFonts w:hint="eastAsia"/>
                <w:bCs/>
                <w:highlight w:val="none"/>
              </w:rPr>
              <w:t>高性能人工智能算力资源租赁服务</w:t>
            </w:r>
          </w:p>
        </w:tc>
        <w:tc>
          <w:tcPr>
            <w:tcW w:w="1929" w:type="pct"/>
            <w:vAlign w:val="center"/>
          </w:tcPr>
          <w:p>
            <w:pPr>
              <w:keepNext w:val="0"/>
              <w:keepLines w:val="0"/>
              <w:numPr>
                <w:ilvl w:val="0"/>
                <w:numId w:val="0"/>
              </w:numPr>
              <w:suppressLineNumbers w:val="0"/>
              <w:spacing w:before="0" w:beforeAutospacing="0" w:after="0" w:afterAutospacing="0" w:line="360" w:lineRule="auto"/>
              <w:ind w:left="0" w:right="0" w:rightChars="0"/>
              <w:rPr>
                <w:rFonts w:hint="eastAsia"/>
                <w:bCs/>
                <w:highlight w:val="none"/>
              </w:rPr>
            </w:pPr>
            <w:r>
              <w:rPr>
                <w:rFonts w:hint="eastAsia"/>
                <w:bCs/>
                <w:highlight w:val="none"/>
              </w:rPr>
              <w:t>租赁</w:t>
            </w:r>
            <w:r>
              <w:rPr>
                <w:rFonts w:hint="eastAsia"/>
                <w:b/>
                <w:highlight w:val="none"/>
                <w:lang w:val="en-US" w:eastAsia="zh-CN"/>
              </w:rPr>
              <w:t>3</w:t>
            </w:r>
            <w:r>
              <w:rPr>
                <w:rFonts w:hint="eastAsia"/>
                <w:b/>
                <w:highlight w:val="none"/>
              </w:rPr>
              <w:t>台AI训推一体服务器物理设备</w:t>
            </w:r>
            <w:r>
              <w:rPr>
                <w:rFonts w:hint="eastAsia"/>
                <w:b/>
                <w:highlight w:val="none"/>
                <w:lang w:eastAsia="zh-CN"/>
              </w:rPr>
              <w:t>，</w:t>
            </w:r>
            <w:r>
              <w:rPr>
                <w:rFonts w:hint="eastAsia"/>
                <w:b/>
                <w:highlight w:val="none"/>
                <w:lang w:val="en-US" w:eastAsia="zh-CN"/>
              </w:rPr>
              <w:t>技术</w:t>
            </w:r>
            <w:r>
              <w:rPr>
                <w:rFonts w:hint="eastAsia"/>
                <w:bCs/>
                <w:highlight w:val="none"/>
              </w:rPr>
              <w:t>要求详见第五章。</w:t>
            </w:r>
          </w:p>
        </w:tc>
        <w:tc>
          <w:tcPr>
            <w:tcW w:w="2040" w:type="pct"/>
            <w:vAlign w:val="center"/>
          </w:tcPr>
          <w:p>
            <w:pPr>
              <w:keepNext w:val="0"/>
              <w:keepLines w:val="0"/>
              <w:suppressLineNumbers w:val="0"/>
              <w:spacing w:before="0" w:beforeAutospacing="0" w:after="0" w:afterAutospacing="0" w:line="360" w:lineRule="auto"/>
              <w:ind w:left="0" w:right="0"/>
              <w:jc w:val="center"/>
              <w:rPr>
                <w:rFonts w:hint="eastAsia"/>
                <w:bCs/>
                <w:highlight w:val="none"/>
              </w:rPr>
            </w:pPr>
            <w:r>
              <w:rPr>
                <w:rFonts w:hint="eastAsia"/>
                <w:bCs/>
                <w:highlight w:val="none"/>
              </w:rPr>
              <w:t>租赁服务期间，由投标方提供包括但不限于设备安装调试，租赁期间的设备运维、质保服务以及其他AI算力资源相关的技术服务、培训服务、售后服务等。</w:t>
            </w:r>
          </w:p>
        </w:tc>
      </w:tr>
      <w:bookmarkEnd w:id="43"/>
      <w:bookmarkEnd w:id="44"/>
      <w:bookmarkEnd w:id="45"/>
      <w:bookmarkEnd w:id="46"/>
      <w:bookmarkEnd w:id="47"/>
      <w:bookmarkEnd w:id="48"/>
      <w:bookmarkEnd w:id="49"/>
      <w:bookmarkEnd w:id="50"/>
      <w:bookmarkEnd w:id="51"/>
    </w:tbl>
    <w:p>
      <w:pPr>
        <w:numPr>
          <w:ilvl w:val="0"/>
          <w:numId w:val="7"/>
        </w:numPr>
        <w:spacing w:line="360" w:lineRule="auto"/>
        <w:ind w:left="0" w:firstLine="480" w:firstLineChars="200"/>
        <w:rPr>
          <w:bCs/>
          <w:highlight w:val="none"/>
        </w:rPr>
      </w:pPr>
      <w:bookmarkStart w:id="52" w:name="_Toc263581808"/>
      <w:r>
        <w:rPr>
          <w:rFonts w:hint="eastAsia"/>
          <w:bCs/>
          <w:highlight w:val="none"/>
        </w:rPr>
        <w:t>应急方案</w:t>
      </w:r>
      <w:bookmarkEnd w:id="52"/>
    </w:p>
    <w:p>
      <w:pPr>
        <w:spacing w:line="360" w:lineRule="auto"/>
        <w:ind w:firstLine="480" w:firstLineChars="200"/>
        <w:rPr>
          <w:rFonts w:ascii="宋体" w:hAnsi="宋体"/>
          <w:highlight w:val="none"/>
        </w:rPr>
      </w:pPr>
      <w:r>
        <w:rPr>
          <w:rFonts w:hint="eastAsia" w:ascii="宋体" w:hAnsi="宋体"/>
          <w:highlight w:val="none"/>
        </w:rPr>
        <w:t>投标方提供详细的应急方案，以满足：在需方急需</w:t>
      </w:r>
      <w:r>
        <w:rPr>
          <w:rFonts w:hint="eastAsia" w:ascii="宋体" w:hAnsi="宋体"/>
          <w:highlight w:val="none"/>
          <w:lang w:val="en-US" w:eastAsia="zh-CN"/>
        </w:rPr>
        <w:t>算力资源</w:t>
      </w:r>
      <w:r>
        <w:rPr>
          <w:rFonts w:hint="eastAsia" w:ascii="宋体" w:hAnsi="宋体"/>
          <w:highlight w:val="none"/>
        </w:rPr>
        <w:t>的情况下，</w:t>
      </w:r>
      <w:r>
        <w:rPr>
          <w:rFonts w:hint="eastAsia" w:ascii="宋体" w:hAnsi="宋体"/>
          <w:b w:val="0"/>
          <w:bCs w:val="0"/>
          <w:highlight w:val="none"/>
        </w:rPr>
        <w:t>能</w:t>
      </w:r>
      <w:r>
        <w:rPr>
          <w:rFonts w:hint="eastAsia" w:ascii="宋体" w:hAnsi="宋体"/>
          <w:b w:val="0"/>
          <w:bCs w:val="0"/>
          <w:highlight w:val="none"/>
          <w:lang w:val="en-US" w:eastAsia="zh-CN"/>
        </w:rPr>
        <w:t>及时</w:t>
      </w:r>
      <w:r>
        <w:rPr>
          <w:rFonts w:hint="eastAsia" w:ascii="宋体" w:hAnsi="宋体"/>
          <w:highlight w:val="none"/>
        </w:rPr>
        <w:t>提供符合性能、配置要求的</w:t>
      </w:r>
      <w:r>
        <w:rPr>
          <w:rFonts w:hint="eastAsia" w:ascii="宋体" w:hAnsi="宋体"/>
          <w:highlight w:val="none"/>
          <w:lang w:val="en-US" w:eastAsia="zh-CN"/>
        </w:rPr>
        <w:t>算力资源</w:t>
      </w:r>
      <w:r>
        <w:rPr>
          <w:rFonts w:hint="eastAsia" w:ascii="宋体" w:hAnsi="宋体"/>
          <w:highlight w:val="none"/>
        </w:rPr>
        <w:t>。</w:t>
      </w:r>
    </w:p>
    <w:p>
      <w:pPr>
        <w:pStyle w:val="2"/>
        <w:numPr>
          <w:ilvl w:val="0"/>
          <w:numId w:val="8"/>
        </w:numPr>
        <w:adjustRightInd w:val="0"/>
        <w:snapToGrid w:val="0"/>
        <w:spacing w:before="320" w:after="120" w:line="413" w:lineRule="auto"/>
        <w:rPr>
          <w:rFonts w:eastAsia="黑体"/>
          <w:sz w:val="24"/>
          <w:highlight w:val="none"/>
        </w:rPr>
      </w:pPr>
      <w:bookmarkStart w:id="53" w:name="_Toc14944"/>
      <w:bookmarkStart w:id="54" w:name="_Toc9516"/>
      <w:bookmarkStart w:id="55" w:name="_Toc13297"/>
      <w:bookmarkStart w:id="56" w:name="_Toc23469"/>
      <w:bookmarkStart w:id="57" w:name="_Toc20973"/>
      <w:bookmarkStart w:id="58" w:name="_Toc6015"/>
      <w:bookmarkStart w:id="59" w:name="_Toc7806"/>
      <w:r>
        <w:rPr>
          <w:rFonts w:hint="eastAsia" w:ascii="Times New Roman" w:hAnsi="Times New Roman" w:eastAsia="黑体"/>
          <w:color w:val="auto"/>
          <w:sz w:val="24"/>
          <w:highlight w:val="none"/>
          <w:lang w:val="en-US" w:eastAsia="zh-CN"/>
        </w:rPr>
        <w:t>服务</w:t>
      </w:r>
      <w:r>
        <w:rPr>
          <w:rFonts w:hint="eastAsia" w:eastAsia="黑体"/>
          <w:color w:val="auto"/>
          <w:sz w:val="24"/>
          <w:highlight w:val="none"/>
          <w:lang w:val="en-US" w:eastAsia="zh-CN"/>
        </w:rPr>
        <w:t>期限</w:t>
      </w:r>
    </w:p>
    <w:p>
      <w:pPr>
        <w:numPr>
          <w:ilvl w:val="0"/>
          <w:numId w:val="0"/>
        </w:numPr>
        <w:spacing w:line="360" w:lineRule="auto"/>
        <w:ind w:firstLine="420" w:firstLineChars="0"/>
        <w:rPr>
          <w:rFonts w:hint="default" w:ascii="宋体" w:hAnsi="宋体" w:eastAsia="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4.1项目涉及的AI算力资源，应在合同生效后30</w:t>
      </w:r>
      <w:r>
        <w:rPr>
          <w:rFonts w:hint="eastAsia"/>
          <w:highlight w:val="none"/>
          <w:lang w:val="en-US" w:eastAsia="zh-CN"/>
        </w:rPr>
        <w:t>个工作日</w:t>
      </w:r>
      <w:r>
        <w:rPr>
          <w:rFonts w:hint="eastAsia" w:ascii="宋体" w:hAnsi="宋体" w:cs="Times New Roman"/>
          <w:bCs/>
          <w:color w:val="auto"/>
          <w:kern w:val="2"/>
          <w:sz w:val="24"/>
          <w:szCs w:val="24"/>
          <w:highlight w:val="none"/>
          <w:lang w:val="en-US" w:eastAsia="zh-CN" w:bidi="ar-SA"/>
        </w:rPr>
        <w:t>内生效，并由招标方确认资源处于可用状态。</w:t>
      </w:r>
    </w:p>
    <w:p>
      <w:pPr>
        <w:numPr>
          <w:ilvl w:val="0"/>
          <w:numId w:val="0"/>
        </w:numPr>
        <w:spacing w:line="360" w:lineRule="auto"/>
        <w:ind w:left="842" w:leftChars="0" w:hanging="420" w:firstLineChars="0"/>
        <w:rPr>
          <w:highlight w:val="none"/>
        </w:rPr>
      </w:pPr>
      <w:r>
        <w:rPr>
          <w:rFonts w:hint="default" w:ascii="宋体" w:hAnsi="宋体" w:eastAsia="宋体" w:cs="Times New Roman"/>
          <w:kern w:val="2"/>
          <w:sz w:val="24"/>
          <w:szCs w:val="24"/>
          <w:highlight w:val="none"/>
          <w:lang w:val="en-US" w:eastAsia="zh-CN" w:bidi="ar-SA"/>
        </w:rPr>
        <w:t>4.2</w:t>
      </w:r>
      <w:r>
        <w:rPr>
          <w:rFonts w:hint="eastAsia" w:ascii="宋体" w:hAnsi="宋体" w:eastAsia="宋体" w:cs="Times New Roman"/>
          <w:color w:val="auto"/>
          <w:highlight w:val="none"/>
        </w:rPr>
        <w:t>在国家政策发生变化的情况下，按照新的国家管理要求开展</w:t>
      </w:r>
      <w:r>
        <w:rPr>
          <w:rFonts w:hint="eastAsia" w:ascii="宋体" w:hAnsi="宋体" w:cs="Times New Roman"/>
          <w:color w:val="auto"/>
          <w:highlight w:val="none"/>
          <w:lang w:val="en-US" w:eastAsia="zh-CN"/>
        </w:rPr>
        <w:t>租赁服务</w:t>
      </w:r>
      <w:r>
        <w:rPr>
          <w:rFonts w:hint="eastAsia" w:ascii="宋体" w:hAnsi="宋体" w:eastAsia="宋体" w:cs="Times New Roman"/>
          <w:bCs/>
          <w:color w:val="auto"/>
          <w:kern w:val="2"/>
          <w:sz w:val="24"/>
          <w:szCs w:val="24"/>
          <w:highlight w:val="none"/>
          <w:lang w:val="en-US" w:eastAsia="zh-CN" w:bidi="ar-SA"/>
        </w:rPr>
        <w:t>。</w:t>
      </w:r>
    </w:p>
    <w:p>
      <w:pPr>
        <w:numPr>
          <w:ilvl w:val="0"/>
          <w:numId w:val="0"/>
        </w:numPr>
        <w:spacing w:line="360" w:lineRule="auto"/>
        <w:ind w:firstLine="420" w:firstLineChars="0"/>
        <w:rPr>
          <w:rFonts w:hint="eastAsia"/>
          <w:bCs/>
          <w:highlight w:val="none"/>
        </w:rPr>
      </w:pPr>
      <w:r>
        <w:rPr>
          <w:rFonts w:hint="default" w:ascii="宋体" w:hAnsi="宋体" w:eastAsia="宋体" w:cs="Times New Roman"/>
          <w:kern w:val="2"/>
          <w:sz w:val="24"/>
          <w:szCs w:val="24"/>
          <w:highlight w:val="none"/>
          <w:lang w:val="en-US" w:eastAsia="zh-CN" w:bidi="ar-SA"/>
        </w:rPr>
        <w:t>4.3</w:t>
      </w:r>
      <w:r>
        <w:rPr>
          <w:rFonts w:hint="eastAsia" w:ascii="宋体" w:hAnsi="宋体" w:eastAsia="宋体" w:cs="Times New Roman"/>
          <w:bCs/>
          <w:color w:val="auto"/>
          <w:kern w:val="2"/>
          <w:sz w:val="24"/>
          <w:szCs w:val="24"/>
          <w:highlight w:val="none"/>
          <w:lang w:val="en-US" w:eastAsia="zh-CN" w:bidi="ar-SA"/>
        </w:rPr>
        <w:t>中标方根据招标人的需要，租赁相关硬件设备给招标方，租赁满</w:t>
      </w:r>
      <w:r>
        <w:rPr>
          <w:rFonts w:hint="eastAsia" w:ascii="宋体" w:hAnsi="宋体" w:cs="Times New Roman"/>
          <w:bCs/>
          <w:color w:val="auto"/>
          <w:kern w:val="2"/>
          <w:sz w:val="24"/>
          <w:szCs w:val="24"/>
          <w:highlight w:val="none"/>
          <w:lang w:val="en-US" w:eastAsia="zh-CN" w:bidi="ar-SA"/>
        </w:rPr>
        <w:t>3</w:t>
      </w:r>
      <w:r>
        <w:rPr>
          <w:rFonts w:hint="eastAsia" w:ascii="宋体" w:hAnsi="宋体" w:eastAsia="宋体" w:cs="Times New Roman"/>
          <w:bCs/>
          <w:color w:val="auto"/>
          <w:kern w:val="2"/>
          <w:sz w:val="24"/>
          <w:szCs w:val="24"/>
          <w:highlight w:val="none"/>
          <w:lang w:val="en-US" w:eastAsia="zh-CN" w:bidi="ar-SA"/>
        </w:rPr>
        <w:t>年后，</w:t>
      </w:r>
      <w:r>
        <w:rPr>
          <w:rFonts w:hint="eastAsia" w:cs="Times New Roman"/>
          <w:bCs/>
          <w:color w:val="auto"/>
          <w:highlight w:val="none"/>
          <w:lang w:val="en-US" w:eastAsia="zh-CN"/>
        </w:rPr>
        <w:t>第4年起不加收硬件租赁费。</w:t>
      </w:r>
    </w:p>
    <w:bookmarkEnd w:id="53"/>
    <w:bookmarkEnd w:id="54"/>
    <w:bookmarkEnd w:id="55"/>
    <w:bookmarkEnd w:id="56"/>
    <w:bookmarkEnd w:id="57"/>
    <w:bookmarkEnd w:id="58"/>
    <w:bookmarkEnd w:id="59"/>
    <w:p>
      <w:pPr>
        <w:pStyle w:val="2"/>
        <w:numPr>
          <w:ilvl w:val="0"/>
          <w:numId w:val="8"/>
        </w:numPr>
        <w:adjustRightInd w:val="0"/>
        <w:snapToGrid w:val="0"/>
        <w:spacing w:before="320" w:after="120" w:line="413" w:lineRule="auto"/>
        <w:rPr>
          <w:rFonts w:eastAsia="黑体"/>
          <w:sz w:val="24"/>
          <w:highlight w:val="none"/>
        </w:rPr>
      </w:pPr>
      <w:r>
        <w:rPr>
          <w:rFonts w:hint="eastAsia" w:eastAsia="黑体"/>
          <w:sz w:val="24"/>
          <w:highlight w:val="none"/>
          <w:lang w:val="en-US" w:eastAsia="zh-CN"/>
        </w:rPr>
        <w:t>服务要求</w:t>
      </w:r>
    </w:p>
    <w:bookmarkEnd w:id="41"/>
    <w:bookmarkEnd w:id="42"/>
    <w:p>
      <w:pPr>
        <w:widowControl/>
        <w:numPr>
          <w:ilvl w:val="255"/>
          <w:numId w:val="0"/>
        </w:numPr>
        <w:spacing w:line="360" w:lineRule="auto"/>
        <w:ind w:left="480" w:leftChars="200"/>
        <w:jc w:val="left"/>
        <w:rPr>
          <w:rFonts w:ascii="宋体" w:hAnsi="宋体"/>
          <w:b/>
          <w:bCs/>
          <w:szCs w:val="21"/>
          <w:highlight w:val="none"/>
        </w:rPr>
      </w:pPr>
      <w:bookmarkStart w:id="60" w:name="_Toc25231"/>
      <w:bookmarkStart w:id="61" w:name="_Toc8660"/>
      <w:r>
        <w:rPr>
          <w:rFonts w:hint="eastAsia"/>
          <w:bCs/>
          <w:highlight w:val="none"/>
        </w:rPr>
        <w:t>（1）AI算力物理服务</w:t>
      </w:r>
      <w:r>
        <w:rPr>
          <w:rFonts w:hint="eastAsia" w:ascii="宋体" w:hAnsi="宋体"/>
          <w:szCs w:val="21"/>
          <w:highlight w:val="none"/>
        </w:rPr>
        <w:t>器技术参数要求</w:t>
      </w:r>
      <w:r>
        <w:rPr>
          <w:rFonts w:hint="eastAsia" w:ascii="宋体" w:hAnsi="宋体"/>
          <w:b/>
          <w:bCs/>
          <w:szCs w:val="21"/>
          <w:highlight w:val="none"/>
        </w:rPr>
        <w:t>：</w:t>
      </w:r>
    </w:p>
    <w:bookmarkEnd w:id="60"/>
    <w:bookmarkEnd w:id="61"/>
    <w:p>
      <w:pPr>
        <w:spacing w:line="360" w:lineRule="auto"/>
        <w:ind w:left="96" w:firstLine="384"/>
        <w:rPr>
          <w:rFonts w:hint="eastAsia" w:ascii="宋体" w:hAnsi="宋体"/>
          <w:szCs w:val="21"/>
          <w:highlight w:val="none"/>
        </w:rPr>
      </w:pPr>
      <w:bookmarkStart w:id="62" w:name="_Toc291008614"/>
      <w:r>
        <w:rPr>
          <w:rFonts w:hint="eastAsia" w:ascii="宋体" w:hAnsi="宋体"/>
          <w:szCs w:val="21"/>
          <w:highlight w:val="none"/>
        </w:rPr>
        <w:t>所列的技术参数及选项配件必须全部应答</w:t>
      </w:r>
      <w:r>
        <w:rPr>
          <w:rFonts w:hint="eastAsia" w:ascii="宋体" w:hAnsi="宋体"/>
          <w:szCs w:val="21"/>
          <w:highlight w:val="none"/>
          <w:lang w:eastAsia="zh-CN"/>
        </w:rPr>
        <w:t>。</w:t>
      </w:r>
      <w:r>
        <w:rPr>
          <w:rFonts w:hint="eastAsia" w:ascii="宋体" w:hAnsi="宋体"/>
          <w:szCs w:val="21"/>
          <w:highlight w:val="none"/>
        </w:rPr>
        <w:t>其中，</w:t>
      </w:r>
      <w:r>
        <w:rPr>
          <w:rFonts w:hint="eastAsia" w:ascii="宋体" w:hAnsi="宋体"/>
          <w:szCs w:val="21"/>
          <w:highlight w:val="none"/>
          <w:lang w:val="en-US" w:eastAsia="zh-CN"/>
        </w:rPr>
        <w:t>标</w:t>
      </w:r>
      <w:r>
        <w:rPr>
          <w:rFonts w:hint="eastAsia" w:ascii="宋体" w:hAnsi="宋体"/>
          <w:szCs w:val="21"/>
          <w:highlight w:val="none"/>
        </w:rPr>
        <w:t>★</w:t>
      </w:r>
      <w:r>
        <w:rPr>
          <w:rFonts w:hint="eastAsia" w:ascii="宋体" w:hAnsi="宋体"/>
          <w:szCs w:val="21"/>
          <w:highlight w:val="none"/>
          <w:lang w:val="en-US" w:eastAsia="zh-CN"/>
        </w:rPr>
        <w:t>号</w:t>
      </w:r>
      <w:r>
        <w:rPr>
          <w:rFonts w:hint="eastAsia" w:ascii="宋体" w:hAnsi="宋体"/>
          <w:szCs w:val="21"/>
          <w:highlight w:val="none"/>
        </w:rPr>
        <w:t>为</w:t>
      </w:r>
      <w:r>
        <w:rPr>
          <w:rFonts w:hint="eastAsia" w:ascii="宋体" w:hAnsi="宋体"/>
          <w:b w:val="0"/>
          <w:bCs w:val="0"/>
          <w:color w:val="auto"/>
          <w:szCs w:val="21"/>
          <w:highlight w:val="none"/>
        </w:rPr>
        <w:t>必须</w:t>
      </w:r>
      <w:r>
        <w:rPr>
          <w:rFonts w:hint="eastAsia" w:ascii="宋体" w:hAnsi="宋体"/>
          <w:b w:val="0"/>
          <w:bCs w:val="0"/>
          <w:color w:val="auto"/>
          <w:szCs w:val="21"/>
          <w:highlight w:val="none"/>
          <w:lang w:val="en-US" w:eastAsia="zh-CN"/>
        </w:rPr>
        <w:t>满足关键</w:t>
      </w:r>
      <w:r>
        <w:rPr>
          <w:rFonts w:hint="eastAsia" w:ascii="宋体" w:hAnsi="宋体"/>
          <w:b w:val="0"/>
          <w:bCs w:val="0"/>
          <w:color w:val="auto"/>
          <w:szCs w:val="21"/>
          <w:highlight w:val="none"/>
        </w:rPr>
        <w:t>指标</w:t>
      </w:r>
      <w:r>
        <w:rPr>
          <w:rFonts w:hint="eastAsia" w:ascii="宋体" w:hAnsi="宋体"/>
          <w:b w:val="0"/>
          <w:bCs w:val="0"/>
          <w:color w:val="auto"/>
          <w:szCs w:val="21"/>
          <w:highlight w:val="none"/>
          <w:lang w:eastAsia="zh-CN"/>
        </w:rPr>
        <w:t>（</w:t>
      </w:r>
      <w:r>
        <w:rPr>
          <w:rFonts w:hint="eastAsia" w:ascii="宋体" w:hAnsi="宋体"/>
          <w:b w:val="0"/>
          <w:bCs w:val="0"/>
          <w:color w:val="auto"/>
          <w:szCs w:val="21"/>
          <w:highlight w:val="none"/>
          <w:lang w:val="en-US" w:eastAsia="zh-CN"/>
        </w:rPr>
        <w:t>共1</w:t>
      </w:r>
      <w:r>
        <w:rPr>
          <w:rFonts w:hint="default" w:ascii="宋体" w:hAnsi="宋体"/>
          <w:b w:val="0"/>
          <w:bCs w:val="0"/>
          <w:color w:val="auto"/>
          <w:szCs w:val="21"/>
          <w:highlight w:val="none"/>
          <w:lang w:eastAsia="zh-CN"/>
        </w:rPr>
        <w:t>0</w:t>
      </w:r>
      <w:r>
        <w:rPr>
          <w:rFonts w:hint="eastAsia" w:ascii="宋体" w:hAnsi="宋体"/>
          <w:b w:val="0"/>
          <w:bCs w:val="0"/>
          <w:color w:val="auto"/>
          <w:szCs w:val="21"/>
          <w:highlight w:val="none"/>
          <w:lang w:val="en-US" w:eastAsia="zh-CN"/>
        </w:rPr>
        <w:t>项</w:t>
      </w:r>
      <w:r>
        <w:rPr>
          <w:rFonts w:hint="eastAsia" w:ascii="宋体" w:hAnsi="宋体"/>
          <w:b w:val="0"/>
          <w:bCs w:val="0"/>
          <w:color w:val="auto"/>
          <w:szCs w:val="21"/>
          <w:highlight w:val="none"/>
          <w:lang w:eastAsia="zh-CN"/>
        </w:rPr>
        <w:t>）</w:t>
      </w:r>
      <w:r>
        <w:rPr>
          <w:rFonts w:hint="eastAsia" w:ascii="宋体" w:hAnsi="宋体"/>
          <w:b w:val="0"/>
          <w:bCs w:val="0"/>
          <w:color w:val="auto"/>
          <w:szCs w:val="21"/>
          <w:highlight w:val="none"/>
        </w:rPr>
        <w:t>，</w:t>
      </w:r>
      <w:r>
        <w:rPr>
          <w:rFonts w:hint="eastAsia" w:ascii="宋体" w:hAnsi="宋体"/>
          <w:szCs w:val="21"/>
          <w:highlight w:val="none"/>
        </w:rPr>
        <w:t>作为项目否决投标项。</w:t>
      </w:r>
      <w:r>
        <w:rPr>
          <w:rFonts w:hint="eastAsia" w:ascii="宋体" w:hAnsi="宋体"/>
          <w:szCs w:val="21"/>
          <w:highlight w:val="none"/>
          <w:lang w:val="en-US" w:eastAsia="zh-CN"/>
        </w:rPr>
        <w:t>标</w:t>
      </w:r>
      <w:r>
        <w:rPr>
          <w:highlight w:val="none"/>
        </w:rPr>
        <w:t>※</w:t>
      </w:r>
      <w:r>
        <w:rPr>
          <w:rFonts w:hint="eastAsia"/>
          <w:highlight w:val="none"/>
          <w:lang w:val="en-US" w:eastAsia="zh-CN"/>
        </w:rPr>
        <w:t>为重要评审指标（共2项）</w:t>
      </w:r>
      <w:r>
        <w:rPr>
          <w:rFonts w:hint="eastAsia"/>
          <w:highlight w:val="none"/>
          <w:lang w:eastAsia="zh-CN"/>
        </w:rPr>
        <w:t>，</w:t>
      </w:r>
      <w:r>
        <w:rPr>
          <w:rFonts w:hint="eastAsia" w:ascii="宋体" w:hAnsi="宋体"/>
          <w:szCs w:val="21"/>
          <w:highlight w:val="none"/>
          <w:lang w:val="en-US" w:eastAsia="zh-CN"/>
        </w:rPr>
        <w:t>未标注为</w:t>
      </w:r>
      <w:r>
        <w:rPr>
          <w:rFonts w:hint="eastAsia" w:ascii="宋体" w:hAnsi="宋体"/>
          <w:szCs w:val="21"/>
          <w:highlight w:val="none"/>
        </w:rPr>
        <w:t>一般</w:t>
      </w:r>
      <w:r>
        <w:rPr>
          <w:rFonts w:hint="eastAsia" w:ascii="宋体" w:hAnsi="宋体"/>
          <w:szCs w:val="21"/>
          <w:highlight w:val="none"/>
          <w:lang w:val="en-US" w:eastAsia="zh-CN"/>
        </w:rPr>
        <w:t>评审</w:t>
      </w:r>
      <w:r>
        <w:rPr>
          <w:rFonts w:hint="eastAsia" w:ascii="宋体" w:hAnsi="宋体"/>
          <w:szCs w:val="21"/>
          <w:highlight w:val="none"/>
        </w:rPr>
        <w:t>指标</w:t>
      </w:r>
      <w:r>
        <w:rPr>
          <w:rFonts w:hint="eastAsia" w:ascii="宋体" w:hAnsi="宋体"/>
          <w:szCs w:val="21"/>
          <w:highlight w:val="none"/>
          <w:lang w:eastAsia="zh-CN"/>
        </w:rPr>
        <w:t>（</w:t>
      </w:r>
      <w:r>
        <w:rPr>
          <w:rFonts w:hint="eastAsia" w:ascii="宋体" w:hAnsi="宋体"/>
          <w:szCs w:val="21"/>
          <w:highlight w:val="none"/>
          <w:lang w:val="en-US" w:eastAsia="zh-CN"/>
        </w:rPr>
        <w:t>共1</w:t>
      </w:r>
      <w:r>
        <w:rPr>
          <w:rFonts w:hint="default" w:ascii="宋体" w:hAnsi="宋体"/>
          <w:szCs w:val="21"/>
          <w:highlight w:val="none"/>
          <w:lang w:eastAsia="zh-CN"/>
        </w:rPr>
        <w:t>6</w:t>
      </w:r>
      <w:r>
        <w:rPr>
          <w:rFonts w:hint="eastAsia" w:ascii="宋体" w:hAnsi="宋体"/>
          <w:szCs w:val="21"/>
          <w:highlight w:val="none"/>
          <w:lang w:val="en-US" w:eastAsia="zh-CN"/>
        </w:rPr>
        <w:t>项</w:t>
      </w:r>
      <w:r>
        <w:rPr>
          <w:rFonts w:hint="eastAsia" w:ascii="宋体" w:hAnsi="宋体"/>
          <w:szCs w:val="21"/>
          <w:highlight w:val="none"/>
          <w:lang w:eastAsia="zh-CN"/>
        </w:rPr>
        <w:t>），均不作为项目否决投标项，</w:t>
      </w:r>
      <w:r>
        <w:rPr>
          <w:rFonts w:hint="eastAsia" w:ascii="宋体" w:hAnsi="宋体"/>
          <w:szCs w:val="21"/>
          <w:highlight w:val="none"/>
          <w:lang w:val="en-US" w:eastAsia="zh-CN"/>
        </w:rPr>
        <w:t>作为</w:t>
      </w:r>
      <w:r>
        <w:rPr>
          <w:rFonts w:hint="eastAsia" w:ascii="宋体" w:hAnsi="宋体"/>
          <w:szCs w:val="21"/>
          <w:highlight w:val="none"/>
          <w:lang w:eastAsia="zh-CN"/>
        </w:rPr>
        <w:t>项目评审使用</w:t>
      </w:r>
      <w:r>
        <w:rPr>
          <w:rFonts w:hint="eastAsia" w:ascii="宋体" w:hAnsi="宋体"/>
          <w:szCs w:val="21"/>
          <w:highlight w:val="none"/>
        </w:rPr>
        <w:t>。</w:t>
      </w:r>
    </w:p>
    <w:tbl>
      <w:tblPr>
        <w:tblStyle w:val="29"/>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1135"/>
        <w:gridCol w:w="1135"/>
        <w:gridCol w:w="170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35"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cs="宋体"/>
                <w:b/>
                <w:bCs/>
                <w:color w:val="000000"/>
                <w:kern w:val="0"/>
                <w:sz w:val="21"/>
                <w:szCs w:val="21"/>
                <w:highlight w:val="none"/>
                <w:lang w:val="en-US" w:eastAsia="zh-CN" w:bidi="ar"/>
              </w:rPr>
              <w:t>序号</w:t>
            </w:r>
          </w:p>
        </w:tc>
        <w:tc>
          <w:tcPr>
            <w:tcW w:w="1135"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1"/>
                <w:szCs w:val="21"/>
                <w:highlight w:val="none"/>
                <w:lang w:bidi="ar"/>
              </w:rPr>
            </w:pPr>
            <w:r>
              <w:rPr>
                <w:rFonts w:hint="eastAsia" w:ascii="宋体" w:hAnsi="宋体" w:cs="宋体"/>
                <w:b/>
                <w:bCs/>
                <w:kern w:val="0"/>
                <w:sz w:val="20"/>
                <w:highlight w:val="none"/>
                <w:lang w:bidi="ar"/>
              </w:rPr>
              <w:t>指标分类</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1"/>
                <w:szCs w:val="21"/>
                <w:highlight w:val="none"/>
                <w:lang w:bidi="ar"/>
              </w:rPr>
            </w:pPr>
            <w:r>
              <w:rPr>
                <w:rFonts w:hint="eastAsia" w:ascii="宋体" w:hAnsi="宋体" w:eastAsia="宋体" w:cs="宋体"/>
                <w:b/>
                <w:bCs/>
                <w:color w:val="000000"/>
                <w:kern w:val="0"/>
                <w:sz w:val="21"/>
                <w:szCs w:val="21"/>
                <w:highlight w:val="none"/>
                <w:lang w:bidi="ar"/>
              </w:rPr>
              <w:t>项目</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1"/>
                <w:szCs w:val="21"/>
                <w:highlight w:val="none"/>
                <w:lang w:bidi="ar"/>
              </w:rPr>
            </w:pPr>
            <w:r>
              <w:rPr>
                <w:rFonts w:hint="eastAsia" w:ascii="宋体" w:hAnsi="宋体" w:eastAsia="宋体" w:cs="宋体"/>
                <w:b/>
                <w:bCs/>
                <w:color w:val="000000"/>
                <w:kern w:val="0"/>
                <w:sz w:val="21"/>
                <w:szCs w:val="21"/>
                <w:highlight w:val="none"/>
                <w:lang w:bidi="ar"/>
              </w:rPr>
              <w:t>指标项</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1"/>
                <w:szCs w:val="21"/>
                <w:highlight w:val="none"/>
                <w:lang w:bidi="ar"/>
              </w:rPr>
            </w:pPr>
            <w:r>
              <w:rPr>
                <w:rFonts w:hint="eastAsia" w:ascii="宋体" w:hAnsi="宋体" w:eastAsia="宋体" w:cs="宋体"/>
                <w:b/>
                <w:bCs/>
                <w:color w:val="000000"/>
                <w:kern w:val="0"/>
                <w:sz w:val="21"/>
                <w:szCs w:val="21"/>
                <w:highlight w:val="none"/>
                <w:lang w:bidi="ar"/>
              </w:rPr>
              <w:t>指标内容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35"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性能要求</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处理器</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szCs w:val="21"/>
                <w:highlight w:val="none"/>
              </w:rPr>
              <w:t>★</w:t>
            </w:r>
            <w:r>
              <w:rPr>
                <w:rFonts w:hint="eastAsia" w:ascii="宋体" w:hAnsi="宋体" w:cs="宋体"/>
                <w:color w:val="000000"/>
                <w:kern w:val="0"/>
                <w:sz w:val="21"/>
                <w:szCs w:val="21"/>
                <w:highlight w:val="none"/>
                <w:lang w:val="en-US" w:eastAsia="zh-CN" w:bidi="ar"/>
              </w:rPr>
              <w:t>型号</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处理器要求符合自主可控标准，需提供中国信息安全测评中心（www.itsec.gov.cn）发布的安全可靠测评公告页面的证明截图。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kern w:val="0"/>
                <w:sz w:val="20"/>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bidi="ar"/>
              </w:rPr>
              <w:t>主频</w:t>
            </w:r>
          </w:p>
        </w:tc>
        <w:tc>
          <w:tcPr>
            <w:tcW w:w="4850"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≥2.</w:t>
            </w:r>
            <w:r>
              <w:rPr>
                <w:rFonts w:hint="eastAsia" w:ascii="宋体" w:hAnsi="宋体" w:cs="宋体"/>
                <w:color w:val="000000"/>
                <w:kern w:val="0"/>
                <w:sz w:val="21"/>
                <w:szCs w:val="21"/>
                <w:highlight w:val="none"/>
                <w:lang w:val="en-US" w:eastAsia="zh-CN" w:bidi="ar"/>
              </w:rPr>
              <w:t>0</w:t>
            </w:r>
            <w:r>
              <w:rPr>
                <w:rFonts w:hint="eastAsia" w:ascii="宋体" w:hAnsi="宋体" w:eastAsia="宋体" w:cs="宋体"/>
                <w:color w:val="000000"/>
                <w:kern w:val="0"/>
                <w:sz w:val="21"/>
                <w:szCs w:val="21"/>
                <w:highlight w:val="none"/>
                <w:lang w:bidi="ar"/>
              </w:rPr>
              <w:t>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3</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缓存</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L3缓存≥256MB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4</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bidi="ar"/>
              </w:rPr>
              <w:t>处理器颗数</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2颗，每颗≥</w:t>
            </w:r>
            <w:r>
              <w:rPr>
                <w:rFonts w:hint="eastAsia" w:ascii="宋体" w:hAnsi="宋体" w:cs="宋体"/>
                <w:color w:val="000000"/>
                <w:kern w:val="0"/>
                <w:sz w:val="21"/>
                <w:szCs w:val="21"/>
                <w:highlight w:val="none"/>
                <w:lang w:val="en-US" w:eastAsia="zh-CN" w:bidi="ar"/>
              </w:rPr>
              <w:t>48</w:t>
            </w:r>
            <w:r>
              <w:rPr>
                <w:rFonts w:hint="eastAsia" w:ascii="宋体" w:hAnsi="宋体" w:eastAsia="宋体" w:cs="宋体"/>
                <w:color w:val="000000"/>
                <w:kern w:val="0"/>
                <w:sz w:val="21"/>
                <w:szCs w:val="21"/>
                <w:highlight w:val="none"/>
                <w:lang w:bidi="ar"/>
              </w:rPr>
              <w:t>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5</w:t>
            </w:r>
          </w:p>
        </w:tc>
        <w:tc>
          <w:tcPr>
            <w:tcW w:w="1135" w:type="dxa"/>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cs="宋体"/>
                <w:kern w:val="0"/>
                <w:sz w:val="20"/>
                <w:highlight w:val="none"/>
                <w:lang w:bidi="ar"/>
              </w:rPr>
            </w:pPr>
            <w:r>
              <w:rPr>
                <w:rFonts w:hint="eastAsia" w:ascii="宋体" w:hAnsi="宋体" w:cs="宋体"/>
                <w:kern w:val="0"/>
                <w:sz w:val="20"/>
                <w:highlight w:val="none"/>
                <w:lang w:bidi="ar"/>
              </w:rPr>
              <w:t>产品规格</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AI算力卡</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szCs w:val="21"/>
                <w:highlight w:val="none"/>
              </w:rPr>
              <w:t>★</w:t>
            </w:r>
            <w:r>
              <w:rPr>
                <w:rFonts w:hint="eastAsia" w:ascii="宋体" w:hAnsi="宋体" w:cs="宋体"/>
                <w:color w:val="000000"/>
                <w:kern w:val="0"/>
                <w:sz w:val="21"/>
                <w:szCs w:val="21"/>
                <w:highlight w:val="none"/>
                <w:lang w:val="en-US" w:eastAsia="zh-CN" w:bidi="ar"/>
              </w:rPr>
              <w:t>型号</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自主可控芯片</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投标方需</w:t>
            </w:r>
            <w:r>
              <w:rPr>
                <w:rFonts w:hint="eastAsia" w:ascii="宋体" w:hAnsi="宋体" w:cs="宋体"/>
                <w:color w:val="auto"/>
                <w:kern w:val="0"/>
                <w:sz w:val="21"/>
                <w:szCs w:val="21"/>
                <w:highlight w:val="none"/>
                <w:lang w:bidi="ar"/>
              </w:rPr>
              <w:t>提供相关证明文件</w:t>
            </w:r>
            <w:r>
              <w:rPr>
                <w:rFonts w:hint="eastAsia" w:ascii="宋体" w:hAnsi="宋体" w:cs="宋体"/>
                <w:color w:val="auto"/>
                <w:kern w:val="0"/>
                <w:sz w:val="21"/>
                <w:szCs w:val="21"/>
                <w:highlight w:val="none"/>
                <w:lang w:val="en-US" w:eastAsia="zh-CN" w:bidi="ar"/>
              </w:rPr>
              <w:t>或自主可控承诺函</w:t>
            </w:r>
            <w:r>
              <w:rPr>
                <w:rFonts w:hint="eastAsia" w:ascii="宋体" w:hAnsi="宋体" w:cs="宋体"/>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6</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性能要求</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模组形态</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模组形态（如OAM）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7</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val="en-US" w:eastAsia="zh-CN" w:bidi="ar"/>
              </w:rPr>
              <w:t>单芯片</w:t>
            </w:r>
            <w:r>
              <w:rPr>
                <w:rFonts w:hint="eastAsia" w:ascii="宋体" w:hAnsi="宋体" w:eastAsia="宋体" w:cs="宋体"/>
                <w:color w:val="000000"/>
                <w:kern w:val="0"/>
                <w:sz w:val="21"/>
                <w:szCs w:val="21"/>
                <w:highlight w:val="none"/>
                <w:lang w:bidi="ar"/>
              </w:rPr>
              <w:t>显存吞吐</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w:t>
            </w:r>
            <w:r>
              <w:rPr>
                <w:rFonts w:hint="eastAsia" w:ascii="宋体" w:hAnsi="宋体" w:eastAsia="宋体" w:cs="宋体"/>
                <w:color w:val="000000"/>
                <w:kern w:val="0"/>
                <w:sz w:val="21"/>
                <w:szCs w:val="21"/>
                <w:highlight w:val="none"/>
                <w:lang w:val="en-US" w:eastAsia="zh-CN" w:bidi="ar"/>
              </w:rPr>
              <w:t>2</w:t>
            </w:r>
            <w:r>
              <w:rPr>
                <w:rFonts w:hint="default" w:ascii="宋体" w:hAnsi="宋体" w:cs="宋体"/>
                <w:color w:val="000000"/>
                <w:kern w:val="0"/>
                <w:sz w:val="21"/>
                <w:szCs w:val="21"/>
                <w:highlight w:val="none"/>
                <w:lang w:eastAsia="zh-CN" w:bidi="ar"/>
              </w:rPr>
              <w:t>5</w:t>
            </w:r>
            <w:r>
              <w:rPr>
                <w:rFonts w:hint="eastAsia" w:ascii="宋体" w:hAnsi="宋体" w:eastAsia="宋体" w:cs="宋体"/>
                <w:color w:val="000000"/>
                <w:kern w:val="0"/>
                <w:sz w:val="21"/>
                <w:szCs w:val="21"/>
                <w:highlight w:val="none"/>
                <w:lang w:bidi="ar"/>
              </w:rPr>
              <w:t>00GB/s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8</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val="en-US" w:eastAsia="zh-CN" w:bidi="ar"/>
              </w:rPr>
              <w:t>整机</w:t>
            </w:r>
            <w:r>
              <w:rPr>
                <w:rFonts w:hint="eastAsia" w:ascii="宋体" w:hAnsi="宋体" w:eastAsia="宋体" w:cs="宋体"/>
                <w:color w:val="000000"/>
                <w:kern w:val="0"/>
                <w:sz w:val="21"/>
                <w:szCs w:val="21"/>
                <w:highlight w:val="none"/>
                <w:lang w:bidi="ar"/>
              </w:rPr>
              <w:t>显存容量</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w:t>
            </w:r>
            <w:r>
              <w:rPr>
                <w:rFonts w:hint="eastAsia" w:ascii="宋体" w:hAnsi="宋体" w:cs="宋体"/>
                <w:color w:val="000000"/>
                <w:kern w:val="0"/>
                <w:sz w:val="21"/>
                <w:szCs w:val="21"/>
                <w:highlight w:val="none"/>
                <w:lang w:val="en-US" w:eastAsia="zh-CN" w:bidi="ar"/>
              </w:rPr>
              <w:t>1024</w:t>
            </w:r>
            <w:r>
              <w:rPr>
                <w:rFonts w:hint="eastAsia" w:ascii="宋体" w:hAnsi="宋体" w:eastAsia="宋体" w:cs="宋体"/>
                <w:color w:val="000000"/>
                <w:kern w:val="0"/>
                <w:sz w:val="21"/>
                <w:szCs w:val="21"/>
                <w:highlight w:val="none"/>
                <w:lang w:bidi="ar"/>
              </w:rPr>
              <w:t>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9</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芯片显存类型</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≥HBM2E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10</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bidi="ar"/>
              </w:rPr>
              <w:t>芯片数量</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w:t>
            </w:r>
            <w:r>
              <w:rPr>
                <w:rFonts w:hint="eastAsia" w:ascii="宋体" w:hAnsi="宋体" w:eastAsia="宋体" w:cs="宋体"/>
                <w:color w:val="000000"/>
                <w:kern w:val="0"/>
                <w:sz w:val="21"/>
                <w:szCs w:val="21"/>
                <w:highlight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11</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bidi="ar"/>
              </w:rPr>
              <w:t>整机算力</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eastAsia="zh-CN" w:bidi="ar"/>
              </w:rPr>
            </w:pPr>
            <w:r>
              <w:rPr>
                <w:rFonts w:hint="eastAsia" w:ascii="宋体" w:hAnsi="宋体" w:eastAsia="宋体" w:cs="宋体"/>
                <w:color w:val="000000"/>
                <w:kern w:val="0"/>
                <w:sz w:val="21"/>
                <w:szCs w:val="21"/>
                <w:highlight w:val="none"/>
                <w:lang w:bidi="ar"/>
              </w:rPr>
              <w:t>FP16</w:t>
            </w:r>
            <w:r>
              <w:rPr>
                <w:rFonts w:hint="eastAsia" w:ascii="宋体" w:hAnsi="宋体" w:cs="宋体"/>
                <w:color w:val="000000"/>
                <w:kern w:val="0"/>
                <w:sz w:val="21"/>
                <w:szCs w:val="21"/>
                <w:highlight w:val="none"/>
                <w:lang w:val="en-US" w:eastAsia="zh-CN" w:bidi="ar"/>
              </w:rPr>
              <w:t>或</w:t>
            </w:r>
            <w:r>
              <w:rPr>
                <w:rFonts w:hint="eastAsia" w:ascii="宋体" w:hAnsi="宋体" w:eastAsia="宋体" w:cs="宋体"/>
                <w:color w:val="000000"/>
                <w:kern w:val="0"/>
                <w:sz w:val="21"/>
                <w:szCs w:val="21"/>
                <w:highlight w:val="none"/>
                <w:lang w:bidi="ar"/>
              </w:rPr>
              <w:t>TF32</w:t>
            </w:r>
            <w:r>
              <w:rPr>
                <w:rFonts w:hint="eastAsia" w:ascii="宋体" w:hAnsi="宋体" w:cs="宋体"/>
                <w:color w:val="000000"/>
                <w:kern w:val="0"/>
                <w:sz w:val="21"/>
                <w:szCs w:val="21"/>
                <w:highlight w:val="none"/>
                <w:lang w:val="en-US" w:eastAsia="zh-CN" w:bidi="ar"/>
              </w:rPr>
              <w:t>或</w:t>
            </w:r>
            <w:r>
              <w:rPr>
                <w:rFonts w:hint="eastAsia" w:ascii="宋体" w:hAnsi="宋体" w:eastAsia="宋体" w:cs="宋体"/>
                <w:color w:val="000000"/>
                <w:kern w:val="0"/>
                <w:sz w:val="21"/>
                <w:szCs w:val="21"/>
                <w:highlight w:val="none"/>
                <w:lang w:bidi="ar"/>
              </w:rPr>
              <w:t>BF16≥</w:t>
            </w:r>
            <w:r>
              <w:rPr>
                <w:rFonts w:hint="eastAsia" w:ascii="宋体" w:hAnsi="宋体" w:eastAsia="宋体" w:cs="宋体"/>
                <w:color w:val="000000"/>
                <w:kern w:val="0"/>
                <w:sz w:val="21"/>
                <w:szCs w:val="21"/>
                <w:highlight w:val="none"/>
                <w:lang w:val="en-US" w:eastAsia="zh-CN" w:bidi="ar"/>
              </w:rPr>
              <w:t>1.9</w:t>
            </w:r>
            <w:r>
              <w:rPr>
                <w:rFonts w:hint="eastAsia" w:ascii="宋体" w:hAnsi="宋体" w:eastAsia="宋体" w:cs="宋体"/>
                <w:color w:val="000000"/>
                <w:kern w:val="0"/>
                <w:sz w:val="21"/>
                <w:szCs w:val="21"/>
                <w:highlight w:val="none"/>
                <w:lang w:bidi="ar"/>
              </w:rPr>
              <w:t>P</w:t>
            </w:r>
            <w:r>
              <w:rPr>
                <w:rFonts w:hint="eastAsia" w:ascii="宋体" w:hAnsi="宋体" w:eastAsia="宋体" w:cs="宋体"/>
                <w:color w:val="000000"/>
                <w:kern w:val="0"/>
                <w:sz w:val="21"/>
                <w:szCs w:val="21"/>
                <w:highlight w:val="none"/>
                <w:lang w:val="en-US" w:eastAsia="zh-CN" w:bidi="ar"/>
              </w:rPr>
              <w:t xml:space="preserve"> </w:t>
            </w:r>
            <w:r>
              <w:rPr>
                <w:rFonts w:hint="eastAsia" w:ascii="宋体" w:hAnsi="宋体" w:eastAsia="宋体" w:cs="宋体"/>
                <w:color w:val="000000"/>
                <w:kern w:val="0"/>
                <w:sz w:val="21"/>
                <w:szCs w:val="21"/>
                <w:highlight w:val="none"/>
                <w:lang w:bidi="ar"/>
              </w:rPr>
              <w:t>FLOPS</w:t>
            </w:r>
            <w:r>
              <w:rPr>
                <w:rFonts w:hint="eastAsia" w:ascii="宋体" w:hAnsi="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FP16</w:t>
            </w:r>
            <w:r>
              <w:rPr>
                <w:rFonts w:hint="eastAsia" w:ascii="宋体" w:hAnsi="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TF32</w:t>
            </w:r>
            <w:r>
              <w:rPr>
                <w:rFonts w:hint="eastAsia" w:ascii="宋体" w:hAnsi="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BF16</w:t>
            </w:r>
            <w:r>
              <w:rPr>
                <w:rFonts w:hint="eastAsia" w:ascii="宋体" w:hAnsi="宋体" w:cs="宋体"/>
                <w:color w:val="000000"/>
                <w:kern w:val="0"/>
                <w:sz w:val="21"/>
                <w:szCs w:val="21"/>
                <w:highlight w:val="none"/>
                <w:lang w:val="en-US" w:eastAsia="zh-CN" w:bidi="ar"/>
              </w:rPr>
              <w:t>任意一项满足即可</w:t>
            </w:r>
            <w:bookmarkStart w:id="115" w:name="_GoBack"/>
            <w:bookmarkEnd w:id="115"/>
            <w:r>
              <w:rPr>
                <w:rFonts w:hint="eastAsia" w:ascii="宋体" w:hAnsi="宋体" w:cs="宋体"/>
                <w:color w:val="000000"/>
                <w:kern w:val="0"/>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12</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auto"/>
                <w:kern w:val="0"/>
                <w:sz w:val="21"/>
                <w:szCs w:val="21"/>
                <w:highlight w:val="none"/>
                <w:lang w:bidi="ar"/>
              </w:rPr>
            </w:pPr>
            <w:r>
              <w:rPr>
                <w:rFonts w:hint="eastAsia" w:ascii="宋体" w:hAnsi="宋体"/>
                <w:b/>
                <w:bCs/>
                <w:color w:val="auto"/>
                <w:szCs w:val="21"/>
                <w:highlight w:val="none"/>
              </w:rPr>
              <w:t>★</w:t>
            </w:r>
            <w:r>
              <w:rPr>
                <w:rFonts w:hint="eastAsia" w:ascii="宋体" w:hAnsi="宋体" w:eastAsia="宋体" w:cs="宋体"/>
                <w:b/>
                <w:bCs/>
                <w:color w:val="auto"/>
                <w:kern w:val="0"/>
                <w:sz w:val="21"/>
                <w:szCs w:val="21"/>
                <w:highlight w:val="none"/>
                <w:lang w:bidi="ar"/>
              </w:rPr>
              <w:t>单芯片聚合通信总带宽</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bidi="ar"/>
              </w:rPr>
              <w:t>≥</w:t>
            </w:r>
            <w:r>
              <w:rPr>
                <w:rFonts w:hint="eastAsia" w:ascii="宋体" w:hAnsi="宋体" w:cs="宋体"/>
                <w:b/>
                <w:bCs/>
                <w:color w:val="auto"/>
                <w:kern w:val="0"/>
                <w:sz w:val="21"/>
                <w:szCs w:val="21"/>
                <w:highlight w:val="none"/>
                <w:lang w:val="en-US" w:eastAsia="zh-CN" w:bidi="ar"/>
              </w:rPr>
              <w:t>350</w:t>
            </w:r>
            <w:r>
              <w:rPr>
                <w:rFonts w:hint="eastAsia" w:ascii="宋体" w:hAnsi="宋体" w:eastAsia="宋体" w:cs="宋体"/>
                <w:b/>
                <w:bCs/>
                <w:color w:val="auto"/>
                <w:kern w:val="0"/>
                <w:sz w:val="21"/>
                <w:szCs w:val="21"/>
                <w:highlight w:val="none"/>
                <w:lang w:bidi="ar"/>
              </w:rPr>
              <w:t>GB/s（不含PCIE和RoCE）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13</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color w:val="000000"/>
                <w:kern w:val="0"/>
                <w:sz w:val="21"/>
                <w:szCs w:val="21"/>
                <w:highlight w:val="none"/>
                <w:lang w:val="en-US" w:eastAsia="zh-CN" w:bidi="ar"/>
              </w:rPr>
              <w:t>功能要求</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rPr>
              <w:t>※</w:t>
            </w:r>
            <w:r>
              <w:rPr>
                <w:rFonts w:hint="eastAsia" w:ascii="宋体" w:hAnsi="宋体" w:eastAsia="宋体" w:cs="宋体"/>
                <w:color w:val="000000"/>
                <w:kern w:val="0"/>
                <w:sz w:val="21"/>
                <w:szCs w:val="21"/>
                <w:highlight w:val="none"/>
                <w:lang w:val="en-US" w:eastAsia="zh-CN" w:bidi="ar"/>
              </w:rPr>
              <w:t>算子兼容度</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详见附件一：算子兼容列表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14</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性能要求</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存储器及内置存储设备</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bidi="ar"/>
              </w:rPr>
              <w:t>整机内存</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1536GB ECC DDR5 RDIMM，频率 ≥4800MHz（单条内存≥64G）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15</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整机可扩展的最大内存</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≥2.3TB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16</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整机可扩展的最大内存槽数</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17</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磁盘</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≥1*240GB SATA M.2 SSD磁盘</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≥2*3.84TB NVMe SSD，支持热插拔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18</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可扩展的最大磁盘数</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≥8个磁盘槽位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19</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szCs w:val="21"/>
                <w:highlight w:val="none"/>
              </w:rPr>
              <w:t>★</w:t>
            </w:r>
            <w:r>
              <w:rPr>
                <w:rFonts w:hint="eastAsia" w:ascii="宋体" w:hAnsi="宋体" w:eastAsia="宋体" w:cs="宋体"/>
                <w:color w:val="000000"/>
                <w:kern w:val="0"/>
                <w:sz w:val="21"/>
                <w:szCs w:val="21"/>
                <w:highlight w:val="none"/>
                <w:lang w:bidi="ar"/>
              </w:rPr>
              <w:t>RAID</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1"/>
                <w:szCs w:val="21"/>
                <w:highlight w:val="none"/>
                <w:lang w:bidi="ar"/>
              </w:rPr>
              <w:t>支持RAIDO、RAID1、RAID5、RAID10等，支持掉电保护功能。</w:t>
            </w:r>
            <w:r>
              <w:rPr>
                <w:rFonts w:hint="eastAsia" w:ascii="宋体" w:hAnsi="宋体" w:cs="宋体"/>
                <w:kern w:val="0"/>
                <w:sz w:val="21"/>
                <w:szCs w:val="21"/>
                <w:highlight w:val="none"/>
                <w:lang w:eastAsia="zh-CN" w:bidi="ar"/>
              </w:rPr>
              <w:t>配置</w:t>
            </w:r>
            <w:r>
              <w:rPr>
                <w:rFonts w:hint="eastAsia" w:ascii="宋体" w:hAnsi="宋体" w:cs="宋体"/>
                <w:kern w:val="0"/>
                <w:sz w:val="21"/>
                <w:szCs w:val="21"/>
                <w:highlight w:val="none"/>
                <w:lang w:bidi="ar"/>
              </w:rPr>
              <w:t>阵列卡配置≥1块，缓存≥2G;</w:t>
            </w:r>
            <w:r>
              <w:rPr>
                <w:rFonts w:hint="eastAsia" w:ascii="宋体" w:hAnsi="宋体" w:cs="宋体"/>
                <w:kern w:val="0"/>
                <w:sz w:val="21"/>
                <w:szCs w:val="21"/>
                <w:highlight w:val="none"/>
                <w:lang w:eastAsia="zh-CN" w:bidi="ar"/>
              </w:rPr>
              <w:t>配置</w:t>
            </w:r>
            <w:r>
              <w:rPr>
                <w:rFonts w:hint="eastAsia" w:ascii="宋体" w:hAnsi="宋体" w:cs="宋体"/>
                <w:kern w:val="0"/>
                <w:sz w:val="21"/>
                <w:szCs w:val="21"/>
                <w:highlight w:val="none"/>
                <w:lang w:bidi="ar"/>
              </w:rPr>
              <w:t>单阵列卡支持硬盘数≥8块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20</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性能要求</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I/O接口</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最大支持PCIe槽数</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PCIe5.0*16槽总数≥3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21</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产品规格</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网络接口</w:t>
            </w:r>
          </w:p>
        </w:tc>
        <w:tc>
          <w:tcPr>
            <w:tcW w:w="1705"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网络接口</w:t>
            </w:r>
          </w:p>
        </w:tc>
        <w:tc>
          <w:tcPr>
            <w:tcW w:w="485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kern w:val="0"/>
                <w:sz w:val="21"/>
                <w:szCs w:val="21"/>
                <w:highlight w:val="none"/>
                <w:lang w:bidi="ar"/>
              </w:rPr>
            </w:pPr>
            <w:r>
              <w:rPr>
                <w:rFonts w:hint="eastAsia" w:ascii="宋体" w:hAnsi="宋体" w:cs="宋体"/>
                <w:kern w:val="0"/>
                <w:sz w:val="21"/>
                <w:szCs w:val="21"/>
                <w:highlight w:val="none"/>
                <w:lang w:eastAsia="zh-CN" w:bidi="ar"/>
              </w:rPr>
              <w:t>配置</w:t>
            </w:r>
            <w:r>
              <w:rPr>
                <w:rFonts w:hint="eastAsia" w:ascii="宋体" w:hAnsi="宋体" w:cs="宋体"/>
                <w:kern w:val="0"/>
                <w:sz w:val="21"/>
                <w:szCs w:val="21"/>
                <w:highlight w:val="none"/>
                <w:lang w:bidi="ar"/>
              </w:rPr>
              <w:t>≥4块双口200GE或单口400GE光纤以太网卡(含光模块)</w:t>
            </w:r>
          </w:p>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kern w:val="0"/>
                <w:sz w:val="21"/>
                <w:szCs w:val="21"/>
                <w:highlight w:val="none"/>
                <w:lang w:bidi="ar"/>
              </w:rPr>
              <w:t>当前配置≥</w:t>
            </w:r>
            <w:r>
              <w:rPr>
                <w:rFonts w:hint="eastAsia" w:ascii="宋体" w:hAnsi="宋体" w:cs="宋体"/>
                <w:kern w:val="0"/>
                <w:sz w:val="21"/>
                <w:szCs w:val="21"/>
                <w:highlight w:val="none"/>
                <w:lang w:val="en-US" w:eastAsia="zh-CN" w:bidi="ar"/>
              </w:rPr>
              <w:t>2</w:t>
            </w:r>
            <w:r>
              <w:rPr>
                <w:rFonts w:hint="eastAsia" w:ascii="宋体" w:hAnsi="宋体" w:eastAsia="宋体" w:cs="宋体"/>
                <w:kern w:val="0"/>
                <w:sz w:val="21"/>
                <w:szCs w:val="21"/>
                <w:highlight w:val="none"/>
                <w:lang w:bidi="ar"/>
              </w:rPr>
              <w:t>个25GE光纤以太网口(含光模块)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22</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功能要求</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管理软件</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bidi="ar"/>
              </w:rPr>
            </w:pPr>
            <w:r>
              <w:rPr>
                <w:rFonts w:hint="eastAsia"/>
              </w:rPr>
              <w:t>※</w:t>
            </w:r>
            <w:r>
              <w:rPr>
                <w:rFonts w:hint="eastAsia" w:ascii="宋体" w:hAnsi="宋体" w:eastAsia="宋体" w:cs="宋体"/>
                <w:color w:val="000000"/>
                <w:kern w:val="0"/>
                <w:sz w:val="21"/>
                <w:szCs w:val="21"/>
                <w:highlight w:val="none"/>
                <w:lang w:bidi="ar"/>
              </w:rPr>
              <w:t>管理软件</w:t>
            </w:r>
            <w:r>
              <w:rPr>
                <w:rFonts w:hint="eastAsia" w:ascii="宋体" w:hAnsi="宋体" w:eastAsia="宋体" w:cs="宋体"/>
                <w:i w:val="0"/>
                <w:iCs w:val="0"/>
                <w:color w:val="auto"/>
                <w:kern w:val="0"/>
                <w:sz w:val="20"/>
                <w:szCs w:val="20"/>
                <w:highlight w:val="none"/>
                <w:u w:val="none"/>
                <w:lang w:val="en-US" w:eastAsia="zh-CN" w:bidi="ar"/>
              </w:rPr>
              <w:t>功能</w:t>
            </w:r>
          </w:p>
        </w:tc>
        <w:tc>
          <w:tcPr>
            <w:tcW w:w="4850"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详见附件二：管理软件功能清单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23</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功能要求</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管理系统功能</w:t>
            </w:r>
            <w:r>
              <w:rPr>
                <w:rFonts w:hint="eastAsia" w:ascii="宋体" w:hAnsi="宋体" w:cs="宋体"/>
                <w:color w:val="000000"/>
                <w:kern w:val="0"/>
                <w:sz w:val="21"/>
                <w:szCs w:val="21"/>
                <w:highlight w:val="none"/>
                <w:lang w:val="en-US" w:eastAsia="zh-CN" w:bidi="ar"/>
              </w:rPr>
              <w:t xml:space="preserve"> </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BIOS固件功能</w:t>
            </w:r>
          </w:p>
        </w:tc>
        <w:tc>
          <w:tcPr>
            <w:tcW w:w="4850"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支持 Numa、BMC share link、DHCP、网卡PXE、串口重定向、硬盘启动顺序等参数的设置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24</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color w:val="000000"/>
                <w:kern w:val="0"/>
                <w:sz w:val="21"/>
                <w:szCs w:val="21"/>
                <w:highlight w:val="none"/>
                <w:lang w:val="en-US" w:eastAsia="zh-CN" w:bidi="ar"/>
              </w:rPr>
              <w:t>功能要求</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val="en-US" w:eastAsia="zh-CN"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BMC固件功能</w:t>
            </w:r>
          </w:p>
        </w:tc>
        <w:tc>
          <w:tcPr>
            <w:tcW w:w="4850"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可显示服务器部件当前状态，可调节设备定位指示灯，带外网口方式为专用网口，并开启iKVM（如有 license 应默认安装）、 KVM加密设置、SSH 端口、Remote Control 端口、IPMI LAN(RMCP/RMCP+)端口、Network ip source服务、ipmitool lan access服务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25</w:t>
            </w:r>
          </w:p>
        </w:tc>
        <w:tc>
          <w:tcPr>
            <w:tcW w:w="113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kern w:val="0"/>
                <w:sz w:val="20"/>
                <w:szCs w:val="24"/>
                <w:highlight w:val="none"/>
                <w:lang w:val="en-US" w:eastAsia="zh-CN" w:bidi="ar"/>
              </w:rPr>
            </w:pPr>
            <w:r>
              <w:rPr>
                <w:rFonts w:hint="eastAsia" w:ascii="宋体" w:hAnsi="宋体" w:cs="宋体"/>
                <w:kern w:val="0"/>
                <w:sz w:val="20"/>
                <w:highlight w:val="none"/>
                <w:lang w:bidi="ar"/>
              </w:rPr>
              <w:t>兼容要求</w:t>
            </w:r>
          </w:p>
        </w:tc>
        <w:tc>
          <w:tcPr>
            <w:tcW w:w="113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kern w:val="0"/>
                <w:sz w:val="20"/>
                <w:szCs w:val="24"/>
                <w:highlight w:val="none"/>
                <w:lang w:val="en-US" w:eastAsia="zh-CN" w:bidi="ar"/>
              </w:rPr>
            </w:pPr>
            <w:r>
              <w:rPr>
                <w:rFonts w:hint="eastAsia" w:ascii="宋体" w:hAnsi="宋体" w:cs="宋体"/>
                <w:kern w:val="0"/>
                <w:sz w:val="20"/>
                <w:highlight w:val="none"/>
                <w:lang w:bidi="ar"/>
              </w:rPr>
              <w:t>兼容性</w:t>
            </w:r>
          </w:p>
        </w:tc>
        <w:tc>
          <w:tcPr>
            <w:tcW w:w="1705" w:type="dxa"/>
            <w:shd w:val="clear" w:color="000000" w:fill="FFFFFF"/>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kern w:val="2"/>
                <w:sz w:val="20"/>
                <w:szCs w:val="24"/>
                <w:highlight w:val="none"/>
                <w:lang w:val="en-US" w:eastAsia="zh-CN" w:bidi="ar-SA"/>
              </w:rPr>
            </w:pPr>
            <w:r>
              <w:rPr>
                <w:rFonts w:hint="eastAsia" w:ascii="宋体" w:hAnsi="宋体" w:cs="宋体"/>
                <w:kern w:val="0"/>
                <w:sz w:val="20"/>
                <w:highlight w:val="none"/>
                <w:lang w:bidi="ar"/>
              </w:rPr>
              <w:t>兼容性</w:t>
            </w:r>
          </w:p>
        </w:tc>
        <w:tc>
          <w:tcPr>
            <w:tcW w:w="4850" w:type="dxa"/>
            <w:shd w:val="clear" w:color="000000" w:fill="FFFFFF"/>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sz w:val="21"/>
                <w:szCs w:val="21"/>
                <w:highlight w:val="none"/>
              </w:rPr>
            </w:pPr>
            <w:r>
              <w:rPr>
                <w:rFonts w:hint="eastAsia" w:ascii="宋体" w:hAnsi="宋体" w:cs="宋体"/>
                <w:sz w:val="21"/>
                <w:szCs w:val="21"/>
                <w:highlight w:val="none"/>
              </w:rPr>
              <w:t>服务器操作系统：支持主流操作系统，满足中国信息安全测评中心发布的《安全可靠测评工作指南（试行）》。</w:t>
            </w:r>
          </w:p>
          <w:p>
            <w:pPr>
              <w:keepNext w:val="0"/>
              <w:keepLines w:val="0"/>
              <w:widowControl/>
              <w:suppressLineNumbers w:val="0"/>
              <w:spacing w:before="0" w:beforeAutospacing="0" w:after="0" w:afterAutospacing="0"/>
              <w:ind w:left="0" w:right="0"/>
              <w:jc w:val="left"/>
              <w:textAlignment w:val="center"/>
              <w:rPr>
                <w:rFonts w:hint="eastAsia" w:ascii="宋体" w:hAnsi="宋体" w:cs="宋体"/>
                <w:sz w:val="21"/>
                <w:szCs w:val="21"/>
                <w:highlight w:val="none"/>
                <w:lang w:val="en-US" w:eastAsia="zh-CN"/>
              </w:rPr>
            </w:pPr>
            <w:r>
              <w:rPr>
                <w:rFonts w:hint="eastAsia" w:ascii="宋体" w:hAnsi="宋体" w:cs="宋体"/>
                <w:sz w:val="21"/>
                <w:szCs w:val="21"/>
                <w:highlight w:val="none"/>
              </w:rPr>
              <w:t>需支持</w:t>
            </w:r>
            <w:r>
              <w:rPr>
                <w:rFonts w:hint="eastAsia" w:ascii="宋体" w:hAnsi="宋体" w:cs="宋体"/>
                <w:sz w:val="21"/>
                <w:szCs w:val="21"/>
                <w:highlight w:val="none"/>
                <w:lang w:val="en-US" w:eastAsia="zh-CN"/>
              </w:rPr>
              <w:t>以下两种操作系统之一：</w:t>
            </w:r>
          </w:p>
          <w:p>
            <w:pPr>
              <w:keepNext w:val="0"/>
              <w:keepLines w:val="0"/>
              <w:widowControl/>
              <w:numPr>
                <w:ilvl w:val="0"/>
                <w:numId w:val="9"/>
              </w:numPr>
              <w:suppressLineNumbers w:val="0"/>
              <w:spacing w:before="0" w:beforeAutospacing="0" w:after="0" w:afterAutospacing="0"/>
              <w:ind w:left="0" w:right="0"/>
              <w:jc w:val="left"/>
              <w:textAlignment w:val="center"/>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rPr>
              <w:t>银河麒麟V10</w:t>
            </w:r>
          </w:p>
          <w:p>
            <w:pPr>
              <w:keepNext w:val="0"/>
              <w:keepLines w:val="0"/>
              <w:widowControl/>
              <w:numPr>
                <w:ilvl w:val="0"/>
                <w:numId w:val="9"/>
              </w:numPr>
              <w:suppressLineNumbers w:val="0"/>
              <w:spacing w:before="0" w:beforeAutospacing="0" w:after="0" w:afterAutospacing="0"/>
              <w:ind w:left="0" w:right="0"/>
              <w:jc w:val="left"/>
              <w:textAlignment w:val="center"/>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rPr>
              <w:t>统信V20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26</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产品规格</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电源</w:t>
            </w:r>
            <w:r>
              <w:rPr>
                <w:rFonts w:hint="eastAsia" w:ascii="宋体" w:hAnsi="宋体" w:cs="宋体"/>
                <w:color w:val="000000"/>
                <w:kern w:val="0"/>
                <w:sz w:val="21"/>
                <w:szCs w:val="21"/>
                <w:highlight w:val="none"/>
                <w:lang w:val="en-US" w:eastAsia="zh-CN" w:bidi="ar"/>
              </w:rPr>
              <w:t>/风扇</w:t>
            </w: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电源</w:t>
            </w:r>
            <w:r>
              <w:rPr>
                <w:rFonts w:hint="eastAsia" w:ascii="宋体" w:hAnsi="宋体" w:cs="宋体"/>
                <w:color w:val="000000"/>
                <w:kern w:val="0"/>
                <w:sz w:val="21"/>
                <w:szCs w:val="21"/>
                <w:highlight w:val="none"/>
                <w:lang w:val="en-US" w:eastAsia="zh-CN" w:bidi="ar"/>
              </w:rPr>
              <w:t>/风扇</w:t>
            </w:r>
          </w:p>
        </w:tc>
        <w:tc>
          <w:tcPr>
            <w:tcW w:w="4850"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220VAC/240HVDC交直流兼容电源</w:t>
            </w:r>
            <w:r>
              <w:rPr>
                <w:rFonts w:hint="eastAsia" w:ascii="宋体" w:hAnsi="宋体" w:cs="宋体"/>
                <w:color w:val="000000"/>
                <w:kern w:val="0"/>
                <w:sz w:val="21"/>
                <w:szCs w:val="21"/>
                <w:highlight w:val="none"/>
                <w:lang w:eastAsia="zh-CN" w:bidi="ar"/>
              </w:rPr>
              <w:t>，</w:t>
            </w:r>
            <w:r>
              <w:rPr>
                <w:rFonts w:hint="eastAsia" w:ascii="宋体" w:hAnsi="宋体" w:cs="宋体"/>
                <w:color w:val="000000"/>
                <w:kern w:val="0"/>
                <w:sz w:val="21"/>
                <w:szCs w:val="21"/>
                <w:highlight w:val="none"/>
                <w:lang w:val="en-US" w:eastAsia="zh-CN" w:bidi="ar"/>
              </w:rPr>
              <w:t>支持</w:t>
            </w:r>
            <w:r>
              <w:rPr>
                <w:rFonts w:hint="eastAsia" w:ascii="宋体" w:hAnsi="宋体" w:eastAsia="宋体" w:cs="宋体"/>
                <w:color w:val="000000"/>
                <w:kern w:val="0"/>
                <w:sz w:val="21"/>
                <w:szCs w:val="21"/>
                <w:highlight w:val="none"/>
                <w:lang w:bidi="ar"/>
              </w:rPr>
              <w:t>N+1冗余</w:t>
            </w:r>
            <w:r>
              <w:rPr>
                <w:rFonts w:hint="eastAsia" w:ascii="宋体" w:hAnsi="宋体" w:cs="宋体"/>
                <w:color w:val="000000"/>
                <w:kern w:val="0"/>
                <w:sz w:val="21"/>
                <w:szCs w:val="21"/>
                <w:highlight w:val="none"/>
                <w:lang w:val="en-US" w:eastAsia="zh-CN" w:bidi="ar"/>
              </w:rPr>
              <w:t>电源，支持</w:t>
            </w:r>
            <w:r>
              <w:rPr>
                <w:rFonts w:hint="eastAsia" w:ascii="宋体" w:hAnsi="宋体" w:eastAsia="宋体" w:cs="宋体"/>
                <w:color w:val="000000"/>
                <w:kern w:val="0"/>
                <w:sz w:val="21"/>
                <w:szCs w:val="21"/>
                <w:highlight w:val="none"/>
                <w:lang w:bidi="ar"/>
              </w:rPr>
              <w:t>N+1冗余风扇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27</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产品规格</w:t>
            </w:r>
          </w:p>
        </w:tc>
        <w:tc>
          <w:tcPr>
            <w:tcW w:w="1135" w:type="dxa"/>
            <w:vMerge w:val="restart"/>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其他</w:t>
            </w:r>
          </w:p>
        </w:tc>
        <w:tc>
          <w:tcPr>
            <w:tcW w:w="1705" w:type="dxa"/>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1"/>
                <w:szCs w:val="21"/>
                <w:highlight w:val="none"/>
                <w:lang w:val="en-US" w:eastAsia="zh-CN" w:bidi="ar"/>
              </w:rPr>
              <w:t>配件</w:t>
            </w:r>
          </w:p>
        </w:tc>
        <w:tc>
          <w:tcPr>
            <w:tcW w:w="4850"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kern w:val="0"/>
                <w:sz w:val="21"/>
                <w:szCs w:val="21"/>
                <w:highlight w:val="none"/>
                <w:lang w:bidi="ar"/>
              </w:rPr>
              <w:t>原厂完整包装和配件</w:t>
            </w:r>
            <w:r>
              <w:rPr>
                <w:rFonts w:hint="eastAsia" w:ascii="宋体" w:hAnsi="宋体" w:cs="宋体"/>
                <w:kern w:val="0"/>
                <w:sz w:val="21"/>
                <w:szCs w:val="21"/>
                <w:highlight w:val="none"/>
                <w:lang w:eastAsia="zh-CN" w:bidi="ar"/>
              </w:rPr>
              <w:t>，</w:t>
            </w:r>
            <w:r>
              <w:rPr>
                <w:rFonts w:hint="eastAsia" w:ascii="宋体" w:hAnsi="宋体" w:cs="宋体"/>
                <w:kern w:val="0"/>
                <w:sz w:val="21"/>
                <w:szCs w:val="21"/>
                <w:highlight w:val="none"/>
                <w:lang w:bidi="ar"/>
              </w:rPr>
              <w:t>提供电源模块</w:t>
            </w:r>
            <w:r>
              <w:rPr>
                <w:rFonts w:hint="eastAsia" w:ascii="宋体" w:hAnsi="宋体" w:cs="宋体"/>
                <w:kern w:val="0"/>
                <w:sz w:val="21"/>
                <w:szCs w:val="21"/>
                <w:highlight w:val="none"/>
                <w:lang w:eastAsia="zh-CN" w:bidi="ar"/>
              </w:rPr>
              <w:t>，</w:t>
            </w:r>
            <w:r>
              <w:rPr>
                <w:rFonts w:hint="eastAsia" w:ascii="宋体" w:hAnsi="宋体" w:cs="宋体"/>
                <w:kern w:val="0"/>
                <w:sz w:val="21"/>
                <w:szCs w:val="21"/>
                <w:highlight w:val="none"/>
                <w:lang w:val="en-US" w:eastAsia="zh-CN" w:bidi="ar"/>
              </w:rPr>
              <w:t>具备</w:t>
            </w:r>
            <w:r>
              <w:rPr>
                <w:rFonts w:hint="eastAsia" w:ascii="宋体" w:hAnsi="宋体" w:cs="宋体"/>
                <w:kern w:val="0"/>
                <w:sz w:val="21"/>
                <w:szCs w:val="21"/>
                <w:highlight w:val="none"/>
                <w:lang w:bidi="ar"/>
              </w:rPr>
              <w:t>完整文档</w:t>
            </w:r>
            <w:r>
              <w:rPr>
                <w:rFonts w:hint="eastAsia" w:ascii="宋体" w:hAnsi="宋体" w:cs="宋体"/>
                <w:kern w:val="0"/>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35" w:type="dxa"/>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28</w:t>
            </w:r>
          </w:p>
        </w:tc>
        <w:tc>
          <w:tcPr>
            <w:tcW w:w="113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cs="宋体"/>
                <w:kern w:val="0"/>
                <w:sz w:val="20"/>
                <w:highlight w:val="none"/>
                <w:lang w:bidi="ar"/>
              </w:rPr>
              <w:t>产品规格</w:t>
            </w:r>
          </w:p>
        </w:tc>
        <w:tc>
          <w:tcPr>
            <w:tcW w:w="1135" w:type="dxa"/>
            <w:vMerge w:val="continue"/>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p>
        </w:tc>
        <w:tc>
          <w:tcPr>
            <w:tcW w:w="1705" w:type="dxa"/>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机架式</w:t>
            </w:r>
          </w:p>
        </w:tc>
        <w:tc>
          <w:tcPr>
            <w:tcW w:w="4850" w:type="dxa"/>
            <w:shd w:val="clear" w:color="auto" w:fill="auto"/>
            <w:vAlign w:val="center"/>
          </w:tcPr>
          <w:p>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cs="宋体"/>
                <w:sz w:val="21"/>
                <w:szCs w:val="21"/>
                <w:highlight w:val="none"/>
              </w:rPr>
              <w:t>物理</w:t>
            </w:r>
            <w:r>
              <w:rPr>
                <w:rFonts w:hint="eastAsia" w:ascii="宋体" w:hAnsi="宋体" w:cs="宋体"/>
                <w:sz w:val="21"/>
                <w:szCs w:val="21"/>
                <w:highlight w:val="none"/>
                <w:lang w:val="en-US" w:eastAsia="zh-CN"/>
              </w:rPr>
              <w:t>机形式租赁，</w:t>
            </w:r>
            <w:r>
              <w:rPr>
                <w:rFonts w:hint="eastAsia" w:ascii="宋体" w:hAnsi="宋体" w:eastAsia="宋体" w:cs="宋体"/>
                <w:color w:val="000000"/>
                <w:kern w:val="0"/>
                <w:sz w:val="21"/>
                <w:szCs w:val="21"/>
                <w:highlight w:val="none"/>
                <w:lang w:bidi="ar"/>
              </w:rPr>
              <w:t>机架式，高度≥</w:t>
            </w: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 w:val="21"/>
                <w:szCs w:val="21"/>
                <w:highlight w:val="none"/>
                <w:lang w:bidi="ar"/>
              </w:rPr>
              <w:t>U，配置导轨，电源线等相关配件。</w:t>
            </w:r>
          </w:p>
        </w:tc>
      </w:tr>
      <w:bookmarkEnd w:id="62"/>
    </w:tbl>
    <w:p>
      <w:pPr>
        <w:spacing w:line="360" w:lineRule="auto"/>
        <w:rPr>
          <w:rFonts w:hint="default" w:ascii="Times New Roman" w:hAnsi="Times New Roman" w:eastAsia="宋体" w:cs="Times New Roman"/>
          <w:b/>
          <w:bCs w:val="0"/>
          <w:color w:val="FF0000"/>
          <w:highlight w:val="none"/>
          <w:lang w:val="en-US" w:eastAsia="zh-CN"/>
        </w:rPr>
      </w:pPr>
      <w:bookmarkStart w:id="63" w:name="_Toc20172"/>
      <w:bookmarkStart w:id="64" w:name="_Toc7831"/>
      <w:bookmarkStart w:id="65" w:name="_Toc9753"/>
    </w:p>
    <w:p>
      <w:pPr>
        <w:spacing w:line="360" w:lineRule="auto"/>
        <w:ind w:firstLine="420"/>
        <w:rPr>
          <w:rFonts w:hint="eastAsia" w:eastAsia="宋体"/>
          <w:bCs/>
          <w:highlight w:val="none"/>
          <w:lang w:eastAsia="zh-CN"/>
        </w:rPr>
      </w:pPr>
      <w:r>
        <w:rPr>
          <w:rFonts w:hint="eastAsia"/>
          <w:bCs/>
          <w:highlight w:val="none"/>
        </w:rPr>
        <w:t>（</w:t>
      </w:r>
      <w:r>
        <w:rPr>
          <w:rFonts w:hint="eastAsia"/>
          <w:bCs/>
          <w:highlight w:val="none"/>
          <w:lang w:val="en-US" w:eastAsia="zh-CN"/>
        </w:rPr>
        <w:t>2</w:t>
      </w:r>
      <w:r>
        <w:rPr>
          <w:rFonts w:hint="eastAsia"/>
          <w:bCs/>
          <w:highlight w:val="none"/>
        </w:rPr>
        <w:t>）</w:t>
      </w:r>
      <w:r>
        <w:rPr>
          <w:rFonts w:ascii="宋体" w:hAnsi="宋体" w:eastAsia="宋体" w:cs="宋体"/>
          <w:sz w:val="24"/>
          <w:szCs w:val="24"/>
          <w:highlight w:val="none"/>
        </w:rPr>
        <w:t>租赁服务期运维与技术支持</w:t>
      </w:r>
      <w:r>
        <w:rPr>
          <w:rFonts w:hint="eastAsia" w:ascii="宋体" w:hAnsi="宋体" w:cs="宋体"/>
          <w:sz w:val="24"/>
          <w:szCs w:val="24"/>
          <w:highlight w:val="none"/>
          <w:lang w:eastAsia="zh-CN"/>
        </w:rPr>
        <w:t>：</w:t>
      </w:r>
    </w:p>
    <w:p>
      <w:pPr>
        <w:spacing w:line="360" w:lineRule="auto"/>
        <w:ind w:firstLine="420"/>
        <w:rPr>
          <w:rFonts w:ascii="宋体" w:hAnsi="宋体"/>
          <w:szCs w:val="21"/>
          <w:highlight w:val="none"/>
        </w:rPr>
      </w:pPr>
      <w:r>
        <w:rPr>
          <w:rFonts w:hint="eastAsia"/>
          <w:bCs/>
          <w:highlight w:val="none"/>
        </w:rPr>
        <w:t>租赁服务期间，由中标方提供包括但不限于设备安装调试，设备测试运维，质保售后，算力设备拓扑结构设计咨询，按照招标人需求执行设备搬迁重新安装上架，以及相关培训工作。</w:t>
      </w:r>
    </w:p>
    <w:bookmarkEnd w:id="63"/>
    <w:p>
      <w:pPr>
        <w:pStyle w:val="2"/>
        <w:numPr>
          <w:ilvl w:val="0"/>
          <w:numId w:val="8"/>
        </w:numPr>
        <w:adjustRightInd w:val="0"/>
        <w:snapToGrid w:val="0"/>
        <w:spacing w:before="320" w:after="120" w:line="413" w:lineRule="auto"/>
        <w:rPr>
          <w:rFonts w:eastAsia="黑体"/>
          <w:sz w:val="24"/>
          <w:highlight w:val="none"/>
        </w:rPr>
      </w:pPr>
      <w:bookmarkStart w:id="66" w:name="_Toc21599"/>
      <w:bookmarkStart w:id="67" w:name="_Toc7957"/>
      <w:bookmarkStart w:id="68" w:name="_Toc13173"/>
      <w:bookmarkStart w:id="69" w:name="_Toc22867"/>
      <w:bookmarkStart w:id="70" w:name="_Toc20699"/>
      <w:bookmarkStart w:id="71" w:name="_Toc32479"/>
      <w:bookmarkStart w:id="72" w:name="_Toc19199"/>
      <w:r>
        <w:rPr>
          <w:rFonts w:hint="eastAsia" w:eastAsia="黑体"/>
          <w:sz w:val="24"/>
          <w:highlight w:val="none"/>
        </w:rPr>
        <w:t>项目实施</w:t>
      </w:r>
      <w:bookmarkEnd w:id="64"/>
      <w:bookmarkEnd w:id="65"/>
      <w:bookmarkEnd w:id="66"/>
      <w:bookmarkEnd w:id="67"/>
      <w:bookmarkEnd w:id="68"/>
      <w:bookmarkEnd w:id="69"/>
      <w:bookmarkEnd w:id="70"/>
      <w:bookmarkEnd w:id="71"/>
      <w:bookmarkEnd w:id="72"/>
    </w:p>
    <w:p>
      <w:pPr>
        <w:numPr>
          <w:ilvl w:val="0"/>
          <w:numId w:val="0"/>
        </w:numPr>
        <w:spacing w:line="360" w:lineRule="auto"/>
        <w:ind w:left="420" w:leftChars="0" w:hanging="420" w:firstLineChars="0"/>
        <w:rPr>
          <w:b/>
          <w:bCs/>
          <w:highlight w:val="none"/>
        </w:rPr>
      </w:pPr>
      <w:bookmarkStart w:id="73" w:name="_Toc291008615"/>
      <w:r>
        <w:rPr>
          <w:rFonts w:hint="default" w:ascii="宋体" w:hAnsi="宋体" w:eastAsia="宋体" w:cs="Times New Roman"/>
          <w:b/>
          <w:bCs/>
          <w:kern w:val="2"/>
          <w:sz w:val="24"/>
          <w:szCs w:val="24"/>
          <w:lang w:val="en-US" w:eastAsia="zh-CN" w:bidi="ar-SA"/>
        </w:rPr>
        <w:t>6.1</w:t>
      </w:r>
      <w:r>
        <w:rPr>
          <w:rFonts w:hint="eastAsia"/>
          <w:b/>
          <w:bCs/>
          <w:highlight w:val="none"/>
        </w:rPr>
        <w:t>实施地点</w:t>
      </w:r>
      <w:bookmarkEnd w:id="73"/>
    </w:p>
    <w:p>
      <w:pPr>
        <w:spacing w:line="360" w:lineRule="auto"/>
        <w:ind w:firstLine="480" w:firstLineChars="200"/>
        <w:rPr>
          <w:rFonts w:ascii="Arial" w:hAnsi="Arial" w:cs="Arial"/>
          <w:szCs w:val="21"/>
          <w:highlight w:val="none"/>
        </w:rPr>
      </w:pPr>
      <w:r>
        <w:rPr>
          <w:rFonts w:hint="eastAsia"/>
          <w:highlight w:val="none"/>
        </w:rPr>
        <w:t>南方电网储能股份有限公司指定地点</w:t>
      </w:r>
      <w:r>
        <w:rPr>
          <w:rFonts w:hint="eastAsia" w:ascii="Arial" w:hAnsi="Arial" w:cs="Arial"/>
          <w:szCs w:val="21"/>
          <w:highlight w:val="none"/>
        </w:rPr>
        <w:t>。</w:t>
      </w:r>
    </w:p>
    <w:p>
      <w:pPr>
        <w:numPr>
          <w:ilvl w:val="0"/>
          <w:numId w:val="0"/>
        </w:numPr>
        <w:spacing w:line="360" w:lineRule="auto"/>
        <w:ind w:left="420" w:leftChars="0" w:hanging="420" w:firstLineChars="0"/>
        <w:rPr>
          <w:b/>
          <w:bCs/>
          <w:highlight w:val="none"/>
        </w:rPr>
      </w:pPr>
      <w:bookmarkStart w:id="74" w:name="_Toc291008616"/>
      <w:r>
        <w:rPr>
          <w:rFonts w:hint="default" w:ascii="宋体" w:hAnsi="宋体" w:eastAsia="宋体" w:cs="Times New Roman"/>
          <w:b/>
          <w:bCs/>
          <w:kern w:val="2"/>
          <w:sz w:val="24"/>
          <w:szCs w:val="24"/>
          <w:lang w:val="en-US" w:eastAsia="zh-CN" w:bidi="ar-SA"/>
        </w:rPr>
        <w:t>6.2</w:t>
      </w:r>
      <w:r>
        <w:rPr>
          <w:rFonts w:hint="eastAsia"/>
          <w:b/>
          <w:bCs/>
          <w:highlight w:val="none"/>
        </w:rPr>
        <w:t>人员要求</w:t>
      </w:r>
      <w:bookmarkEnd w:id="74"/>
    </w:p>
    <w:p>
      <w:pPr>
        <w:pStyle w:val="69"/>
        <w:numPr>
          <w:ilvl w:val="0"/>
          <w:numId w:val="10"/>
        </w:numPr>
        <w:spacing w:before="0" w:after="0"/>
        <w:ind w:firstLineChars="0"/>
        <w:rPr>
          <w:rFonts w:ascii="宋体" w:hAnsi="宋体" w:cs="Arial"/>
          <w:szCs w:val="21"/>
          <w:highlight w:val="none"/>
          <w:lang w:eastAsia="zh-CN"/>
        </w:rPr>
      </w:pPr>
      <w:r>
        <w:rPr>
          <w:rFonts w:hint="eastAsia" w:ascii="宋体" w:hAnsi="宋体" w:cs="Arial"/>
          <w:szCs w:val="21"/>
          <w:highlight w:val="none"/>
          <w:lang w:eastAsia="zh-CN"/>
        </w:rPr>
        <w:t>投标方组建一个实施团队，随投标文件提交团队基本情况（包括人员数量、专业分工、资质情况、从业年限等统计数字）和项目所有实施人员简历，</w:t>
      </w:r>
      <w:r>
        <w:rPr>
          <w:rFonts w:hint="eastAsia" w:ascii="宋体" w:hAnsi="宋体" w:cs="Arial"/>
          <w:strike w:val="0"/>
          <w:color w:val="auto"/>
          <w:szCs w:val="21"/>
          <w:highlight w:val="none"/>
          <w:lang w:val="en-US" w:eastAsia="zh-CN"/>
        </w:rPr>
        <w:t>团队成员需具备</w:t>
      </w:r>
      <w:r>
        <w:rPr>
          <w:rFonts w:hint="eastAsia"/>
          <w:bCs/>
          <w:color w:val="auto"/>
          <w:highlight w:val="none"/>
          <w:vertAlign w:val="baseline"/>
          <w:lang w:val="en-US" w:eastAsia="zh-CN"/>
        </w:rPr>
        <w:t>设备安装调试，设备测试运维等服务提供的能力</w:t>
      </w:r>
      <w:r>
        <w:rPr>
          <w:rFonts w:hint="eastAsia" w:ascii="宋体" w:hAnsi="宋体" w:cs="Arial"/>
          <w:szCs w:val="21"/>
          <w:highlight w:val="none"/>
          <w:lang w:eastAsia="zh-CN"/>
        </w:rPr>
        <w:t>。简历格式如下表所示：</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06"/>
        <w:gridCol w:w="2199"/>
        <w:gridCol w:w="1906"/>
        <w:gridCol w:w="263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906" w:type="dxa"/>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宋体" w:hAnsi="宋体" w:cs="宋体"/>
                <w:szCs w:val="21"/>
                <w:highlight w:val="none"/>
              </w:rPr>
            </w:pPr>
            <w:r>
              <w:rPr>
                <w:rFonts w:hint="eastAsia"/>
                <w:szCs w:val="21"/>
                <w:highlight w:val="none"/>
              </w:rPr>
              <w:t>序号</w:t>
            </w:r>
          </w:p>
        </w:tc>
        <w:tc>
          <w:tcPr>
            <w:tcW w:w="219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宋体" w:hAnsi="宋体" w:cs="宋体"/>
                <w:szCs w:val="21"/>
                <w:highlight w:val="none"/>
              </w:rPr>
            </w:pPr>
          </w:p>
        </w:tc>
        <w:tc>
          <w:tcPr>
            <w:tcW w:w="190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r>
              <w:rPr>
                <w:rFonts w:hint="eastAsia"/>
                <w:szCs w:val="21"/>
                <w:highlight w:val="none"/>
              </w:rPr>
              <w:t>姓名</w:t>
            </w:r>
          </w:p>
        </w:tc>
        <w:tc>
          <w:tcPr>
            <w:tcW w:w="2638" w:type="dxa"/>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906" w:type="dxa"/>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宋体" w:hAnsi="宋体" w:cs="宋体"/>
                <w:szCs w:val="21"/>
                <w:highlight w:val="none"/>
              </w:rPr>
            </w:pPr>
            <w:r>
              <w:rPr>
                <w:rFonts w:hint="eastAsia"/>
                <w:szCs w:val="21"/>
                <w:highlight w:val="none"/>
              </w:rPr>
              <w:t>相关工作年限</w:t>
            </w:r>
          </w:p>
        </w:tc>
        <w:tc>
          <w:tcPr>
            <w:tcW w:w="219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宋体" w:hAnsi="宋体" w:cs="宋体"/>
                <w:szCs w:val="21"/>
                <w:highlight w:val="none"/>
              </w:rPr>
            </w:pPr>
          </w:p>
        </w:tc>
        <w:tc>
          <w:tcPr>
            <w:tcW w:w="190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r>
              <w:rPr>
                <w:rFonts w:hint="eastAsia"/>
                <w:szCs w:val="21"/>
                <w:highlight w:val="none"/>
              </w:rPr>
              <w:t>毕业院校</w:t>
            </w:r>
          </w:p>
        </w:tc>
        <w:tc>
          <w:tcPr>
            <w:tcW w:w="2638" w:type="dxa"/>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906" w:type="dxa"/>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szCs w:val="21"/>
                <w:highlight w:val="none"/>
              </w:rPr>
            </w:pPr>
            <w:r>
              <w:rPr>
                <w:rFonts w:hint="eastAsia"/>
                <w:szCs w:val="21"/>
                <w:highlight w:val="none"/>
              </w:rPr>
              <w:t>专业</w:t>
            </w:r>
          </w:p>
        </w:tc>
        <w:tc>
          <w:tcPr>
            <w:tcW w:w="2199"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宋体" w:hAnsi="宋体" w:cs="宋体"/>
                <w:szCs w:val="21"/>
                <w:highlight w:val="none"/>
              </w:rPr>
            </w:pPr>
          </w:p>
        </w:tc>
        <w:tc>
          <w:tcPr>
            <w:tcW w:w="190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szCs w:val="21"/>
                <w:highlight w:val="none"/>
              </w:rPr>
            </w:pPr>
            <w:r>
              <w:rPr>
                <w:rFonts w:hint="eastAsia"/>
                <w:szCs w:val="21"/>
                <w:highlight w:val="none"/>
              </w:rPr>
              <w:t>学历</w:t>
            </w:r>
          </w:p>
        </w:tc>
        <w:tc>
          <w:tcPr>
            <w:tcW w:w="2638" w:type="dxa"/>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4105" w:type="dxa"/>
            <w:gridSpan w:val="2"/>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宋体" w:hAnsi="宋体" w:cs="宋体"/>
                <w:szCs w:val="21"/>
                <w:highlight w:val="none"/>
              </w:rPr>
            </w:pPr>
            <w:r>
              <w:rPr>
                <w:rFonts w:hint="eastAsia"/>
                <w:szCs w:val="21"/>
                <w:highlight w:val="none"/>
              </w:rPr>
              <w:t>在本项目承担的角色</w:t>
            </w:r>
          </w:p>
        </w:tc>
        <w:tc>
          <w:tcPr>
            <w:tcW w:w="4544" w:type="dxa"/>
            <w:gridSpan w:val="2"/>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4105" w:type="dxa"/>
            <w:gridSpan w:val="2"/>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szCs w:val="21"/>
                <w:highlight w:val="none"/>
              </w:rPr>
            </w:pPr>
            <w:r>
              <w:rPr>
                <w:rFonts w:hint="eastAsia"/>
                <w:szCs w:val="21"/>
                <w:highlight w:val="none"/>
              </w:rPr>
              <w:t>相关资质证书</w:t>
            </w:r>
          </w:p>
        </w:tc>
        <w:tc>
          <w:tcPr>
            <w:tcW w:w="4544" w:type="dxa"/>
            <w:gridSpan w:val="2"/>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4105" w:type="dxa"/>
            <w:gridSpan w:val="2"/>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szCs w:val="21"/>
                <w:highlight w:val="none"/>
              </w:rPr>
            </w:pPr>
            <w:r>
              <w:rPr>
                <w:rFonts w:hint="eastAsia"/>
                <w:szCs w:val="21"/>
                <w:highlight w:val="none"/>
              </w:rPr>
              <w:t>以往参与项目情况</w:t>
            </w:r>
          </w:p>
        </w:tc>
        <w:tc>
          <w:tcPr>
            <w:tcW w:w="4544" w:type="dxa"/>
            <w:gridSpan w:val="2"/>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4105" w:type="dxa"/>
            <w:gridSpan w:val="2"/>
            <w:tcBorders>
              <w:top w:val="single" w:color="auto" w:sz="4" w:space="0"/>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szCs w:val="21"/>
                <w:highlight w:val="none"/>
              </w:rPr>
            </w:pPr>
            <w:r>
              <w:rPr>
                <w:rFonts w:hint="eastAsia"/>
                <w:szCs w:val="21"/>
                <w:highlight w:val="none"/>
              </w:rPr>
              <w:t>其他说明</w:t>
            </w:r>
          </w:p>
        </w:tc>
        <w:tc>
          <w:tcPr>
            <w:tcW w:w="4544" w:type="dxa"/>
            <w:gridSpan w:val="2"/>
            <w:tcBorders>
              <w:top w:val="single" w:color="auto" w:sz="4" w:space="0"/>
              <w:left w:val="single" w:color="auto" w:sz="4" w:space="0"/>
              <w:bottom w:val="single" w:color="auto" w:sz="4" w:space="0"/>
            </w:tcBorders>
            <w:shd w:val="clear" w:color="auto" w:fill="FFFFFF"/>
            <w:vAlign w:val="center"/>
          </w:tcPr>
          <w:p>
            <w:pPr>
              <w:keepNext w:val="0"/>
              <w:keepLines w:val="0"/>
              <w:widowControl/>
              <w:suppressLineNumbers w:val="0"/>
              <w:spacing w:before="0" w:beforeAutospacing="0" w:after="0" w:afterAutospacing="0" w:line="360" w:lineRule="auto"/>
              <w:ind w:left="0" w:right="0"/>
              <w:rPr>
                <w:rFonts w:hint="eastAsia" w:ascii="Arial" w:hAnsi="Arial" w:cs="Arial"/>
                <w:szCs w:val="21"/>
                <w:highlight w:val="none"/>
              </w:rPr>
            </w:pPr>
          </w:p>
        </w:tc>
      </w:tr>
    </w:tbl>
    <w:p>
      <w:pPr>
        <w:pStyle w:val="69"/>
        <w:numPr>
          <w:ilvl w:val="255"/>
          <w:numId w:val="0"/>
        </w:numPr>
        <w:tabs>
          <w:tab w:val="left" w:pos="0"/>
        </w:tabs>
        <w:spacing w:before="0" w:after="0"/>
        <w:rPr>
          <w:rFonts w:ascii="宋体" w:hAnsi="宋体" w:cs="Arial"/>
          <w:szCs w:val="21"/>
          <w:highlight w:val="none"/>
          <w:lang w:eastAsia="zh-CN"/>
        </w:rPr>
      </w:pPr>
    </w:p>
    <w:p>
      <w:pPr>
        <w:pStyle w:val="69"/>
        <w:numPr>
          <w:ilvl w:val="0"/>
          <w:numId w:val="10"/>
        </w:numPr>
        <w:spacing w:before="0" w:after="0"/>
        <w:ind w:firstLineChars="0"/>
        <w:rPr>
          <w:rFonts w:ascii="宋体" w:hAnsi="宋体" w:cs="Arial"/>
          <w:szCs w:val="21"/>
          <w:highlight w:val="none"/>
          <w:lang w:eastAsia="zh-CN"/>
        </w:rPr>
      </w:pPr>
      <w:r>
        <w:rPr>
          <w:rFonts w:ascii="宋体" w:hAnsi="宋体" w:cs="Arial"/>
          <w:szCs w:val="21"/>
          <w:highlight w:val="none"/>
          <w:lang w:eastAsia="zh-CN"/>
        </w:rPr>
        <w:t>如果发现</w:t>
      </w:r>
      <w:r>
        <w:rPr>
          <w:rFonts w:hint="eastAsia" w:ascii="宋体" w:hAnsi="宋体" w:cs="Arial"/>
          <w:szCs w:val="21"/>
          <w:highlight w:val="none"/>
          <w:lang w:eastAsia="zh-CN"/>
        </w:rPr>
        <w:t>投标方</w:t>
      </w:r>
      <w:r>
        <w:rPr>
          <w:rFonts w:ascii="宋体" w:hAnsi="宋体" w:cs="Arial"/>
          <w:szCs w:val="21"/>
          <w:highlight w:val="none"/>
          <w:lang w:eastAsia="zh-CN"/>
        </w:rPr>
        <w:t>的技术人员不合格，</w:t>
      </w:r>
      <w:r>
        <w:rPr>
          <w:rFonts w:hint="eastAsia" w:ascii="宋体" w:hAnsi="宋体" w:cs="Arial"/>
          <w:szCs w:val="21"/>
          <w:highlight w:val="none"/>
          <w:lang w:eastAsia="zh-CN"/>
        </w:rPr>
        <w:t>招标方</w:t>
      </w:r>
      <w:r>
        <w:rPr>
          <w:rFonts w:ascii="宋体" w:hAnsi="宋体" w:cs="Arial"/>
          <w:szCs w:val="21"/>
          <w:highlight w:val="none"/>
          <w:lang w:eastAsia="zh-CN"/>
        </w:rPr>
        <w:t>有权要求</w:t>
      </w:r>
      <w:r>
        <w:rPr>
          <w:rFonts w:hint="eastAsia" w:ascii="宋体" w:hAnsi="宋体" w:cs="Arial"/>
          <w:szCs w:val="21"/>
          <w:highlight w:val="none"/>
          <w:lang w:eastAsia="zh-CN"/>
        </w:rPr>
        <w:t>投标方</w:t>
      </w:r>
      <w:r>
        <w:rPr>
          <w:rFonts w:ascii="宋体" w:hAnsi="宋体" w:cs="Arial"/>
          <w:szCs w:val="21"/>
          <w:highlight w:val="none"/>
          <w:lang w:eastAsia="zh-CN"/>
        </w:rPr>
        <w:t>撤换，因撤换而产生的费用由</w:t>
      </w:r>
      <w:r>
        <w:rPr>
          <w:rFonts w:hint="eastAsia" w:ascii="宋体" w:hAnsi="宋体" w:cs="Arial"/>
          <w:szCs w:val="21"/>
          <w:highlight w:val="none"/>
          <w:lang w:eastAsia="zh-CN"/>
        </w:rPr>
        <w:t>投标方</w:t>
      </w:r>
      <w:r>
        <w:rPr>
          <w:rFonts w:ascii="宋体" w:hAnsi="宋体" w:cs="Arial"/>
          <w:szCs w:val="21"/>
          <w:highlight w:val="none"/>
          <w:lang w:eastAsia="zh-CN"/>
        </w:rPr>
        <w:t>承担。</w:t>
      </w:r>
      <w:r>
        <w:rPr>
          <w:rFonts w:hint="eastAsia" w:ascii="宋体" w:hAnsi="宋体" w:cs="Arial"/>
          <w:szCs w:val="21"/>
          <w:highlight w:val="none"/>
          <w:lang w:eastAsia="zh-CN"/>
        </w:rPr>
        <w:t xml:space="preserve">如多次更换仍然未达到要求的，保留迟延索赔的权利。  </w:t>
      </w:r>
    </w:p>
    <w:p>
      <w:pPr>
        <w:pStyle w:val="69"/>
        <w:numPr>
          <w:ilvl w:val="0"/>
          <w:numId w:val="10"/>
        </w:numPr>
        <w:spacing w:before="0" w:after="0"/>
        <w:ind w:firstLineChars="0"/>
        <w:rPr>
          <w:rFonts w:ascii="宋体" w:hAnsi="宋体" w:cs="Arial"/>
          <w:szCs w:val="21"/>
          <w:highlight w:val="none"/>
          <w:lang w:eastAsia="zh-CN"/>
        </w:rPr>
      </w:pPr>
      <w:r>
        <w:rPr>
          <w:rFonts w:hint="eastAsia" w:ascii="宋体" w:hAnsi="宋体"/>
          <w:szCs w:val="21"/>
          <w:highlight w:val="none"/>
          <w:lang w:eastAsia="zh-CN"/>
        </w:rPr>
        <w:t>投标方</w:t>
      </w:r>
      <w:r>
        <w:rPr>
          <w:rFonts w:hint="eastAsia" w:ascii="宋体" w:hAnsi="宋体" w:cs="Arial"/>
          <w:szCs w:val="21"/>
          <w:highlight w:val="none"/>
          <w:lang w:eastAsia="zh-CN"/>
        </w:rPr>
        <w:t>向招标方保证项目人员组织的稳定性，在本项目结束前，投标方如对项目组人员进行变动，需取得招标方同意。</w:t>
      </w:r>
    </w:p>
    <w:p>
      <w:pPr>
        <w:numPr>
          <w:ilvl w:val="0"/>
          <w:numId w:val="0"/>
        </w:numPr>
        <w:spacing w:line="360" w:lineRule="auto"/>
        <w:ind w:left="420" w:leftChars="0" w:hanging="420" w:firstLineChars="0"/>
        <w:rPr>
          <w:b/>
          <w:bCs/>
          <w:color w:val="auto"/>
          <w:highlight w:val="none"/>
        </w:rPr>
      </w:pPr>
      <w:bookmarkStart w:id="75" w:name="_Toc291008620"/>
      <w:r>
        <w:rPr>
          <w:rFonts w:hint="eastAsia" w:ascii="宋体" w:hAnsi="宋体" w:cs="Times New Roman"/>
          <w:b/>
          <w:bCs/>
          <w:color w:val="auto"/>
          <w:kern w:val="2"/>
          <w:sz w:val="24"/>
          <w:szCs w:val="24"/>
          <w:highlight w:val="none"/>
          <w:lang w:val="en-US" w:eastAsia="zh-CN" w:bidi="ar-SA"/>
        </w:rPr>
        <w:t>6</w:t>
      </w:r>
      <w:r>
        <w:rPr>
          <w:rFonts w:hint="default" w:ascii="宋体" w:hAnsi="宋体" w:eastAsia="宋体" w:cs="Times New Roman"/>
          <w:b/>
          <w:bCs/>
          <w:color w:val="auto"/>
          <w:kern w:val="2"/>
          <w:sz w:val="24"/>
          <w:szCs w:val="24"/>
          <w:highlight w:val="none"/>
          <w:lang w:val="en-US" w:eastAsia="zh-CN" w:bidi="ar-SA"/>
        </w:rPr>
        <w:t>.3</w:t>
      </w:r>
      <w:r>
        <w:rPr>
          <w:rFonts w:hint="eastAsia"/>
          <w:b/>
          <w:bCs/>
          <w:color w:val="auto"/>
          <w:highlight w:val="none"/>
          <w:lang w:val="en-US" w:eastAsia="zh-CN"/>
        </w:rPr>
        <w:t>技术文档要求</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9"/>
        <w:gridCol w:w="1757"/>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9" w:type="dxa"/>
          </w:tcPr>
          <w:p>
            <w:pPr>
              <w:keepNext w:val="0"/>
              <w:keepLines w:val="0"/>
              <w:numPr>
                <w:ilvl w:val="0"/>
                <w:numId w:val="0"/>
              </w:numPr>
              <w:suppressLineNumbers w:val="0"/>
              <w:spacing w:before="0" w:beforeAutospacing="0" w:after="0" w:afterAutospacing="0" w:line="360" w:lineRule="auto"/>
              <w:ind w:left="0" w:right="0"/>
              <w:jc w:val="center"/>
              <w:rPr>
                <w:rFonts w:hint="eastAsia" w:eastAsia="宋体"/>
                <w:b/>
                <w:bCs/>
                <w:color w:val="auto"/>
                <w:highlight w:val="none"/>
                <w:vertAlign w:val="baseline"/>
                <w:lang w:val="en-US" w:eastAsia="zh-CN"/>
              </w:rPr>
            </w:pPr>
            <w:r>
              <w:rPr>
                <w:rFonts w:hint="eastAsia"/>
                <w:b/>
                <w:bCs/>
                <w:color w:val="auto"/>
                <w:highlight w:val="none"/>
                <w:vertAlign w:val="baseline"/>
                <w:lang w:val="en-US" w:eastAsia="zh-CN"/>
              </w:rPr>
              <w:t>工作项</w:t>
            </w:r>
          </w:p>
        </w:tc>
        <w:tc>
          <w:tcPr>
            <w:tcW w:w="1757" w:type="dxa"/>
          </w:tcPr>
          <w:p>
            <w:pPr>
              <w:keepNext w:val="0"/>
              <w:keepLines w:val="0"/>
              <w:numPr>
                <w:ilvl w:val="0"/>
                <w:numId w:val="0"/>
              </w:numPr>
              <w:suppressLineNumbers w:val="0"/>
              <w:spacing w:before="0" w:beforeAutospacing="0" w:after="0" w:afterAutospacing="0" w:line="360" w:lineRule="auto"/>
              <w:ind w:left="0" w:right="0"/>
              <w:jc w:val="center"/>
              <w:rPr>
                <w:rFonts w:hint="eastAsia" w:eastAsia="宋体"/>
                <w:b/>
                <w:bCs/>
                <w:color w:val="auto"/>
                <w:highlight w:val="none"/>
                <w:vertAlign w:val="baseline"/>
                <w:lang w:val="en-US" w:eastAsia="zh-CN"/>
              </w:rPr>
            </w:pPr>
            <w:r>
              <w:rPr>
                <w:rFonts w:hint="eastAsia"/>
                <w:b/>
                <w:bCs/>
                <w:color w:val="auto"/>
                <w:highlight w:val="none"/>
                <w:vertAlign w:val="baseline"/>
                <w:lang w:val="en-US" w:eastAsia="zh-CN"/>
              </w:rPr>
              <w:t>周期</w:t>
            </w:r>
          </w:p>
        </w:tc>
        <w:tc>
          <w:tcPr>
            <w:tcW w:w="6757" w:type="dxa"/>
          </w:tcPr>
          <w:p>
            <w:pPr>
              <w:keepNext w:val="0"/>
              <w:keepLines w:val="0"/>
              <w:numPr>
                <w:ilvl w:val="0"/>
                <w:numId w:val="0"/>
              </w:numPr>
              <w:suppressLineNumbers w:val="0"/>
              <w:spacing w:before="0" w:beforeAutospacing="0" w:after="0" w:afterAutospacing="0" w:line="360" w:lineRule="auto"/>
              <w:ind w:left="0" w:right="0"/>
              <w:jc w:val="center"/>
              <w:rPr>
                <w:rFonts w:hint="eastAsia" w:eastAsia="宋体"/>
                <w:b/>
                <w:bCs/>
                <w:color w:val="auto"/>
                <w:highlight w:val="none"/>
                <w:vertAlign w:val="baseline"/>
                <w:lang w:val="en-US" w:eastAsia="zh-CN"/>
              </w:rPr>
            </w:pPr>
            <w:r>
              <w:rPr>
                <w:rFonts w:hint="eastAsia"/>
                <w:b/>
                <w:bCs/>
                <w:color w:val="auto"/>
                <w:highlight w:val="none"/>
                <w:vertAlign w:val="baseline"/>
                <w:lang w:val="en-US" w:eastAsia="zh-CN"/>
              </w:rPr>
              <w:t>文档交付物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9" w:type="dxa"/>
          </w:tcPr>
          <w:p>
            <w:pPr>
              <w:keepNext w:val="0"/>
              <w:keepLines w:val="0"/>
              <w:numPr>
                <w:ilvl w:val="0"/>
                <w:numId w:val="0"/>
              </w:numPr>
              <w:suppressLineNumbers w:val="0"/>
              <w:spacing w:before="0" w:beforeAutospacing="0" w:after="0" w:afterAutospacing="0" w:line="360" w:lineRule="auto"/>
              <w:ind w:left="0" w:right="0"/>
              <w:rPr>
                <w:rFonts w:hint="default" w:eastAsia="宋体"/>
                <w:b w:val="0"/>
                <w:bCs w:val="0"/>
                <w:color w:val="auto"/>
                <w:highlight w:val="none"/>
                <w:vertAlign w:val="baseline"/>
                <w:lang w:val="en-US" w:eastAsia="zh-CN"/>
              </w:rPr>
            </w:pPr>
            <w:r>
              <w:rPr>
                <w:rFonts w:hint="eastAsia"/>
                <w:b w:val="0"/>
                <w:bCs w:val="0"/>
                <w:color w:val="auto"/>
                <w:highlight w:val="none"/>
                <w:vertAlign w:val="baseline"/>
                <w:lang w:val="en-US" w:eastAsia="zh-CN"/>
              </w:rPr>
              <w:t>首次检查</w:t>
            </w:r>
          </w:p>
        </w:tc>
        <w:tc>
          <w:tcPr>
            <w:tcW w:w="1757" w:type="dxa"/>
          </w:tcPr>
          <w:p>
            <w:pPr>
              <w:keepNext w:val="0"/>
              <w:keepLines w:val="0"/>
              <w:numPr>
                <w:ilvl w:val="0"/>
                <w:numId w:val="0"/>
              </w:numPr>
              <w:suppressLineNumbers w:val="0"/>
              <w:spacing w:before="0" w:beforeAutospacing="0" w:after="0" w:afterAutospacing="0" w:line="360" w:lineRule="auto"/>
              <w:ind w:left="0" w:right="0"/>
              <w:rPr>
                <w:rFonts w:hint="default"/>
                <w:b w:val="0"/>
                <w:bCs w:val="0"/>
                <w:color w:val="auto"/>
                <w:highlight w:val="none"/>
                <w:vertAlign w:val="baseline"/>
                <w:lang w:val="en-US"/>
              </w:rPr>
            </w:pPr>
            <w:r>
              <w:rPr>
                <w:rFonts w:hint="eastAsia"/>
                <w:b w:val="0"/>
                <w:bCs w:val="0"/>
                <w:color w:val="auto"/>
                <w:highlight w:val="none"/>
                <w:vertAlign w:val="baseline"/>
                <w:lang w:val="en-US" w:eastAsia="zh-CN"/>
              </w:rPr>
              <w:t>算力资源正式生效</w:t>
            </w:r>
            <w:r>
              <w:rPr>
                <w:rFonts w:hint="eastAsia" w:ascii="宋体" w:hAnsi="宋体" w:cs="Arial"/>
                <w:color w:val="auto"/>
                <w:szCs w:val="21"/>
                <w:highlight w:val="none"/>
                <w:lang w:val="en-US" w:eastAsia="zh-CN"/>
              </w:rPr>
              <w:t>且具备使用条件时</w:t>
            </w:r>
          </w:p>
        </w:tc>
        <w:tc>
          <w:tcPr>
            <w:tcW w:w="6757" w:type="dxa"/>
          </w:tcPr>
          <w:p>
            <w:pPr>
              <w:keepNext w:val="0"/>
              <w:keepLines w:val="0"/>
              <w:numPr>
                <w:ilvl w:val="0"/>
                <w:numId w:val="11"/>
              </w:numPr>
              <w:suppressLineNumbers w:val="0"/>
              <w:spacing w:before="0" w:beforeAutospacing="0" w:after="0" w:afterAutospacing="0" w:line="360" w:lineRule="auto"/>
              <w:ind w:left="0" w:right="0"/>
              <w:rPr>
                <w:rFonts w:hint="eastAsia"/>
                <w:b w:val="0"/>
                <w:bCs w:val="0"/>
                <w:color w:val="auto"/>
                <w:highlight w:val="none"/>
                <w:vertAlign w:val="baseline"/>
                <w:lang w:val="en-US" w:eastAsia="zh-CN"/>
              </w:rPr>
            </w:pPr>
            <w:r>
              <w:rPr>
                <w:rFonts w:hint="eastAsia"/>
                <w:b w:val="0"/>
                <w:bCs w:val="0"/>
                <w:color w:val="auto"/>
                <w:highlight w:val="none"/>
                <w:vertAlign w:val="baseline"/>
                <w:lang w:val="en-US" w:eastAsia="zh-CN"/>
              </w:rPr>
              <w:t>资源清单（包括相关设备的详细硬件技术资料、技术说明书，检查提供的资源是否完整，是否符合合同要求）</w:t>
            </w:r>
          </w:p>
          <w:p>
            <w:pPr>
              <w:keepNext w:val="0"/>
              <w:keepLines w:val="0"/>
              <w:numPr>
                <w:ilvl w:val="0"/>
                <w:numId w:val="11"/>
              </w:numPr>
              <w:suppressLineNumbers w:val="0"/>
              <w:spacing w:before="0" w:beforeAutospacing="0" w:after="0" w:afterAutospacing="0" w:line="360" w:lineRule="auto"/>
              <w:ind w:left="0" w:right="0"/>
              <w:rPr>
                <w:rFonts w:hint="eastAsia"/>
                <w:b w:val="0"/>
                <w:bCs w:val="0"/>
                <w:color w:val="auto"/>
                <w:highlight w:val="none"/>
                <w:vertAlign w:val="baseline"/>
                <w:lang w:val="en-US" w:eastAsia="zh-CN"/>
              </w:rPr>
            </w:pPr>
            <w:r>
              <w:rPr>
                <w:rFonts w:hint="eastAsia"/>
                <w:b w:val="0"/>
                <w:bCs w:val="0"/>
                <w:color w:val="auto"/>
                <w:highlight w:val="none"/>
                <w:vertAlign w:val="baseline"/>
                <w:lang w:val="en-US" w:eastAsia="zh-CN"/>
              </w:rPr>
              <w:t>测试方案（</w:t>
            </w:r>
            <w:r>
              <w:rPr>
                <w:rFonts w:hint="eastAsia" w:ascii="宋体" w:hAnsi="宋体" w:cs="Arial"/>
                <w:color w:val="auto"/>
                <w:szCs w:val="21"/>
                <w:highlight w:val="none"/>
                <w:lang w:eastAsia="zh-CN"/>
              </w:rPr>
              <w:t>投标方制定测试方案，详细说明相关的测试项目、测试标准、测试计划、测试条件、测试方法、测试步骤、测试结果等内容。测试方案经招标方审核通过</w:t>
            </w:r>
            <w:r>
              <w:rPr>
                <w:rFonts w:hint="eastAsia"/>
                <w:b w:val="0"/>
                <w:bCs w:val="0"/>
                <w:color w:val="auto"/>
                <w:highlight w:val="none"/>
                <w:vertAlign w:val="baseline"/>
                <w:lang w:val="en-US" w:eastAsia="zh-CN"/>
              </w:rPr>
              <w:t>）；</w:t>
            </w:r>
          </w:p>
          <w:p>
            <w:pPr>
              <w:keepNext w:val="0"/>
              <w:keepLines w:val="0"/>
              <w:numPr>
                <w:ilvl w:val="0"/>
                <w:numId w:val="11"/>
              </w:numPr>
              <w:suppressLineNumbers w:val="0"/>
              <w:spacing w:before="0" w:beforeAutospacing="0" w:after="0" w:afterAutospacing="0" w:line="360" w:lineRule="auto"/>
              <w:ind w:left="0" w:right="0"/>
              <w:rPr>
                <w:rFonts w:hint="eastAsia"/>
                <w:b w:val="0"/>
                <w:bCs w:val="0"/>
                <w:color w:val="auto"/>
                <w:highlight w:val="none"/>
                <w:vertAlign w:val="baseline"/>
              </w:rPr>
            </w:pPr>
            <w:r>
              <w:rPr>
                <w:rFonts w:hint="eastAsia"/>
                <w:b w:val="0"/>
                <w:bCs w:val="0"/>
                <w:color w:val="auto"/>
                <w:highlight w:val="none"/>
                <w:vertAlign w:val="baseline"/>
                <w:lang w:val="en-US" w:eastAsia="zh-CN"/>
              </w:rPr>
              <w:t>详细测试报告（如果在测试中发现合同产品相关问题，投标方对其缺陷或缺点进行修正，然后重新测试直至合格为止）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9" w:type="dxa"/>
          </w:tcPr>
          <w:p>
            <w:pPr>
              <w:keepNext w:val="0"/>
              <w:keepLines w:val="0"/>
              <w:numPr>
                <w:ilvl w:val="0"/>
                <w:numId w:val="0"/>
              </w:numPr>
              <w:suppressLineNumbers w:val="0"/>
              <w:spacing w:before="0" w:beforeAutospacing="0" w:after="0" w:afterAutospacing="0" w:line="360" w:lineRule="auto"/>
              <w:ind w:left="0" w:right="0"/>
              <w:rPr>
                <w:rFonts w:hint="default"/>
                <w:b w:val="0"/>
                <w:bCs w:val="0"/>
                <w:color w:val="auto"/>
                <w:highlight w:val="none"/>
                <w:vertAlign w:val="baseline"/>
                <w:lang w:val="en-US" w:eastAsia="zh-CN"/>
              </w:rPr>
            </w:pPr>
            <w:r>
              <w:rPr>
                <w:rFonts w:hint="eastAsia"/>
                <w:b w:val="0"/>
                <w:bCs w:val="0"/>
                <w:color w:val="auto"/>
                <w:highlight w:val="none"/>
                <w:vertAlign w:val="baseline"/>
                <w:lang w:val="en-US" w:eastAsia="zh-CN"/>
              </w:rPr>
              <w:t>阶段检查</w:t>
            </w:r>
          </w:p>
        </w:tc>
        <w:tc>
          <w:tcPr>
            <w:tcW w:w="1757" w:type="dxa"/>
          </w:tcPr>
          <w:p>
            <w:pPr>
              <w:keepNext w:val="0"/>
              <w:keepLines w:val="0"/>
              <w:numPr>
                <w:ilvl w:val="0"/>
                <w:numId w:val="0"/>
              </w:numPr>
              <w:suppressLineNumbers w:val="0"/>
              <w:spacing w:before="0" w:beforeAutospacing="0" w:after="0" w:afterAutospacing="0" w:line="360" w:lineRule="auto"/>
              <w:ind w:left="0" w:right="0"/>
              <w:rPr>
                <w:rFonts w:hint="default"/>
                <w:b w:val="0"/>
                <w:bCs w:val="0"/>
                <w:color w:val="auto"/>
                <w:highlight w:val="none"/>
                <w:vertAlign w:val="baseline"/>
                <w:lang w:val="en-US" w:eastAsia="zh-CN"/>
              </w:rPr>
            </w:pPr>
            <w:r>
              <w:rPr>
                <w:rFonts w:hint="eastAsia"/>
                <w:b w:val="0"/>
                <w:bCs w:val="0"/>
                <w:color w:val="auto"/>
                <w:highlight w:val="none"/>
                <w:vertAlign w:val="baseline"/>
                <w:lang w:val="en-US" w:eastAsia="zh-CN"/>
              </w:rPr>
              <w:t>每年</w:t>
            </w:r>
          </w:p>
        </w:tc>
        <w:tc>
          <w:tcPr>
            <w:tcW w:w="6757" w:type="dxa"/>
          </w:tcPr>
          <w:p>
            <w:pPr>
              <w:pStyle w:val="69"/>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ind w:right="0"/>
              <w:textAlignment w:val="auto"/>
              <w:rPr>
                <w:rFonts w:hint="eastAsia"/>
                <w:b w:val="0"/>
                <w:bCs w:val="0"/>
                <w:color w:val="auto"/>
                <w:highlight w:val="none"/>
                <w:vertAlign w:val="baseline"/>
                <w:lang w:val="en-US" w:eastAsia="zh-CN"/>
              </w:rPr>
            </w:pPr>
            <w:r>
              <w:rPr>
                <w:rFonts w:hint="eastAsia" w:ascii="宋体" w:hAnsi="宋体"/>
                <w:color w:val="auto"/>
                <w:szCs w:val="21"/>
                <w:highlight w:val="none"/>
                <w:lang w:val="en-US" w:eastAsia="zh-CN"/>
              </w:rPr>
              <w:t>4、年度运行测试报告（以确保资源处于稳定可用状态，该报告作为进度款的付款依据之一）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9" w:type="dxa"/>
          </w:tcPr>
          <w:p>
            <w:pPr>
              <w:keepNext w:val="0"/>
              <w:keepLines w:val="0"/>
              <w:numPr>
                <w:ilvl w:val="0"/>
                <w:numId w:val="0"/>
              </w:numPr>
              <w:suppressLineNumbers w:val="0"/>
              <w:spacing w:before="0" w:beforeAutospacing="0" w:after="0" w:afterAutospacing="0" w:line="360" w:lineRule="auto"/>
              <w:ind w:left="0" w:right="0"/>
              <w:rPr>
                <w:rFonts w:hint="default"/>
                <w:b w:val="0"/>
                <w:bCs w:val="0"/>
                <w:color w:val="auto"/>
                <w:highlight w:val="none"/>
                <w:vertAlign w:val="baseline"/>
                <w:lang w:val="en-US" w:eastAsia="zh-CN"/>
              </w:rPr>
            </w:pPr>
            <w:r>
              <w:rPr>
                <w:rFonts w:hint="eastAsia"/>
                <w:b w:val="0"/>
                <w:bCs w:val="0"/>
                <w:color w:val="auto"/>
                <w:highlight w:val="none"/>
                <w:vertAlign w:val="baseline"/>
                <w:lang w:val="en-US" w:eastAsia="zh-CN"/>
              </w:rPr>
              <w:t>配套服务</w:t>
            </w:r>
          </w:p>
        </w:tc>
        <w:tc>
          <w:tcPr>
            <w:tcW w:w="1757" w:type="dxa"/>
          </w:tcPr>
          <w:p>
            <w:pPr>
              <w:keepNext w:val="0"/>
              <w:keepLines w:val="0"/>
              <w:numPr>
                <w:ilvl w:val="0"/>
                <w:numId w:val="0"/>
              </w:numPr>
              <w:suppressLineNumbers w:val="0"/>
              <w:spacing w:before="0" w:beforeAutospacing="0" w:after="0" w:afterAutospacing="0" w:line="360" w:lineRule="auto"/>
              <w:ind w:left="0" w:right="0"/>
              <w:rPr>
                <w:rFonts w:hint="default"/>
                <w:b w:val="0"/>
                <w:bCs w:val="0"/>
                <w:color w:val="auto"/>
                <w:highlight w:val="none"/>
                <w:vertAlign w:val="baseline"/>
                <w:lang w:val="en-US" w:eastAsia="zh-CN"/>
              </w:rPr>
            </w:pPr>
            <w:r>
              <w:rPr>
                <w:rFonts w:hint="eastAsia"/>
                <w:b w:val="0"/>
                <w:bCs w:val="0"/>
                <w:color w:val="auto"/>
                <w:highlight w:val="none"/>
                <w:vertAlign w:val="baseline"/>
                <w:lang w:val="en-US" w:eastAsia="zh-CN"/>
              </w:rPr>
              <w:t>三年</w:t>
            </w:r>
          </w:p>
        </w:tc>
        <w:tc>
          <w:tcPr>
            <w:tcW w:w="6757" w:type="dxa"/>
          </w:tcPr>
          <w:p>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s="Times New Roman"/>
                <w:color w:val="auto"/>
                <w:szCs w:val="21"/>
                <w:highlight w:val="none"/>
                <w:lang w:val="en-US" w:eastAsia="zh-CN"/>
              </w:rPr>
              <w:t>5、</w:t>
            </w:r>
            <w:r>
              <w:rPr>
                <w:rFonts w:hint="eastAsia" w:ascii="宋体" w:hAnsi="宋体" w:cs="Times New Roman"/>
                <w:color w:val="auto"/>
                <w:szCs w:val="21"/>
                <w:highlight w:val="none"/>
                <w:lang w:eastAsia="zh-CN"/>
              </w:rPr>
              <w:t>培训方案、</w:t>
            </w:r>
            <w:r>
              <w:rPr>
                <w:rFonts w:hint="eastAsia" w:ascii="宋体" w:hAnsi="宋体" w:cs="Times New Roman"/>
                <w:color w:val="auto"/>
                <w:szCs w:val="21"/>
                <w:highlight w:val="none"/>
                <w:lang w:val="en-US" w:eastAsia="zh-CN"/>
              </w:rPr>
              <w:t>培训签到表；</w:t>
            </w:r>
          </w:p>
          <w:p>
            <w:pPr>
              <w:keepNext w:val="0"/>
              <w:keepLines w:val="0"/>
              <w:numPr>
                <w:ilvl w:val="0"/>
                <w:numId w:val="0"/>
              </w:numPr>
              <w:suppressLineNumbers w:val="0"/>
              <w:spacing w:before="0" w:beforeAutospacing="0" w:after="0" w:afterAutospacing="0" w:line="360" w:lineRule="auto"/>
              <w:ind w:left="0" w:right="0"/>
              <w:rPr>
                <w:rFonts w:hint="default"/>
                <w:b w:val="0"/>
                <w:bCs w:val="0"/>
                <w:color w:val="auto"/>
                <w:highlight w:val="none"/>
                <w:vertAlign w:val="baseline"/>
                <w:lang w:val="en-US" w:eastAsia="zh-CN"/>
              </w:rPr>
            </w:pPr>
            <w:r>
              <w:rPr>
                <w:rFonts w:hint="eastAsia"/>
                <w:b w:val="0"/>
                <w:bCs w:val="0"/>
                <w:color w:val="auto"/>
                <w:highlight w:val="none"/>
                <w:vertAlign w:val="baseline"/>
                <w:lang w:val="en-US" w:eastAsia="zh-CN"/>
              </w:rPr>
              <w:t>6、技术咨询及售后服务记录表；</w:t>
            </w:r>
          </w:p>
        </w:tc>
      </w:tr>
    </w:tbl>
    <w:p>
      <w:pPr>
        <w:numPr>
          <w:ilvl w:val="0"/>
          <w:numId w:val="0"/>
        </w:numPr>
        <w:spacing w:line="360" w:lineRule="auto"/>
        <w:ind w:left="420" w:leftChars="0" w:hanging="420" w:firstLineChars="0"/>
        <w:rPr>
          <w:rFonts w:hint="default" w:ascii="宋体" w:hAnsi="宋体" w:eastAsia="宋体" w:cs="Times New Roman"/>
          <w:b/>
          <w:bCs/>
          <w:kern w:val="2"/>
          <w:sz w:val="24"/>
          <w:szCs w:val="24"/>
          <w:lang w:val="en-US" w:eastAsia="zh-CN" w:bidi="ar-SA"/>
        </w:rPr>
      </w:pPr>
    </w:p>
    <w:p>
      <w:pPr>
        <w:numPr>
          <w:ilvl w:val="0"/>
          <w:numId w:val="0"/>
        </w:numPr>
        <w:spacing w:line="360" w:lineRule="auto"/>
        <w:ind w:left="420" w:leftChars="0" w:hanging="420" w:firstLineChars="0"/>
        <w:rPr>
          <w:b/>
          <w:bCs/>
          <w:highlight w:val="none"/>
        </w:rPr>
      </w:pPr>
      <w:r>
        <w:rPr>
          <w:rFonts w:hint="default" w:ascii="宋体" w:hAnsi="宋体" w:eastAsia="宋体" w:cs="Times New Roman"/>
          <w:b/>
          <w:bCs/>
          <w:kern w:val="2"/>
          <w:sz w:val="24"/>
          <w:szCs w:val="24"/>
          <w:lang w:val="en-US" w:eastAsia="zh-CN" w:bidi="ar-SA"/>
        </w:rPr>
        <w:t>6.</w:t>
      </w:r>
      <w:r>
        <w:rPr>
          <w:rFonts w:hint="eastAsia" w:ascii="宋体" w:hAnsi="宋体" w:cs="Times New Roman"/>
          <w:b/>
          <w:bCs/>
          <w:kern w:val="2"/>
          <w:sz w:val="24"/>
          <w:szCs w:val="24"/>
          <w:lang w:val="en-US" w:eastAsia="zh-CN" w:bidi="ar-SA"/>
        </w:rPr>
        <w:t>4</w:t>
      </w:r>
      <w:r>
        <w:rPr>
          <w:rFonts w:hint="eastAsia"/>
          <w:b/>
          <w:bCs/>
          <w:highlight w:val="none"/>
        </w:rPr>
        <w:t>验收</w:t>
      </w:r>
      <w:bookmarkEnd w:id="75"/>
    </w:p>
    <w:p>
      <w:pPr>
        <w:pStyle w:val="69"/>
        <w:numPr>
          <w:ilvl w:val="0"/>
          <w:numId w:val="0"/>
        </w:numPr>
        <w:tabs>
          <w:tab w:val="left" w:pos="0"/>
        </w:tabs>
        <w:spacing w:before="0" w:after="0"/>
        <w:ind w:leftChars="0"/>
        <w:rPr>
          <w:rFonts w:ascii="宋体" w:hAnsi="宋体" w:cs="Arial"/>
          <w:b/>
          <w:bCs/>
          <w:szCs w:val="21"/>
          <w:highlight w:val="none"/>
          <w:lang w:eastAsia="zh-CN"/>
        </w:rPr>
      </w:pPr>
      <w:r>
        <w:rPr>
          <w:rFonts w:hint="eastAsia" w:ascii="宋体" w:hAnsi="宋体" w:cs="Arial"/>
          <w:b/>
          <w:bCs/>
          <w:szCs w:val="21"/>
          <w:highlight w:val="none"/>
          <w:lang w:val="en-US" w:eastAsia="zh-CN"/>
        </w:rPr>
        <w:t>6.4.1首次检查</w:t>
      </w:r>
    </w:p>
    <w:p>
      <w:pPr>
        <w:spacing w:before="0" w:after="0" w:line="360" w:lineRule="auto"/>
        <w:ind w:left="0" w:firstLine="480" w:firstLineChars="200"/>
        <w:rPr>
          <w:rFonts w:hint="eastAsia" w:ascii="宋体" w:hAnsi="宋体" w:cs="Arial"/>
          <w:color w:val="auto"/>
          <w:szCs w:val="21"/>
          <w:highlight w:val="none"/>
          <w:lang w:eastAsia="zh-CN"/>
        </w:rPr>
      </w:pPr>
      <w:bookmarkStart w:id="76" w:name="_Toc291008623"/>
      <w:r>
        <w:rPr>
          <w:rFonts w:hint="eastAsia" w:ascii="宋体" w:hAnsi="宋体" w:cs="Arial"/>
          <w:color w:val="auto"/>
          <w:szCs w:val="21"/>
          <w:highlight w:val="none"/>
          <w:lang w:val="en-US" w:eastAsia="zh-CN"/>
        </w:rPr>
        <w:t>算力资源在正式生效且具备使用条件时，完成人工智能算力资源测试，并提交相关文档交付物：资源清单、测试方案、详细测试报告至</w:t>
      </w:r>
      <w:r>
        <w:rPr>
          <w:rFonts w:hint="eastAsia" w:ascii="宋体" w:hAnsi="宋体" w:cs="Arial"/>
          <w:color w:val="auto"/>
          <w:szCs w:val="21"/>
          <w:highlight w:val="none"/>
          <w:lang w:eastAsia="zh-CN"/>
        </w:rPr>
        <w:t>招标方，</w:t>
      </w:r>
      <w:r>
        <w:rPr>
          <w:rFonts w:hint="eastAsia" w:ascii="宋体" w:hAnsi="宋体" w:cs="Arial"/>
          <w:color w:val="auto"/>
          <w:szCs w:val="21"/>
          <w:highlight w:val="none"/>
          <w:lang w:val="en-US" w:eastAsia="zh-CN"/>
        </w:rPr>
        <w:t>经过招标方审核确认后，作为首付款的付款依据之一</w:t>
      </w:r>
      <w:r>
        <w:rPr>
          <w:rFonts w:hint="eastAsia" w:ascii="宋体" w:hAnsi="宋体"/>
          <w:color w:val="auto"/>
          <w:highlight w:val="none"/>
        </w:rPr>
        <w:t>。</w:t>
      </w:r>
    </w:p>
    <w:p>
      <w:pPr>
        <w:pStyle w:val="69"/>
        <w:numPr>
          <w:ilvl w:val="0"/>
          <w:numId w:val="0"/>
        </w:numPr>
        <w:tabs>
          <w:tab w:val="left" w:pos="0"/>
        </w:tabs>
        <w:spacing w:before="0" w:after="0"/>
        <w:ind w:leftChars="0"/>
        <w:rPr>
          <w:rFonts w:ascii="宋体" w:hAnsi="宋体" w:cs="Arial"/>
          <w:b/>
          <w:bCs/>
          <w:szCs w:val="21"/>
          <w:highlight w:val="none"/>
          <w:lang w:eastAsia="zh-CN"/>
        </w:rPr>
      </w:pPr>
      <w:r>
        <w:rPr>
          <w:rFonts w:hint="eastAsia" w:ascii="宋体" w:hAnsi="宋体" w:cs="Arial"/>
          <w:b/>
          <w:bCs/>
          <w:szCs w:val="21"/>
          <w:highlight w:val="none"/>
          <w:lang w:val="en-US" w:eastAsia="zh-CN"/>
        </w:rPr>
        <w:t xml:space="preserve">6.4.2 </w:t>
      </w:r>
      <w:r>
        <w:rPr>
          <w:rFonts w:hint="eastAsia" w:ascii="宋体" w:hAnsi="宋体" w:cs="Arial"/>
          <w:b/>
          <w:bCs/>
          <w:szCs w:val="21"/>
          <w:highlight w:val="none"/>
          <w:lang w:eastAsia="zh-CN"/>
        </w:rPr>
        <w:t>阶段检查</w:t>
      </w:r>
    </w:p>
    <w:p>
      <w:pPr>
        <w:pStyle w:val="69"/>
        <w:widowControl/>
        <w:numPr>
          <w:ilvl w:val="255"/>
          <w:numId w:val="0"/>
        </w:numPr>
        <w:adjustRightInd/>
        <w:snapToGrid/>
        <w:spacing w:before="0" w:after="0"/>
        <w:ind w:firstLine="480" w:firstLineChars="200"/>
        <w:rPr>
          <w:rFonts w:ascii="宋体" w:hAnsi="宋体" w:cs="Arial"/>
          <w:b/>
          <w:bCs/>
          <w:szCs w:val="21"/>
          <w:highlight w:val="none"/>
          <w:lang w:eastAsia="zh-CN"/>
        </w:rPr>
      </w:pPr>
      <w:r>
        <w:rPr>
          <w:rFonts w:hint="eastAsia" w:ascii="宋体" w:hAnsi="宋体"/>
          <w:szCs w:val="21"/>
          <w:highlight w:val="none"/>
          <w:lang w:eastAsia="zh-CN"/>
        </w:rPr>
        <w:t>设备到货验收通过后，需要以年为单位，提供年度运行测试报告，以确保设备的安全稳定运行，该报告作为进度款的付款依据之一。</w:t>
      </w:r>
    </w:p>
    <w:bookmarkEnd w:id="76"/>
    <w:p>
      <w:pPr>
        <w:pStyle w:val="69"/>
        <w:numPr>
          <w:ilvl w:val="0"/>
          <w:numId w:val="0"/>
        </w:numPr>
        <w:tabs>
          <w:tab w:val="left" w:pos="0"/>
        </w:tabs>
        <w:spacing w:before="0" w:after="0"/>
        <w:ind w:leftChars="0"/>
        <w:rPr>
          <w:rFonts w:ascii="宋体" w:hAnsi="宋体" w:cs="Arial"/>
          <w:b/>
          <w:bCs/>
          <w:szCs w:val="21"/>
          <w:highlight w:val="none"/>
          <w:lang w:eastAsia="zh-CN"/>
        </w:rPr>
      </w:pPr>
      <w:r>
        <w:rPr>
          <w:rFonts w:hint="eastAsia" w:ascii="宋体" w:hAnsi="宋体" w:cs="Arial"/>
          <w:b/>
          <w:bCs/>
          <w:szCs w:val="21"/>
          <w:highlight w:val="none"/>
          <w:lang w:val="en-US" w:eastAsia="zh-CN"/>
        </w:rPr>
        <w:t xml:space="preserve">6.4.3 </w:t>
      </w:r>
      <w:r>
        <w:rPr>
          <w:rFonts w:hint="eastAsia" w:ascii="宋体" w:hAnsi="宋体" w:cs="Arial"/>
          <w:b/>
          <w:bCs/>
          <w:szCs w:val="21"/>
          <w:highlight w:val="none"/>
          <w:lang w:eastAsia="zh-CN"/>
        </w:rPr>
        <w:t>竣工验收</w:t>
      </w:r>
    </w:p>
    <w:p>
      <w:pPr>
        <w:spacing w:line="360" w:lineRule="auto"/>
        <w:ind w:firstLine="480" w:firstLineChars="200"/>
        <w:rPr>
          <w:rFonts w:ascii="宋体" w:hAnsi="宋体"/>
          <w:highlight w:val="none"/>
        </w:rPr>
      </w:pPr>
      <w:r>
        <w:rPr>
          <w:rFonts w:hint="eastAsia" w:ascii="宋体" w:hAnsi="宋体"/>
          <w:highlight w:val="none"/>
        </w:rPr>
        <w:t>投标方完成合同及技术规范书要求的全部工作且满足终验条件时，投标方可以提出竣工验收申请，招标方组织专家小组进行竣工验收。如验收不合格，投标方应继续进行系统完善工作解决遗留问题，并在60日内再次组织验收。</w:t>
      </w:r>
    </w:p>
    <w:p>
      <w:pPr>
        <w:pStyle w:val="2"/>
        <w:numPr>
          <w:ilvl w:val="0"/>
          <w:numId w:val="8"/>
        </w:numPr>
        <w:adjustRightInd w:val="0"/>
        <w:snapToGrid w:val="0"/>
        <w:spacing w:before="320" w:after="120" w:line="413" w:lineRule="auto"/>
        <w:rPr>
          <w:rFonts w:eastAsia="黑体"/>
          <w:sz w:val="24"/>
          <w:highlight w:val="none"/>
        </w:rPr>
      </w:pPr>
      <w:bookmarkStart w:id="77" w:name="_Toc261423880"/>
      <w:bookmarkStart w:id="78" w:name="_Toc261418250"/>
      <w:bookmarkStart w:id="79" w:name="_Toc260681521"/>
      <w:bookmarkStart w:id="80" w:name="_Toc291008624"/>
      <w:bookmarkStart w:id="81" w:name="_Toc13373"/>
      <w:bookmarkStart w:id="82" w:name="_Toc10086"/>
      <w:bookmarkStart w:id="83" w:name="_Toc21507"/>
      <w:bookmarkStart w:id="84" w:name="_Toc30953"/>
      <w:bookmarkStart w:id="85" w:name="_Toc29321"/>
      <w:bookmarkStart w:id="86" w:name="_Toc23054"/>
      <w:bookmarkStart w:id="87" w:name="_Toc30708"/>
      <w:bookmarkStart w:id="88" w:name="_Toc13140"/>
      <w:bookmarkStart w:id="89" w:name="_Toc3753"/>
      <w:r>
        <w:rPr>
          <w:rFonts w:hint="eastAsia" w:eastAsia="黑体"/>
          <w:sz w:val="24"/>
          <w:highlight w:val="none"/>
        </w:rPr>
        <w:t>培训</w:t>
      </w:r>
      <w:bookmarkEnd w:id="77"/>
      <w:bookmarkEnd w:id="78"/>
      <w:bookmarkEnd w:id="79"/>
      <w:bookmarkEnd w:id="80"/>
      <w:r>
        <w:rPr>
          <w:rFonts w:hint="eastAsia" w:eastAsia="黑体"/>
          <w:sz w:val="24"/>
          <w:highlight w:val="none"/>
        </w:rPr>
        <w:t>服务</w:t>
      </w:r>
      <w:bookmarkEnd w:id="81"/>
      <w:bookmarkEnd w:id="82"/>
      <w:bookmarkEnd w:id="83"/>
      <w:bookmarkEnd w:id="84"/>
      <w:bookmarkEnd w:id="85"/>
      <w:bookmarkEnd w:id="86"/>
      <w:bookmarkEnd w:id="87"/>
      <w:bookmarkEnd w:id="88"/>
      <w:bookmarkEnd w:id="89"/>
    </w:p>
    <w:p>
      <w:pPr>
        <w:numPr>
          <w:ilvl w:val="0"/>
          <w:numId w:val="12"/>
        </w:numPr>
        <w:spacing w:line="360" w:lineRule="auto"/>
        <w:rPr>
          <w:highlight w:val="none"/>
        </w:rPr>
      </w:pPr>
      <w:bookmarkStart w:id="90" w:name="_Toc261423881"/>
      <w:bookmarkStart w:id="91" w:name="_Toc291008625"/>
      <w:bookmarkStart w:id="92" w:name="_Toc261418251"/>
      <w:r>
        <w:rPr>
          <w:rFonts w:hint="eastAsia"/>
          <w:highlight w:val="none"/>
        </w:rPr>
        <w:t xml:space="preserve"> 培训方式</w:t>
      </w:r>
      <w:bookmarkEnd w:id="90"/>
      <w:bookmarkEnd w:id="91"/>
      <w:bookmarkEnd w:id="92"/>
    </w:p>
    <w:p>
      <w:pPr>
        <w:pStyle w:val="69"/>
        <w:spacing w:before="0" w:after="0"/>
        <w:ind w:left="567" w:firstLine="0" w:firstLineChars="0"/>
        <w:rPr>
          <w:rFonts w:ascii="Arial" w:hAnsi="Arial" w:cs="Arial"/>
          <w:szCs w:val="21"/>
          <w:highlight w:val="none"/>
          <w:lang w:eastAsia="zh-CN"/>
        </w:rPr>
      </w:pPr>
      <w:r>
        <w:rPr>
          <w:rFonts w:hint="eastAsia" w:ascii="Arial" w:hAnsi="Arial" w:cs="Arial"/>
          <w:szCs w:val="21"/>
          <w:highlight w:val="none"/>
          <w:lang w:eastAsia="zh-CN"/>
        </w:rPr>
        <w:t>培训分为现场培训。投标时提供简要培训方案。</w:t>
      </w:r>
    </w:p>
    <w:p>
      <w:pPr>
        <w:pStyle w:val="69"/>
        <w:spacing w:before="0" w:after="0"/>
        <w:ind w:left="567" w:firstLine="0" w:firstLineChars="0"/>
        <w:rPr>
          <w:rFonts w:hint="default" w:ascii="宋体" w:hAnsi="宋体" w:cs="Arial"/>
          <w:szCs w:val="21"/>
          <w:highlight w:val="none"/>
          <w:lang w:val="en-US" w:eastAsia="zh-CN"/>
        </w:rPr>
      </w:pPr>
      <w:r>
        <w:rPr>
          <w:rFonts w:hint="eastAsia" w:ascii="Arial" w:hAnsi="Arial" w:cs="Arial"/>
          <w:szCs w:val="21"/>
          <w:highlight w:val="none"/>
          <w:lang w:eastAsia="zh-CN"/>
        </w:rPr>
        <w:t>现场培训：</w:t>
      </w:r>
      <w:r>
        <w:rPr>
          <w:rFonts w:hint="eastAsia" w:ascii="Arial" w:hAnsi="Arial" w:cs="Arial"/>
          <w:szCs w:val="21"/>
          <w:highlight w:val="none"/>
          <w:lang w:val="en-US" w:eastAsia="zh-CN"/>
        </w:rPr>
        <w:t>每年</w:t>
      </w:r>
      <w:r>
        <w:rPr>
          <w:rFonts w:hint="eastAsia" w:ascii="宋体" w:hAnsi="宋体" w:eastAsia="宋体" w:cs="宋体"/>
          <w:szCs w:val="21"/>
          <w:highlight w:val="none"/>
          <w:lang w:val="en-US" w:eastAsia="zh-CN"/>
        </w:rPr>
        <w:t>1</w:t>
      </w:r>
      <w:r>
        <w:rPr>
          <w:rFonts w:hint="eastAsia" w:ascii="Arial" w:hAnsi="Arial" w:cs="Arial"/>
          <w:szCs w:val="21"/>
          <w:highlight w:val="none"/>
          <w:lang w:val="en-US" w:eastAsia="zh-CN"/>
        </w:rPr>
        <w:t>次，合同有效期内</w:t>
      </w:r>
      <w:r>
        <w:rPr>
          <w:rFonts w:hint="eastAsia" w:ascii="宋体" w:hAnsi="宋体" w:cs="Arial"/>
          <w:szCs w:val="21"/>
          <w:highlight w:val="none"/>
          <w:lang w:eastAsia="zh-CN"/>
        </w:rPr>
        <w:t>至少</w:t>
      </w:r>
      <w:r>
        <w:rPr>
          <w:rFonts w:hint="eastAsia" w:ascii="宋体" w:hAnsi="宋体" w:cs="Arial"/>
          <w:szCs w:val="21"/>
          <w:highlight w:val="none"/>
          <w:lang w:val="en-US" w:eastAsia="zh-CN"/>
        </w:rPr>
        <w:t>提供3</w:t>
      </w:r>
      <w:r>
        <w:rPr>
          <w:rFonts w:hint="eastAsia" w:ascii="宋体" w:hAnsi="宋体" w:cs="Arial"/>
          <w:szCs w:val="21"/>
          <w:highlight w:val="none"/>
          <w:lang w:eastAsia="zh-CN"/>
        </w:rPr>
        <w:t>次</w:t>
      </w:r>
      <w:r>
        <w:rPr>
          <w:rFonts w:hint="eastAsia" w:ascii="宋体" w:hAnsi="宋体" w:cs="Arial"/>
          <w:szCs w:val="21"/>
          <w:highlight w:val="none"/>
          <w:lang w:val="en-US" w:eastAsia="zh-CN"/>
        </w:rPr>
        <w:t>现场培训。</w:t>
      </w:r>
    </w:p>
    <w:p>
      <w:pPr>
        <w:numPr>
          <w:ilvl w:val="0"/>
          <w:numId w:val="12"/>
        </w:numPr>
        <w:spacing w:line="360" w:lineRule="auto"/>
        <w:rPr>
          <w:highlight w:val="none"/>
        </w:rPr>
      </w:pPr>
      <w:bookmarkStart w:id="93" w:name="_Toc261418252"/>
      <w:bookmarkStart w:id="94" w:name="_Toc261423882"/>
      <w:bookmarkStart w:id="95" w:name="_Toc291008626"/>
      <w:r>
        <w:rPr>
          <w:rFonts w:hint="eastAsia"/>
          <w:highlight w:val="none"/>
        </w:rPr>
        <w:t xml:space="preserve"> 现场培训</w:t>
      </w:r>
      <w:bookmarkEnd w:id="93"/>
      <w:bookmarkEnd w:id="94"/>
      <w:bookmarkEnd w:id="95"/>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培训对象</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由招标方确定，人数不限。</w:t>
      </w:r>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培训时间</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提供的培训时间不少于</w:t>
      </w:r>
      <w:r>
        <w:rPr>
          <w:rFonts w:hint="eastAsia" w:ascii="宋体" w:hAnsi="宋体" w:cs="Arial"/>
          <w:szCs w:val="21"/>
          <w:highlight w:val="none"/>
          <w:lang w:val="en-US" w:eastAsia="zh-CN"/>
        </w:rPr>
        <w:t>1</w:t>
      </w:r>
      <w:r>
        <w:rPr>
          <w:rFonts w:hint="eastAsia" w:ascii="宋体" w:hAnsi="宋体" w:cs="Arial"/>
          <w:szCs w:val="21"/>
          <w:highlight w:val="none"/>
          <w:lang w:eastAsia="zh-CN"/>
        </w:rPr>
        <w:t>天。具体由协议的双方协商确定。</w:t>
      </w:r>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培训内容</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至少包括：产品的安装调试、操作维护、故障排除、系统软件应用等。</w:t>
      </w:r>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培训地点</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招标方指定地点。</w:t>
      </w:r>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培训目标</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培训后，培训人员能掌握产品的安装部署，能独立进行操作、管理、一般故障处理、日常维护等工作。</w:t>
      </w:r>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培训费用</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培训场地、受训人员食宿差旅费用由招标方负责，培训内容、教材、培训器材及教师的全部费用由投标方负责。</w:t>
      </w:r>
    </w:p>
    <w:p>
      <w:pPr>
        <w:pStyle w:val="69"/>
        <w:numPr>
          <w:ilvl w:val="1"/>
          <w:numId w:val="13"/>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实施要求</w:t>
      </w:r>
    </w:p>
    <w:p>
      <w:pPr>
        <w:pStyle w:val="69"/>
        <w:spacing w:before="0" w:after="0"/>
        <w:ind w:left="0" w:firstLine="480"/>
        <w:rPr>
          <w:rFonts w:ascii="宋体" w:hAnsi="宋体" w:cs="Arial"/>
          <w:szCs w:val="21"/>
          <w:highlight w:val="none"/>
          <w:lang w:eastAsia="zh-CN"/>
        </w:rPr>
      </w:pPr>
      <w:r>
        <w:rPr>
          <w:rFonts w:hint="eastAsia" w:ascii="宋体" w:hAnsi="宋体" w:cs="Arial"/>
          <w:szCs w:val="21"/>
          <w:highlight w:val="none"/>
          <w:lang w:eastAsia="zh-CN"/>
        </w:rPr>
        <w:t>投标方在培训实施前提供详细的培训大纲，包括培训目的、培训课程（包括课程详细内容和课时安排）等，培训大纲经招标方审核通过。如投标方对双方协商确定的培训地点、时间和培训师等项目提出变更，提前以书面形式向甲方提出请求，并取得招标方同意。由此产生的全部费用由投标方承担。</w:t>
      </w:r>
    </w:p>
    <w:p>
      <w:pPr>
        <w:numPr>
          <w:ilvl w:val="0"/>
          <w:numId w:val="12"/>
        </w:numPr>
        <w:spacing w:line="360" w:lineRule="auto"/>
        <w:rPr>
          <w:highlight w:val="none"/>
        </w:rPr>
      </w:pPr>
      <w:bookmarkStart w:id="96" w:name="_Toc260681523"/>
      <w:bookmarkStart w:id="97" w:name="_Toc291008628"/>
      <w:bookmarkStart w:id="98" w:name="_Toc261418254"/>
      <w:bookmarkStart w:id="99" w:name="_Toc261423884"/>
      <w:r>
        <w:rPr>
          <w:rFonts w:hint="eastAsia"/>
          <w:highlight w:val="none"/>
        </w:rPr>
        <w:t xml:space="preserve"> 培训要求</w:t>
      </w:r>
      <w:bookmarkEnd w:id="96"/>
      <w:bookmarkEnd w:id="97"/>
      <w:bookmarkEnd w:id="98"/>
      <w:bookmarkEnd w:id="99"/>
    </w:p>
    <w:p>
      <w:pPr>
        <w:pStyle w:val="69"/>
        <w:numPr>
          <w:ilvl w:val="1"/>
          <w:numId w:val="14"/>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培训内容具备足够的广度及深度。</w:t>
      </w:r>
    </w:p>
    <w:p>
      <w:pPr>
        <w:pStyle w:val="69"/>
        <w:numPr>
          <w:ilvl w:val="1"/>
          <w:numId w:val="14"/>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培训的主要资料是中文，使用中文授课。</w:t>
      </w:r>
    </w:p>
    <w:p>
      <w:pPr>
        <w:pStyle w:val="69"/>
        <w:numPr>
          <w:ilvl w:val="1"/>
          <w:numId w:val="14"/>
        </w:numPr>
        <w:spacing w:before="0" w:after="0"/>
        <w:ind w:left="0" w:firstLine="360" w:firstLineChars="150"/>
        <w:rPr>
          <w:rFonts w:hint="eastAsia" w:ascii="宋体" w:hAnsi="宋体" w:cs="Arial"/>
          <w:szCs w:val="21"/>
          <w:highlight w:val="none"/>
          <w:lang w:eastAsia="zh-CN"/>
        </w:rPr>
      </w:pPr>
      <w:r>
        <w:rPr>
          <w:rFonts w:hint="eastAsia" w:ascii="宋体" w:hAnsi="宋体" w:cs="Arial"/>
          <w:szCs w:val="21"/>
          <w:highlight w:val="none"/>
          <w:lang w:eastAsia="zh-CN"/>
        </w:rPr>
        <w:t>培训由原厂进行培训。</w:t>
      </w:r>
    </w:p>
    <w:p>
      <w:pPr>
        <w:pStyle w:val="2"/>
        <w:adjustRightInd w:val="0"/>
        <w:snapToGrid w:val="0"/>
        <w:spacing w:before="320" w:after="120" w:line="413" w:lineRule="auto"/>
        <w:rPr>
          <w:rFonts w:eastAsia="黑体"/>
          <w:sz w:val="24"/>
          <w:highlight w:val="none"/>
        </w:rPr>
      </w:pPr>
      <w:bookmarkStart w:id="100" w:name="_Toc16154"/>
      <w:bookmarkStart w:id="101" w:name="_Toc475"/>
      <w:bookmarkStart w:id="102" w:name="_Toc3347"/>
      <w:bookmarkStart w:id="103" w:name="_Toc261423889"/>
      <w:bookmarkStart w:id="104" w:name="_Toc32392"/>
      <w:bookmarkStart w:id="105" w:name="_Toc9538"/>
      <w:bookmarkStart w:id="106" w:name="_Toc2600"/>
      <w:bookmarkStart w:id="107" w:name="_Toc291008629"/>
      <w:bookmarkStart w:id="108" w:name="_Toc27130"/>
      <w:bookmarkStart w:id="109" w:name="_Toc261418260"/>
      <w:bookmarkStart w:id="110" w:name="_Toc21186"/>
      <w:bookmarkStart w:id="111" w:name="_Toc29709"/>
      <w:r>
        <w:rPr>
          <w:rFonts w:hint="eastAsia" w:eastAsia="黑体"/>
          <w:sz w:val="24"/>
          <w:highlight w:val="none"/>
        </w:rPr>
        <w:t>八、售后服务</w:t>
      </w:r>
      <w:bookmarkEnd w:id="100"/>
      <w:bookmarkEnd w:id="101"/>
      <w:bookmarkEnd w:id="102"/>
      <w:bookmarkEnd w:id="103"/>
      <w:bookmarkEnd w:id="104"/>
      <w:bookmarkEnd w:id="105"/>
      <w:bookmarkEnd w:id="106"/>
      <w:bookmarkEnd w:id="107"/>
      <w:bookmarkEnd w:id="108"/>
      <w:bookmarkEnd w:id="109"/>
      <w:bookmarkEnd w:id="110"/>
      <w:bookmarkEnd w:id="111"/>
    </w:p>
    <w:p>
      <w:pPr>
        <w:pStyle w:val="69"/>
        <w:numPr>
          <w:ilvl w:val="1"/>
          <w:numId w:val="15"/>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eastAsia="zh-CN"/>
        </w:rPr>
        <w:t>投标方在投标时提供完整的售后服务方案，方案需针对以下内容（包括但不限于）进行详述。</w:t>
      </w:r>
    </w:p>
    <w:p>
      <w:pPr>
        <w:pStyle w:val="69"/>
        <w:numPr>
          <w:ilvl w:val="1"/>
          <w:numId w:val="15"/>
        </w:numPr>
        <w:spacing w:before="0" w:after="0"/>
        <w:ind w:left="0" w:firstLine="360" w:firstLineChars="150"/>
        <w:rPr>
          <w:rFonts w:ascii="宋体" w:hAnsi="宋体" w:cs="Arial"/>
          <w:szCs w:val="21"/>
          <w:highlight w:val="none"/>
          <w:lang w:eastAsia="zh-CN"/>
        </w:rPr>
      </w:pPr>
      <w:r>
        <w:rPr>
          <w:rFonts w:hint="eastAsia" w:ascii="宋体" w:hAnsi="宋体" w:cs="Arial"/>
          <w:szCs w:val="21"/>
          <w:highlight w:val="none"/>
          <w:lang w:val="en-US" w:eastAsia="zh-CN"/>
        </w:rPr>
        <w:t>租赁期间内，若招标方有实际业务需求，投标方须免费提供驻场的开发、实施服务。</w:t>
      </w:r>
    </w:p>
    <w:p>
      <w:pPr>
        <w:pStyle w:val="69"/>
        <w:numPr>
          <w:ilvl w:val="1"/>
          <w:numId w:val="15"/>
        </w:numPr>
        <w:spacing w:before="0" w:after="0"/>
        <w:ind w:left="0" w:firstLine="360" w:firstLineChars="150"/>
        <w:rPr>
          <w:rFonts w:ascii="宋体" w:hAnsi="宋体" w:cs="Arial"/>
          <w:szCs w:val="21"/>
          <w:highlight w:val="none"/>
          <w:lang w:eastAsia="zh-CN"/>
        </w:rPr>
      </w:pPr>
      <w:r>
        <w:rPr>
          <w:rFonts w:ascii="宋体" w:hAnsi="宋体" w:eastAsia="宋体" w:cs="宋体"/>
          <w:sz w:val="24"/>
          <w:szCs w:val="24"/>
          <w:highlight w:val="none"/>
        </w:rPr>
        <w:t>投标方须</w:t>
      </w:r>
      <w:r>
        <w:rPr>
          <w:rFonts w:hint="eastAsia" w:ascii="宋体" w:hAnsi="宋体" w:cs="Arial"/>
          <w:szCs w:val="21"/>
          <w:highlight w:val="none"/>
          <w:lang w:eastAsia="zh-CN"/>
        </w:rPr>
        <w:t>提供不少于</w:t>
      </w:r>
      <w:r>
        <w:rPr>
          <w:rFonts w:hint="eastAsia" w:ascii="宋体" w:hAnsi="宋体" w:cs="Arial"/>
          <w:szCs w:val="21"/>
          <w:highlight w:val="none"/>
          <w:lang w:val="en-US" w:eastAsia="zh-CN"/>
        </w:rPr>
        <w:t>30</w:t>
      </w:r>
      <w:r>
        <w:rPr>
          <w:rFonts w:hint="eastAsia" w:ascii="宋体" w:hAnsi="宋体" w:cs="Arial"/>
          <w:szCs w:val="21"/>
          <w:highlight w:val="none"/>
          <w:lang w:eastAsia="zh-CN"/>
        </w:rPr>
        <w:t>人次相关AI能力认证服务，</w:t>
      </w:r>
      <w:r>
        <w:rPr>
          <w:rFonts w:hint="eastAsia" w:ascii="宋体" w:hAnsi="宋体" w:cs="Arial"/>
          <w:szCs w:val="21"/>
          <w:highlight w:val="none"/>
          <w:lang w:val="en-US" w:eastAsia="zh-CN"/>
        </w:rPr>
        <w:t>需提供行业认证证书</w:t>
      </w:r>
      <w:r>
        <w:rPr>
          <w:rFonts w:hint="eastAsia" w:ascii="宋体" w:hAnsi="宋体" w:cs="Arial"/>
          <w:szCs w:val="21"/>
          <w:highlight w:val="none"/>
          <w:lang w:eastAsia="zh-CN"/>
        </w:rPr>
        <w:t>。</w:t>
      </w:r>
    </w:p>
    <w:p>
      <w:pPr>
        <w:pStyle w:val="69"/>
        <w:numPr>
          <w:ilvl w:val="1"/>
          <w:numId w:val="15"/>
        </w:numPr>
        <w:spacing w:before="0" w:after="0"/>
        <w:ind w:left="0" w:firstLine="360" w:firstLineChars="150"/>
        <w:rPr>
          <w:rFonts w:ascii="宋体" w:hAnsi="宋体" w:cs="Arial"/>
          <w:szCs w:val="21"/>
          <w:highlight w:val="none"/>
          <w:lang w:eastAsia="zh-CN"/>
        </w:rPr>
      </w:pPr>
      <w:bookmarkStart w:id="112" w:name="_Toc257221981"/>
      <w:bookmarkStart w:id="113" w:name="_Toc257221436"/>
      <w:bookmarkStart w:id="114" w:name="_Toc257220823"/>
      <w:r>
        <w:rPr>
          <w:rFonts w:hint="eastAsia" w:ascii="宋体" w:hAnsi="宋体" w:cs="Arial"/>
          <w:szCs w:val="21"/>
          <w:highlight w:val="none"/>
          <w:lang w:eastAsia="zh-CN"/>
        </w:rPr>
        <w:t>当系统发生故障时，对问题进行及时的处理和故障排除。在进行故障处理时提供详细的故障处理方案，该方案经招标方评审通过。</w:t>
      </w:r>
      <w:bookmarkEnd w:id="112"/>
      <w:bookmarkEnd w:id="113"/>
      <w:bookmarkEnd w:id="114"/>
      <w:r>
        <w:rPr>
          <w:rFonts w:hint="eastAsia" w:ascii="宋体" w:hAnsi="宋体" w:cs="Arial"/>
          <w:szCs w:val="21"/>
          <w:highlight w:val="none"/>
          <w:lang w:eastAsia="zh-CN"/>
        </w:rPr>
        <w:t>故障处理</w:t>
      </w:r>
      <w:r>
        <w:rPr>
          <w:rFonts w:hint="eastAsia" w:ascii="宋体" w:hAnsi="宋体" w:cs="Arial"/>
          <w:szCs w:val="21"/>
          <w:highlight w:val="none"/>
          <w:lang w:val="en-GB" w:eastAsia="zh-CN"/>
        </w:rPr>
        <w:t>按照《中国南方电网有限责任公司信息系统运行管理办法》、《中国南方电网有限责任公司网络安全管理办法》的要求，</w:t>
      </w:r>
      <w:r>
        <w:rPr>
          <w:rFonts w:hint="eastAsia" w:ascii="宋体" w:hAnsi="宋体" w:cs="Arial"/>
          <w:szCs w:val="21"/>
          <w:highlight w:val="none"/>
          <w:lang w:eastAsia="zh-CN"/>
        </w:rPr>
        <w:t>服务内容</w:t>
      </w:r>
      <w:r>
        <w:rPr>
          <w:rFonts w:hint="eastAsia" w:ascii="宋体" w:hAnsi="宋体" w:cs="Arial"/>
          <w:szCs w:val="21"/>
          <w:highlight w:val="none"/>
          <w:lang w:val="en-GB" w:eastAsia="zh-CN"/>
        </w:rPr>
        <w:t>包括但不限于：</w:t>
      </w:r>
    </w:p>
    <w:p>
      <w:pPr>
        <w:pStyle w:val="69"/>
        <w:numPr>
          <w:ilvl w:val="0"/>
          <w:numId w:val="16"/>
        </w:numPr>
        <w:spacing w:before="0" w:after="0"/>
        <w:ind w:firstLine="480"/>
        <w:rPr>
          <w:rFonts w:ascii="宋体" w:hAnsi="宋体" w:cs="Arial"/>
          <w:szCs w:val="21"/>
          <w:highlight w:val="none"/>
          <w:lang w:eastAsia="zh-CN"/>
        </w:rPr>
      </w:pPr>
      <w:r>
        <w:rPr>
          <w:rFonts w:hint="eastAsia" w:ascii="宋体" w:hAnsi="宋体" w:cs="Arial"/>
          <w:szCs w:val="21"/>
          <w:highlight w:val="none"/>
          <w:lang w:eastAsia="zh-CN"/>
        </w:rPr>
        <w:t>投标方</w:t>
      </w:r>
      <w:r>
        <w:rPr>
          <w:rFonts w:hint="eastAsia" w:ascii="宋体" w:hAnsi="宋体" w:eastAsia="宋体" w:cs="Arial"/>
          <w:color w:val="auto"/>
          <w:szCs w:val="21"/>
          <w:highlight w:val="none"/>
          <w:lang w:val="en-US" w:eastAsia="zh-CN"/>
        </w:rPr>
        <w:t>提供</w:t>
      </w:r>
      <w:r>
        <w:rPr>
          <w:rFonts w:hint="eastAsia" w:ascii="宋体" w:hAnsi="宋体" w:cs="Arial"/>
          <w:color w:val="auto"/>
          <w:szCs w:val="21"/>
          <w:highlight w:val="none"/>
          <w:lang w:val="en-US" w:eastAsia="zh-CN"/>
        </w:rPr>
        <w:t>不少于3年</w:t>
      </w:r>
      <w:r>
        <w:rPr>
          <w:rFonts w:hint="eastAsia" w:ascii="宋体" w:hAnsi="宋体" w:eastAsia="宋体" w:cs="Arial"/>
          <w:color w:val="auto"/>
          <w:szCs w:val="21"/>
          <w:highlight w:val="none"/>
          <w:lang w:val="en-US" w:eastAsia="zh-CN"/>
        </w:rPr>
        <w:t>原厂质保证明</w:t>
      </w:r>
      <w:r>
        <w:rPr>
          <w:rFonts w:hint="eastAsia" w:ascii="宋体" w:hAnsi="宋体" w:cs="Arial"/>
          <w:szCs w:val="21"/>
          <w:highlight w:val="none"/>
          <w:lang w:eastAsia="zh-CN"/>
        </w:rPr>
        <w:t>；</w:t>
      </w:r>
    </w:p>
    <w:p>
      <w:pPr>
        <w:pStyle w:val="69"/>
        <w:numPr>
          <w:ilvl w:val="0"/>
          <w:numId w:val="16"/>
        </w:numPr>
        <w:spacing w:before="0" w:after="0"/>
        <w:ind w:firstLine="480"/>
        <w:rPr>
          <w:rFonts w:ascii="宋体" w:hAnsi="宋体" w:cs="Arial"/>
          <w:szCs w:val="21"/>
          <w:highlight w:val="none"/>
          <w:lang w:eastAsia="zh-CN"/>
        </w:rPr>
      </w:pPr>
      <w:r>
        <w:rPr>
          <w:rFonts w:hint="eastAsia" w:ascii="宋体" w:hAnsi="宋体" w:cs="Arial"/>
          <w:szCs w:val="21"/>
          <w:highlight w:val="none"/>
          <w:lang w:eastAsia="zh-CN"/>
        </w:rPr>
        <w:t>投标方提供7×24小时的技术支持服务，制定相对固定的技术负责人及联络电话、传真号码、e-mail地址等；</w:t>
      </w:r>
    </w:p>
    <w:p>
      <w:pPr>
        <w:pStyle w:val="69"/>
        <w:numPr>
          <w:ilvl w:val="0"/>
          <w:numId w:val="16"/>
        </w:numPr>
        <w:spacing w:before="0" w:after="0"/>
        <w:ind w:firstLine="480"/>
        <w:rPr>
          <w:rFonts w:ascii="宋体" w:hAnsi="宋体" w:cs="Arial"/>
          <w:szCs w:val="21"/>
          <w:highlight w:val="none"/>
          <w:lang w:eastAsia="zh-CN"/>
        </w:rPr>
      </w:pPr>
      <w:r>
        <w:rPr>
          <w:rFonts w:hint="eastAsia" w:ascii="宋体" w:hAnsi="宋体" w:cs="Arial"/>
          <w:szCs w:val="21"/>
          <w:highlight w:val="none"/>
          <w:lang w:eastAsia="zh-CN"/>
        </w:rPr>
        <w:t>保修期内硬件故障时，所提供的替代硬件设备的性能需等于和高于原产品的性能；</w:t>
      </w:r>
    </w:p>
    <w:p>
      <w:pPr>
        <w:pStyle w:val="69"/>
        <w:numPr>
          <w:ilvl w:val="0"/>
          <w:numId w:val="16"/>
        </w:numPr>
        <w:spacing w:before="0" w:after="0"/>
        <w:ind w:firstLine="480"/>
        <w:rPr>
          <w:rFonts w:hint="eastAsia" w:ascii="宋体" w:hAnsi="宋体" w:cs="Arial"/>
          <w:szCs w:val="21"/>
          <w:highlight w:val="none"/>
          <w:lang w:eastAsia="zh-CN"/>
        </w:rPr>
      </w:pPr>
      <w:r>
        <w:rPr>
          <w:rFonts w:hint="eastAsia" w:ascii="宋体" w:hAnsi="宋体" w:cs="Arial"/>
          <w:szCs w:val="21"/>
          <w:highlight w:val="none"/>
          <w:lang w:eastAsia="zh-CN"/>
        </w:rPr>
        <w:t>48小时内故障应得以解决。</w:t>
      </w:r>
    </w:p>
    <w:p>
      <w:pPr>
        <w:bidi w:val="0"/>
        <w:rPr>
          <w:rFonts w:hint="eastAsia"/>
          <w:highlight w:val="none"/>
        </w:rPr>
      </w:pPr>
    </w:p>
    <w:p>
      <w:pPr>
        <w:pStyle w:val="2"/>
        <w:adjustRightInd w:val="0"/>
        <w:snapToGrid w:val="0"/>
        <w:spacing w:before="320" w:after="120" w:line="413" w:lineRule="auto"/>
        <w:rPr>
          <w:rFonts w:hint="eastAsia" w:eastAsia="黑体"/>
          <w:sz w:val="24"/>
          <w:highlight w:val="none"/>
          <w:lang w:val="en-US" w:eastAsia="zh-CN"/>
        </w:rPr>
      </w:pPr>
      <w:r>
        <w:rPr>
          <w:rFonts w:hint="eastAsia" w:eastAsia="黑体"/>
          <w:sz w:val="24"/>
          <w:highlight w:val="none"/>
          <w:lang w:val="en-US" w:eastAsia="zh-CN"/>
        </w:rPr>
        <w:t>附件一：算子兼容列表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highlight w:val="none"/>
          <w:lang w:val="en-US" w:eastAsia="zh-CN"/>
        </w:rPr>
      </w:pPr>
      <w:r>
        <w:rPr>
          <w:rFonts w:hint="eastAsia"/>
          <w:highlight w:val="none"/>
          <w:lang w:val="en-US" w:eastAsia="zh-CN"/>
        </w:rPr>
        <w:t>附表内算子兼容列表为南网储能公司在人工智能方向研发的实际需求，属主流生态权威算子。如投标方所投设备兼容支持其中全部或部分算子， 需在对应算子行进行满足与否的明确响应，提供算子运行通过的实际测试证明截图，并在表格内统计整体算子兼容率。</w:t>
      </w:r>
    </w:p>
    <w:tbl>
      <w:tblPr>
        <w:tblStyle w:val="29"/>
        <w:tblW w:w="0" w:type="auto"/>
        <w:tblInd w:w="43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1"/>
        <w:gridCol w:w="3931"/>
        <w:gridCol w:w="1668"/>
        <w:gridCol w:w="26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941"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highlight w:val="none"/>
                <w:lang w:val="en-US"/>
              </w:rPr>
            </w:pPr>
            <w:r>
              <w:rPr>
                <w:b/>
                <w:bCs w:val="0"/>
                <w:color w:val="auto"/>
                <w:highlight w:val="none"/>
              </w:rPr>
              <w:t>序号</w:t>
            </w:r>
          </w:p>
        </w:tc>
        <w:tc>
          <w:tcPr>
            <w:tcW w:w="3931"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default" w:eastAsia="等线"/>
                <w:highlight w:val="none"/>
                <w:lang w:val="en-US" w:eastAsia="zh-CN"/>
              </w:rPr>
            </w:pPr>
            <w:r>
              <w:rPr>
                <w:rFonts w:hint="eastAsia"/>
                <w:b/>
                <w:bCs w:val="0"/>
                <w:color w:val="252527"/>
                <w:highlight w:val="none"/>
                <w:lang w:val="en-US" w:eastAsia="zh-CN"/>
              </w:rPr>
              <w:t>算子名称</w:t>
            </w:r>
          </w:p>
        </w:tc>
        <w:tc>
          <w:tcPr>
            <w:tcW w:w="1668"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default" w:eastAsia="等线"/>
                <w:b/>
                <w:bCs w:val="0"/>
                <w:color w:val="252527"/>
                <w:highlight w:val="none"/>
                <w:lang w:val="en-US" w:eastAsia="zh-CN"/>
              </w:rPr>
            </w:pPr>
            <w:r>
              <w:rPr>
                <w:rFonts w:hint="eastAsia"/>
                <w:b/>
                <w:bCs w:val="0"/>
                <w:color w:val="252527"/>
                <w:highlight w:val="none"/>
                <w:lang w:val="en-US" w:eastAsia="zh-CN"/>
              </w:rPr>
              <w:t>是否兼容支持</w:t>
            </w:r>
          </w:p>
        </w:tc>
        <w:tc>
          <w:tcPr>
            <w:tcW w:w="2681"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default" w:eastAsia="等线"/>
                <w:b/>
                <w:bCs w:val="0"/>
                <w:color w:val="252527"/>
                <w:highlight w:val="none"/>
                <w:lang w:val="en-US" w:eastAsia="zh-CN"/>
              </w:rPr>
            </w:pPr>
            <w:r>
              <w:rPr>
                <w:rFonts w:hint="eastAsia"/>
                <w:b/>
                <w:bCs w:val="0"/>
                <w:color w:val="252527"/>
                <w:highlight w:val="none"/>
                <w:lang w:val="en-US" w:eastAsia="zh-CN"/>
              </w:rPr>
              <w:t>算子实际测试截图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UnifiedMemoryStreams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default" w:eastAsia="等线"/>
                <w:color w:val="252527"/>
                <w:highlight w:val="none"/>
                <w:lang w:val="en-US" w:eastAsia="zh-CN"/>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asyncAPI</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default" w:ascii="等线" w:hAnsi="等线" w:eastAsia="等线" w:cs="Times New Roman"/>
                <w:kern w:val="2"/>
                <w:sz w:val="24"/>
                <w:szCs w:val="20"/>
                <w:highlight w:val="none"/>
                <w:lang w:val="en-US" w:eastAsia="zh-CN" w:bidi="ar"/>
              </w:rPr>
            </w:pPr>
            <w:r>
              <w:rPr>
                <w:color w:val="252527"/>
                <w:highlight w:val="none"/>
                <w:lang w:val="en-US"/>
              </w:rPr>
              <w:t>c++11_cuda</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clock</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clock_nvrtc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concurrentKernels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cppIntegration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cppOverload</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default" w:ascii="等线" w:hAnsi="等线" w:eastAsia="等线" w:cs="Times New Roman"/>
                <w:kern w:val="2"/>
                <w:sz w:val="24"/>
                <w:szCs w:val="20"/>
                <w:highlight w:val="none"/>
                <w:lang w:val="en-US" w:eastAsia="zh-CN" w:bidi="ar"/>
              </w:rPr>
            </w:pPr>
            <w:r>
              <w:rPr>
                <w:color w:val="252527"/>
                <w:highlight w:val="none"/>
                <w:lang w:val="en-US"/>
              </w:rPr>
              <w:t>cudaOpenMP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fp16ScalarProduct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matrixMul</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matrixMulDrv</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matrixMul_nvrtc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mergeSort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simpleAWBarrier</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simpleAssert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simpleAssert_nvrtc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simpleAtomicIntrinsics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simpleAtomicIntrinsics_nvrtc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simpleCallback</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simpleCooperativeGroups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simpleDrvRuntime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simpleHyperQ</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simpleMPI</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simpleMultiCopy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simpleMultiGPU</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simpleOccupancy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simpleP2P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29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simplePrintf</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simpleSeparateCompilation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simpleStreams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simpleTemplates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simpleTemplates_nvrtc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simpleVoteIntrinsics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simpleVoteIntrinsics_nvrtc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simpleZeroCopy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template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vectorAdd</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39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vectorAddDrv</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vectorAddMMAP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vectorAdd_nvrtc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bandwidthTest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deviceQuery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deviceQueryDrv</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topologyQuery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convolutionSeparable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cuHook</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eigenvalues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49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histogram</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inlinePTX</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inlinePTX_nvrtc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interval</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radixSortThrust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reduction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reductionMultiBlockCG</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scalarProd</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scan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segmentationTreeThrust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59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shfl_scan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sortingNetworks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streamOrderedAllocation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streamOrderedAllocationP2P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52"/>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threadFenceReduction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threadMigration</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StreamPriorities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bf16TensorCoreGemm</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binaryPartitionCG</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cudaTensorCoreGemm</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69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globalToShmemAsyncCopy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graphMemoryFootprint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immaTensorCoreGemm</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jacobiCudaGraphs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newdelete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simpleCudaGraphs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tf32TensorCoreGemm</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warpAggregatedAtomicsCG</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FilterBorderControlNPP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batchedLabelMarkersAndLabelCompressionNPP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79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boxFilterNPP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cannyEdgeDetectorNPP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freeImageInteropNPP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nvJPEG</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nvJPEG_encoder</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simpleCUBLAS_LU</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watershedSegmentationNPP</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BlackScholes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BlackScholes_nvrtc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FDTD3d</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89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MonteCarloMultiGPU</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NV12toBGRandResize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SobolQRNG</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binomialOptions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binomialOptions_nvrtc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convolutionFFT2D</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dwtHaar1D</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dxtc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fastWalshTransform</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p2pBandwidthLatencyTest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99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quasirandomGenerator</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100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quasirandomGenerator_nvrtc</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101</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stereoDisparity</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102</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LargeKernelParameter</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highlight w:val="none"/>
                <w:lang w:val="en-US"/>
              </w:rPr>
            </w:pPr>
            <w:r>
              <w:rPr>
                <w:color w:val="000000"/>
                <w:highlight w:val="none"/>
                <w:lang w:val="en-US"/>
              </w:rPr>
              <w:t>103</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UnifiedMemoryPerf</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r>
              <w:rPr>
                <w:color w:val="000000"/>
                <w:highlight w:val="none"/>
                <w:lang w:val="en-US"/>
              </w:rPr>
              <w:t>104</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kern w:val="2"/>
                <w:sz w:val="24"/>
                <w:szCs w:val="20"/>
                <w:highlight w:val="none"/>
                <w:lang w:val="en-US" w:eastAsia="zh-CN" w:bidi="ar"/>
              </w:rPr>
            </w:pPr>
            <w:r>
              <w:rPr>
                <w:color w:val="252527"/>
                <w:highlight w:val="none"/>
                <w:lang w:val="en-US"/>
              </w:rPr>
              <w:t>alignedTypes</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252527"/>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252527"/>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r>
              <w:rPr>
                <w:color w:val="000000"/>
                <w:highlight w:val="none"/>
                <w:lang w:val="en-US"/>
              </w:rPr>
              <w:t>105</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color w:val="000000"/>
                <w:kern w:val="2"/>
                <w:sz w:val="24"/>
                <w:szCs w:val="20"/>
                <w:highlight w:val="none"/>
                <w:lang w:val="en-US" w:eastAsia="zh-CN" w:bidi="ar"/>
              </w:rPr>
            </w:pPr>
            <w:r>
              <w:rPr>
                <w:color w:val="000000"/>
                <w:highlight w:val="none"/>
                <w:lang w:val="en-US"/>
              </w:rPr>
              <w:t>transpose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000000"/>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default"/>
                <w:color w:val="000000"/>
                <w:highlight w:val="none"/>
                <w:lang w:val="en-US"/>
              </w:rPr>
            </w:pPr>
            <w:r>
              <w:rPr>
                <w:rFonts w:hint="eastAsia"/>
                <w:color w:val="000000"/>
                <w:highlight w:val="none"/>
                <w:lang w:val="en-US" w:eastAsia="zh-CN"/>
              </w:rPr>
              <w:t>106</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color w:val="000000"/>
                <w:kern w:val="2"/>
                <w:sz w:val="24"/>
                <w:szCs w:val="20"/>
                <w:highlight w:val="none"/>
                <w:lang w:val="en-US" w:eastAsia="zh-CN" w:bidi="ar"/>
              </w:rPr>
            </w:pPr>
            <w:r>
              <w:rPr>
                <w:rFonts w:hint="eastAsia"/>
                <w:color w:val="000000"/>
                <w:highlight w:val="none"/>
                <w:lang w:val="en-US" w:eastAsia="zh-CN"/>
              </w:rPr>
              <w:t>matrixMulDynlinkJIT</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000000"/>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default"/>
                <w:color w:val="000000"/>
                <w:highlight w:val="none"/>
                <w:lang w:val="en-US" w:eastAsia="zh-CN"/>
              </w:rPr>
            </w:pPr>
            <w:r>
              <w:rPr>
                <w:rFonts w:hint="eastAsia"/>
                <w:color w:val="000000"/>
                <w:highlight w:val="none"/>
                <w:lang w:val="en-US" w:eastAsia="zh-CN"/>
              </w:rPr>
              <w:t>107</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color w:val="000000"/>
                <w:kern w:val="2"/>
                <w:sz w:val="24"/>
                <w:szCs w:val="20"/>
                <w:highlight w:val="none"/>
                <w:lang w:val="en-US" w:eastAsia="zh-CN" w:bidi="ar"/>
              </w:rPr>
            </w:pPr>
            <w:r>
              <w:rPr>
                <w:rFonts w:hint="eastAsia"/>
                <w:color w:val="000000"/>
                <w:highlight w:val="none"/>
                <w:lang w:val="en-US" w:eastAsia="zh-CN"/>
              </w:rPr>
              <w:t>simpleCUDA2GL</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000000"/>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default"/>
                <w:color w:val="000000"/>
                <w:highlight w:val="none"/>
                <w:lang w:val="en-US"/>
              </w:rPr>
            </w:pPr>
            <w:r>
              <w:rPr>
                <w:rFonts w:hint="eastAsia"/>
                <w:color w:val="000000"/>
                <w:highlight w:val="none"/>
                <w:lang w:val="en-US" w:eastAsia="zh-CN"/>
              </w:rPr>
              <w:t>108</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color w:val="000000"/>
                <w:kern w:val="2"/>
                <w:sz w:val="24"/>
                <w:szCs w:val="20"/>
                <w:highlight w:val="none"/>
                <w:lang w:val="en-US" w:eastAsia="zh-CN" w:bidi="ar"/>
              </w:rPr>
            </w:pPr>
            <w:r>
              <w:rPr>
                <w:rFonts w:hint="eastAsia"/>
                <w:color w:val="000000"/>
                <w:highlight w:val="none"/>
                <w:lang w:val="en-US" w:eastAsia="zh-CN"/>
              </w:rPr>
              <w:t>simpleCubemapTexture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000000"/>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default"/>
                <w:color w:val="000000"/>
                <w:highlight w:val="none"/>
                <w:lang w:val="en-US"/>
              </w:rPr>
            </w:pPr>
            <w:r>
              <w:rPr>
                <w:rFonts w:hint="eastAsia"/>
                <w:color w:val="000000"/>
                <w:highlight w:val="none"/>
                <w:lang w:val="en-US" w:eastAsia="zh-CN"/>
              </w:rPr>
              <w:t>109</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color w:val="000000"/>
                <w:kern w:val="2"/>
                <w:sz w:val="24"/>
                <w:szCs w:val="20"/>
                <w:highlight w:val="none"/>
                <w:lang w:val="en-US" w:eastAsia="zh-CN" w:bidi="ar"/>
              </w:rPr>
            </w:pPr>
            <w:r>
              <w:rPr>
                <w:rFonts w:hint="eastAsia"/>
                <w:color w:val="000000"/>
                <w:highlight w:val="none"/>
                <w:lang w:val="en-US" w:eastAsia="zh-CN"/>
              </w:rPr>
              <w:t>simpleLayeredTexture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000000"/>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default"/>
                <w:color w:val="000000"/>
                <w:highlight w:val="none"/>
                <w:lang w:val="en-US"/>
              </w:rPr>
            </w:pPr>
            <w:r>
              <w:rPr>
                <w:rFonts w:hint="eastAsia"/>
                <w:color w:val="000000"/>
                <w:highlight w:val="none"/>
                <w:lang w:val="en-US" w:eastAsia="zh-CN"/>
              </w:rPr>
              <w:t>110</w:t>
            </w:r>
          </w:p>
        </w:tc>
        <w:tc>
          <w:tcPr>
            <w:tcW w:w="393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center"/>
              <w:rPr>
                <w:rFonts w:hint="eastAsia" w:ascii="等线" w:hAnsi="等线" w:eastAsia="等线" w:cs="Times New Roman"/>
                <w:color w:val="000000"/>
                <w:kern w:val="2"/>
                <w:sz w:val="24"/>
                <w:szCs w:val="20"/>
                <w:highlight w:val="none"/>
                <w:lang w:val="en-US" w:eastAsia="zh-CN" w:bidi="ar"/>
              </w:rPr>
            </w:pPr>
            <w:r>
              <w:rPr>
                <w:rFonts w:hint="eastAsia"/>
                <w:color w:val="000000"/>
                <w:highlight w:val="none"/>
                <w:lang w:val="en-US" w:eastAsia="zh-CN"/>
              </w:rPr>
              <w:t>simplePitchLinearTexture</w:t>
            </w:r>
          </w:p>
        </w:tc>
        <w:tc>
          <w:tcPr>
            <w:tcW w:w="1668" w:type="dxa"/>
            <w:tcBorders>
              <w:top w:val="single" w:color="979A9B" w:sz="6" w:space="0"/>
              <w:left w:val="single" w:color="979A9B" w:sz="6" w:space="0"/>
              <w:bottom w:val="single" w:color="979A9B" w:sz="6" w:space="0"/>
              <w:right w:val="single" w:color="979A9B" w:sz="6" w:space="0"/>
            </w:tcBorders>
            <w:shd w:val="clear" w:color="auto" w:fill="FFFFFF"/>
            <w:vAlign w:val="top"/>
          </w:tcPr>
          <w:p>
            <w:pPr>
              <w:keepNext w:val="0"/>
              <w:keepLines w:val="0"/>
              <w:widowControl/>
              <w:suppressLineNumbers w:val="0"/>
              <w:spacing w:before="0" w:beforeAutospacing="0" w:after="0" w:afterAutospacing="0"/>
              <w:ind w:left="0" w:right="0"/>
              <w:jc w:val="center"/>
              <w:rPr>
                <w:rFonts w:hint="eastAsia"/>
                <w:color w:val="000000"/>
                <w:highlight w:val="none"/>
                <w:lang w:val="en-US"/>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2681"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4872" w:type="dxa"/>
            <w:gridSpan w:val="2"/>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default"/>
                <w:color w:val="000000"/>
                <w:highlight w:val="none"/>
                <w:lang w:val="en-US" w:eastAsia="zh-CN"/>
              </w:rPr>
            </w:pPr>
            <w:r>
              <w:rPr>
                <w:rFonts w:hint="eastAsia"/>
                <w:color w:val="000000"/>
                <w:highlight w:val="none"/>
                <w:lang w:val="en-US" w:eastAsia="zh-CN"/>
              </w:rPr>
              <w:t>整体</w:t>
            </w:r>
            <w:r>
              <w:rPr>
                <w:rFonts w:hint="eastAsia"/>
                <w:highlight w:val="none"/>
                <w:lang w:val="en-US" w:eastAsia="zh-CN"/>
              </w:rPr>
              <w:t>算子兼容率</w:t>
            </w:r>
          </w:p>
        </w:tc>
        <w:tc>
          <w:tcPr>
            <w:tcW w:w="4349" w:type="dxa"/>
            <w:gridSpan w:val="2"/>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color w:val="000000"/>
                <w:highlight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9221" w:type="dxa"/>
            <w:gridSpan w:val="4"/>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both"/>
              <w:rPr>
                <w:rFonts w:hint="eastAsia"/>
                <w:b w:val="0"/>
                <w:i w:val="0"/>
                <w:color w:val="000000"/>
                <w:highlight w:val="none"/>
                <w:lang w:val="en-US" w:eastAsia="zh-CN"/>
                <w:oMath/>
              </w:rPr>
            </w:pPr>
            <m:oMathPara>
              <m:oMathParaPr>
                <m:jc m:val="left"/>
              </m:oMathParaPr>
              <m:oMath>
                <m:r>
                  <m:rPr>
                    <m:sty m:val="b"/>
                  </m:rPr>
                  <w:rPr>
                    <w:rFonts w:hint="eastAsia" w:ascii="Cambria Math" w:hAnsi="Cambria Math"/>
                    <w:color w:val="000000"/>
                    <w:highlight w:val="none"/>
                    <w:lang w:val="en-US" w:eastAsia="zh-CN"/>
                  </w:rPr>
                  <m:t>备注</m:t>
                </m:r>
                <m:r>
                  <m:rPr>
                    <m:sty m:val="p"/>
                  </m:rPr>
                  <w:rPr>
                    <w:rFonts w:hint="eastAsia" w:ascii="Cambria Math" w:hAnsi="Cambria Math"/>
                    <w:color w:val="000000"/>
                    <w:highlight w:val="none"/>
                    <w:lang w:val="en-US" w:eastAsia="zh-CN"/>
                  </w:rPr>
                  <m:t>：</m:t>
                </m:r>
                <m:r>
                  <m:rPr>
                    <m:sty m:val="p"/>
                  </m:rPr>
                  <w:rPr>
                    <w:rFonts w:hint="eastAsia"/>
                    <w:color w:val="000000"/>
                    <w:highlight w:val="none"/>
                    <w:lang w:val="en-US" w:eastAsia="zh-CN"/>
                  </w:rPr>
                  <m:t>整体</m:t>
                </m:r>
                <m:r>
                  <m:rPr>
                    <m:sty m:val="p"/>
                  </m:rPr>
                  <w:rPr>
                    <w:rFonts w:hint="eastAsia"/>
                    <w:highlight w:val="none"/>
                    <w:lang w:val="en-US" w:eastAsia="zh-CN"/>
                  </w:rPr>
                  <m:t>算子兼容率</m:t>
                </m:r>
                <m:r>
                  <m:rPr>
                    <m:sty m:val="p"/>
                  </m:rPr>
                  <w:rPr>
                    <w:rFonts w:hint="default" w:ascii="Cambria Math" w:hAnsi="Cambria Math"/>
                    <w:color w:val="000000"/>
                    <w:highlight w:val="none"/>
                    <w:lang w:val="en-US" w:eastAsia="zh-CN"/>
                  </w:rPr>
                  <m:t>=</m:t>
                </m:r>
                <m:f>
                  <m:fPr>
                    <m:ctrlPr>
                      <w:rPr>
                        <w:rFonts w:ascii="Cambria Math" w:hAnsi="Cambria Math"/>
                        <w:i/>
                        <w:color w:val="000000"/>
                        <w:highlight w:val="none"/>
                        <w:lang w:val="en-US"/>
                      </w:rPr>
                    </m:ctrlPr>
                  </m:fPr>
                  <m:num>
                    <m:r>
                      <m:rPr>
                        <m:sty m:val="p"/>
                      </m:rPr>
                      <w:rPr>
                        <w:rFonts w:hint="eastAsia" w:ascii="Cambria Math" w:hAnsi="Cambria Math"/>
                        <w:color w:val="000000"/>
                        <w:highlight w:val="none"/>
                        <w:lang w:val="en-US" w:eastAsia="zh-CN"/>
                      </w:rPr>
                      <m:t>兼容支持算子数量</m:t>
                    </m:r>
                    <m:ctrlPr>
                      <w:rPr>
                        <w:rFonts w:ascii="Cambria Math" w:hAnsi="Cambria Math"/>
                        <w:i/>
                        <w:color w:val="000000"/>
                        <w:highlight w:val="none"/>
                        <w:lang w:val="en-US"/>
                      </w:rPr>
                    </m:ctrlPr>
                  </m:num>
                  <m:den>
                    <m:r>
                      <m:rPr/>
                      <w:rPr>
                        <w:rFonts w:hint="default" w:ascii="Cambria Math" w:hAnsi="Cambria Math"/>
                        <w:color w:val="000000"/>
                        <w:highlight w:val="none"/>
                        <w:lang w:val="en-US" w:eastAsia="zh-CN"/>
                      </w:rPr>
                      <m:t>110</m:t>
                    </m:r>
                    <m:ctrlPr>
                      <w:rPr>
                        <w:rFonts w:ascii="Cambria Math" w:hAnsi="Cambria Math"/>
                        <w:i/>
                        <w:color w:val="000000"/>
                        <w:highlight w:val="none"/>
                        <w:lang w:val="en-US"/>
                      </w:rPr>
                    </m:ctrlPr>
                  </m:den>
                </m:f>
              </m:oMath>
            </m:oMathPara>
          </w:p>
        </w:tc>
      </w:tr>
    </w:tbl>
    <w:p>
      <w:pPr>
        <w:bidi w:val="0"/>
        <w:rPr>
          <w:rFonts w:hint="default"/>
          <w:highlight w:val="none"/>
          <w:lang w:val="en-US" w:eastAsia="zh-CN"/>
        </w:rPr>
      </w:pPr>
    </w:p>
    <w:p>
      <w:pPr>
        <w:pStyle w:val="2"/>
        <w:adjustRightInd w:val="0"/>
        <w:snapToGrid w:val="0"/>
        <w:spacing w:before="320" w:after="120" w:line="413" w:lineRule="auto"/>
        <w:rPr>
          <w:rFonts w:hint="eastAsia" w:eastAsia="黑体"/>
          <w:sz w:val="24"/>
          <w:highlight w:val="none"/>
          <w:lang w:val="en-US" w:eastAsia="zh-CN"/>
        </w:rPr>
      </w:pPr>
      <w:r>
        <w:rPr>
          <w:rFonts w:hint="eastAsia" w:eastAsia="黑体"/>
          <w:sz w:val="24"/>
          <w:highlight w:val="none"/>
          <w:lang w:val="en-US" w:eastAsia="zh-CN"/>
        </w:rPr>
        <w:t>附件二：管理软件功能清单</w:t>
      </w:r>
    </w:p>
    <w:p>
      <w:pPr>
        <w:rPr>
          <w:rFonts w:hint="default"/>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lang w:val="en-US" w:eastAsia="zh-CN"/>
        </w:rPr>
      </w:pPr>
      <w:r>
        <w:rPr>
          <w:rFonts w:hint="eastAsia"/>
          <w:highlight w:val="none"/>
          <w:lang w:val="en-US" w:eastAsia="zh-CN"/>
        </w:rPr>
        <w:t>为提升南网储能公司对算力设备的管理与监控水平，提出以下管理软件功能清单需求。如投标方所投设备附带算力管理软件，需在对应功能项行进行满足与否的明确响应，并提供实际软件界面证明截图。</w:t>
      </w:r>
    </w:p>
    <w:tbl>
      <w:tblPr>
        <w:tblStyle w:val="29"/>
        <w:tblW w:w="0" w:type="auto"/>
        <w:tblInd w:w="43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1"/>
        <w:gridCol w:w="5015"/>
        <w:gridCol w:w="1342"/>
        <w:gridCol w:w="19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941"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eastAsia" w:asciiTheme="majorEastAsia" w:hAnsiTheme="majorEastAsia" w:eastAsiaTheme="majorEastAsia" w:cstheme="majorEastAsia"/>
                <w:highlight w:val="none"/>
                <w:lang w:val="en-US"/>
              </w:rPr>
            </w:pPr>
            <w:r>
              <w:rPr>
                <w:rFonts w:hint="eastAsia" w:asciiTheme="majorEastAsia" w:hAnsiTheme="majorEastAsia" w:eastAsiaTheme="majorEastAsia" w:cstheme="majorEastAsia"/>
                <w:b/>
                <w:bCs w:val="0"/>
                <w:color w:val="auto"/>
                <w:highlight w:val="none"/>
              </w:rPr>
              <w:t>序号</w:t>
            </w:r>
          </w:p>
        </w:tc>
        <w:tc>
          <w:tcPr>
            <w:tcW w:w="5015"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b/>
                <w:bCs w:val="0"/>
                <w:color w:val="252527"/>
                <w:highlight w:val="none"/>
                <w:lang w:val="en-US" w:eastAsia="zh-CN"/>
              </w:rPr>
              <w:t>功能项</w:t>
            </w:r>
          </w:p>
        </w:tc>
        <w:tc>
          <w:tcPr>
            <w:tcW w:w="1342"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eastAsia" w:asciiTheme="majorEastAsia" w:hAnsiTheme="majorEastAsia" w:eastAsiaTheme="majorEastAsia" w:cstheme="majorEastAsia"/>
                <w:b/>
                <w:bCs w:val="0"/>
                <w:color w:val="252527"/>
                <w:highlight w:val="none"/>
                <w:lang w:val="en-US" w:eastAsia="zh-CN"/>
              </w:rPr>
            </w:pPr>
            <w:r>
              <w:rPr>
                <w:rFonts w:hint="eastAsia" w:asciiTheme="majorEastAsia" w:hAnsiTheme="majorEastAsia" w:eastAsiaTheme="majorEastAsia" w:cstheme="majorEastAsia"/>
                <w:b/>
                <w:bCs w:val="0"/>
                <w:color w:val="252527"/>
                <w:highlight w:val="none"/>
                <w:lang w:val="en-US" w:eastAsia="zh-CN"/>
              </w:rPr>
              <w:t>是否支持</w:t>
            </w:r>
          </w:p>
        </w:tc>
        <w:tc>
          <w:tcPr>
            <w:tcW w:w="1923" w:type="dxa"/>
            <w:tcBorders>
              <w:top w:val="single" w:color="979A9B" w:sz="6" w:space="0"/>
              <w:left w:val="single" w:color="979A9B" w:sz="6" w:space="0"/>
              <w:bottom w:val="single" w:color="979A9B" w:sz="6" w:space="0"/>
              <w:right w:val="single" w:color="979A9B" w:sz="6" w:space="0"/>
            </w:tcBorders>
            <w:shd w:val="clear" w:color="auto" w:fill="E6E7E7"/>
            <w:vAlign w:val="center"/>
          </w:tcPr>
          <w:p>
            <w:pPr>
              <w:pStyle w:val="74"/>
              <w:widowControl/>
              <w:jc w:val="center"/>
              <w:rPr>
                <w:rFonts w:hint="eastAsia" w:asciiTheme="majorEastAsia" w:hAnsiTheme="majorEastAsia" w:eastAsiaTheme="majorEastAsia" w:cstheme="majorEastAsia"/>
                <w:b/>
                <w:bCs w:val="0"/>
                <w:color w:val="252527"/>
                <w:highlight w:val="none"/>
                <w:lang w:val="en-US" w:eastAsia="zh-CN"/>
              </w:rPr>
            </w:pPr>
            <w:r>
              <w:rPr>
                <w:rFonts w:hint="eastAsia" w:asciiTheme="majorEastAsia" w:hAnsiTheme="majorEastAsia" w:eastAsiaTheme="majorEastAsia" w:cstheme="majorEastAsia"/>
                <w:b/>
                <w:bCs w:val="0"/>
                <w:color w:val="252527"/>
                <w:highlight w:val="none"/>
                <w:lang w:val="en-US" w:eastAsia="zh-CN"/>
              </w:rPr>
              <w:t>实际截图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highlight w:val="none"/>
                <w:lang w:val="en-US"/>
              </w:rPr>
            </w:pPr>
            <w:r>
              <w:rPr>
                <w:rFonts w:hint="eastAsia" w:asciiTheme="majorEastAsia" w:hAnsiTheme="majorEastAsia" w:eastAsiaTheme="majorEastAsia" w:cstheme="majorEastAsia"/>
                <w:color w:val="000000"/>
                <w:highlight w:val="none"/>
                <w:lang w:val="en-US"/>
              </w:rPr>
              <w:t>1</w:t>
            </w:r>
          </w:p>
        </w:tc>
        <w:tc>
          <w:tcPr>
            <w:tcW w:w="5015"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left"/>
              <w:rPr>
                <w:rFonts w:hint="eastAsia" w:asciiTheme="majorEastAsia" w:hAnsiTheme="majorEastAsia" w:eastAsiaTheme="majorEastAsia" w:cstheme="majorEastAsia"/>
                <w:color w:val="000000"/>
                <w:highlight w:val="none"/>
                <w:lang w:val="en-US" w:eastAsia="zh-CN"/>
              </w:rPr>
            </w:pPr>
            <w:r>
              <w:rPr>
                <w:rFonts w:ascii="宋体" w:hAnsi="宋体" w:eastAsia="宋体" w:cs="宋体"/>
                <w:sz w:val="24"/>
                <w:szCs w:val="24"/>
              </w:rPr>
              <w:t>节点管理与运维：支持节点全生命周期管理，提供节点配置、运行状态监控、日志采集及统一运维操作功能。</w:t>
            </w:r>
          </w:p>
        </w:tc>
        <w:tc>
          <w:tcPr>
            <w:tcW w:w="1342"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color w:val="000000"/>
                <w:highlight w:val="none"/>
                <w:lang w:val="en-US" w:eastAsia="zh-CN"/>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1923"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eastAsia" w:asciiTheme="majorEastAsia" w:hAnsiTheme="majorEastAsia" w:eastAsiaTheme="majorEastAsia" w:cstheme="majorEastAsia"/>
                <w:color w:val="000000"/>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highlight w:val="none"/>
                <w:lang w:val="en-US"/>
              </w:rPr>
            </w:pPr>
            <w:r>
              <w:rPr>
                <w:rFonts w:hint="eastAsia" w:asciiTheme="majorEastAsia" w:hAnsiTheme="majorEastAsia" w:eastAsiaTheme="majorEastAsia" w:cstheme="majorEastAsia"/>
                <w:color w:val="000000"/>
                <w:highlight w:val="none"/>
                <w:lang w:val="en-US"/>
              </w:rPr>
              <w:t>2</w:t>
            </w:r>
          </w:p>
        </w:tc>
        <w:tc>
          <w:tcPr>
            <w:tcW w:w="5015"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left"/>
              <w:rPr>
                <w:rFonts w:hint="eastAsia" w:asciiTheme="majorEastAsia" w:hAnsiTheme="majorEastAsia" w:eastAsiaTheme="majorEastAsia" w:cstheme="majorEastAsia"/>
                <w:color w:val="000000"/>
                <w:highlight w:val="none"/>
                <w:lang w:val="en-US" w:eastAsia="zh-CN"/>
              </w:rPr>
            </w:pPr>
            <w:r>
              <w:rPr>
                <w:rFonts w:ascii="宋体" w:hAnsi="宋体" w:eastAsia="宋体" w:cs="宋体"/>
                <w:sz w:val="24"/>
                <w:szCs w:val="24"/>
              </w:rPr>
              <w:t>模型服务部署：支持在线推理能力，支持大模型的一键部署与快速上线。</w:t>
            </w:r>
          </w:p>
        </w:tc>
        <w:tc>
          <w:tcPr>
            <w:tcW w:w="1342"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color w:val="000000"/>
                <w:highlight w:val="none"/>
                <w:lang w:val="en-US" w:eastAsia="zh-CN"/>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1923"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eastAsia" w:asciiTheme="majorEastAsia" w:hAnsiTheme="majorEastAsia" w:eastAsiaTheme="majorEastAsia" w:cstheme="majorEastAsia"/>
                <w:color w:val="000000"/>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highlight w:val="none"/>
                <w:lang w:val="en-US"/>
              </w:rPr>
            </w:pPr>
            <w:r>
              <w:rPr>
                <w:rFonts w:hint="eastAsia" w:asciiTheme="majorEastAsia" w:hAnsiTheme="majorEastAsia" w:eastAsiaTheme="majorEastAsia" w:cstheme="majorEastAsia"/>
                <w:color w:val="000000"/>
                <w:highlight w:val="none"/>
                <w:lang w:val="en-US"/>
              </w:rPr>
              <w:t>3</w:t>
            </w:r>
          </w:p>
        </w:tc>
        <w:tc>
          <w:tcPr>
            <w:tcW w:w="5015"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left"/>
              <w:rPr>
                <w:rFonts w:hint="eastAsia" w:asciiTheme="majorEastAsia" w:hAnsiTheme="majorEastAsia" w:eastAsiaTheme="majorEastAsia" w:cstheme="majorEastAsia"/>
                <w:color w:val="000000"/>
                <w:highlight w:val="none"/>
                <w:lang w:val="en-US" w:eastAsia="zh-CN"/>
              </w:rPr>
            </w:pPr>
            <w:r>
              <w:rPr>
                <w:rFonts w:ascii="宋体" w:hAnsi="宋体" w:eastAsia="宋体" w:cs="宋体"/>
                <w:sz w:val="24"/>
                <w:szCs w:val="24"/>
              </w:rPr>
              <w:t>模型镜像管理：支持模型、镜像管理功能，集成模型仓库、镜像中心。</w:t>
            </w:r>
          </w:p>
        </w:tc>
        <w:tc>
          <w:tcPr>
            <w:tcW w:w="1342"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color w:val="000000"/>
                <w:highlight w:val="none"/>
                <w:lang w:val="en-US" w:eastAsia="zh-CN"/>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1923"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eastAsia" w:asciiTheme="majorEastAsia" w:hAnsiTheme="majorEastAsia" w:eastAsiaTheme="majorEastAsia" w:cstheme="majorEastAsia"/>
                <w:color w:val="000000"/>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941"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highlight w:val="none"/>
                <w:lang w:val="en-US"/>
              </w:rPr>
            </w:pPr>
            <w:r>
              <w:rPr>
                <w:rFonts w:hint="eastAsia" w:asciiTheme="majorEastAsia" w:hAnsiTheme="majorEastAsia" w:eastAsiaTheme="majorEastAsia" w:cstheme="majorEastAsia"/>
                <w:color w:val="000000"/>
                <w:highlight w:val="none"/>
                <w:lang w:val="en-US"/>
              </w:rPr>
              <w:t>4</w:t>
            </w:r>
          </w:p>
        </w:tc>
        <w:tc>
          <w:tcPr>
            <w:tcW w:w="5015"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ind w:left="0" w:leftChars="0" w:right="0" w:rightChars="0"/>
              <w:jc w:val="left"/>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多机扩展能力：支持构建多机推理服务，通过智能网关实现多副本负载均衡，提升推理服务的并发处理能力。</w:t>
            </w:r>
          </w:p>
        </w:tc>
        <w:tc>
          <w:tcPr>
            <w:tcW w:w="1342" w:type="dxa"/>
            <w:tcBorders>
              <w:top w:val="single" w:color="979A9B" w:sz="6" w:space="0"/>
              <w:left w:val="single" w:color="979A9B" w:sz="6" w:space="0"/>
              <w:bottom w:val="single" w:color="979A9B" w:sz="6" w:space="0"/>
              <w:right w:val="single" w:color="979A9B" w:sz="6" w:space="0"/>
            </w:tcBorders>
            <w:shd w:val="clear" w:color="auto" w:fill="FFFFFF"/>
            <w:vAlign w:val="center"/>
          </w:tcPr>
          <w:p>
            <w:pPr>
              <w:pStyle w:val="74"/>
              <w:widowControl/>
              <w:jc w:val="center"/>
              <w:rPr>
                <w:rFonts w:hint="eastAsia" w:asciiTheme="majorEastAsia" w:hAnsiTheme="majorEastAsia" w:eastAsiaTheme="majorEastAsia" w:cstheme="majorEastAsia"/>
                <w:color w:val="000000"/>
                <w:highlight w:val="none"/>
                <w:lang w:val="en-US" w:eastAsia="zh-CN"/>
              </w:rPr>
            </w:pPr>
            <w:r>
              <w:rPr>
                <w:rFonts w:hint="eastAsia"/>
                <w:color w:val="252527"/>
                <w:highlight w:val="none"/>
                <w:lang w:val="en-US" w:eastAsia="zh-CN"/>
              </w:rPr>
              <w:t>是</w:t>
            </w:r>
            <w:r>
              <w:rPr>
                <w:rFonts w:hint="eastAsia"/>
                <w:color w:val="252527"/>
                <w:highlight w:val="none"/>
                <w:lang w:val="en-US" w:eastAsia="zh-CN"/>
              </w:rPr>
              <w:sym w:font="Wingdings 2" w:char="00A3"/>
            </w:r>
            <w:r>
              <w:rPr>
                <w:rFonts w:hint="eastAsia"/>
                <w:color w:val="252527"/>
                <w:highlight w:val="none"/>
                <w:lang w:val="en-US" w:eastAsia="zh-CN"/>
              </w:rPr>
              <w:t xml:space="preserve"> 否</w:t>
            </w:r>
            <w:r>
              <w:rPr>
                <w:rFonts w:hint="eastAsia"/>
                <w:color w:val="252527"/>
                <w:highlight w:val="none"/>
                <w:lang w:val="en-US" w:eastAsia="zh-CN"/>
              </w:rPr>
              <w:sym w:font="Wingdings 2" w:char="00A3"/>
            </w:r>
          </w:p>
        </w:tc>
        <w:tc>
          <w:tcPr>
            <w:tcW w:w="1923" w:type="dxa"/>
            <w:tcBorders>
              <w:top w:val="single" w:color="979A9B" w:sz="6" w:space="0"/>
              <w:left w:val="single" w:color="979A9B" w:sz="6" w:space="0"/>
              <w:bottom w:val="single" w:color="979A9B" w:sz="6" w:space="0"/>
              <w:right w:val="single" w:color="979A9B" w:sz="6" w:space="0"/>
            </w:tcBorders>
            <w:shd w:val="clear" w:color="auto" w:fill="FFFFFF"/>
            <w:vAlign w:val="top"/>
          </w:tcPr>
          <w:p>
            <w:pPr>
              <w:pStyle w:val="74"/>
              <w:widowControl/>
              <w:jc w:val="center"/>
              <w:rPr>
                <w:rFonts w:hint="eastAsia" w:asciiTheme="majorEastAsia" w:hAnsiTheme="majorEastAsia" w:eastAsiaTheme="majorEastAsia" w:cstheme="majorEastAsia"/>
                <w:color w:val="000000"/>
                <w:highlight w:val="none"/>
                <w:lang w:val="en-US" w:eastAsia="zh-CN"/>
              </w:rPr>
            </w:pPr>
          </w:p>
        </w:tc>
      </w:tr>
    </w:tbl>
    <w:p>
      <w:pPr>
        <w:bidi w:val="0"/>
        <w:rPr>
          <w:rFonts w:hint="eastAsia"/>
          <w:highlight w:val="none"/>
          <w:lang w:val="en-US" w:eastAsia="zh-CN"/>
        </w:rPr>
      </w:pPr>
    </w:p>
    <w:sectPr>
      <w:footerReference r:id="rId5" w:type="default"/>
      <w:pgSz w:w="11907" w:h="16840"/>
      <w:pgMar w:top="1440" w:right="1080" w:bottom="1440" w:left="108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right"/>
    </w:pPr>
    <w:r>
      <w:rPr>
        <w:rFonts w:hint="eastAsia"/>
      </w:rPr>
      <w:t>南网储能公司2026-2029年人工智能</w:t>
    </w:r>
    <w:r>
      <w:rPr>
        <w:rFonts w:hint="eastAsia"/>
        <w:lang w:val="en-US" w:eastAsia="zh-CN"/>
      </w:rPr>
      <w:t>高</w:t>
    </w:r>
    <w:r>
      <w:rPr>
        <w:rFonts w:hint="eastAsia"/>
      </w:rPr>
      <w:t>性能算力资源租赁项目技术规范书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81970"/>
    <w:multiLevelType w:val="multilevel"/>
    <w:tmpl w:val="A5781970"/>
    <w:lvl w:ilvl="0" w:tentative="0">
      <w:start w:val="1"/>
      <w:numFmt w:val="decimal"/>
      <w:lvlText w:val="7.%1"/>
      <w:lvlJc w:val="left"/>
      <w:pPr>
        <w:ind w:left="420" w:hanging="420"/>
      </w:pPr>
      <w:rPr>
        <w:rFonts w:hint="default"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C544D02A"/>
    <w:multiLevelType w:val="singleLevel"/>
    <w:tmpl w:val="C544D02A"/>
    <w:lvl w:ilvl="0" w:tentative="0">
      <w:start w:val="1"/>
      <w:numFmt w:val="decimal"/>
      <w:suff w:val="space"/>
      <w:lvlText w:val="%1."/>
      <w:lvlJc w:val="left"/>
    </w:lvl>
  </w:abstractNum>
  <w:abstractNum w:abstractNumId="2">
    <w:nsid w:val="0000000C"/>
    <w:multiLevelType w:val="multilevel"/>
    <w:tmpl w:val="0000000C"/>
    <w:lvl w:ilvl="0" w:tentative="0">
      <w:start w:val="1"/>
      <w:numFmt w:val="japaneseCounting"/>
      <w:lvlText w:val="%1、"/>
      <w:lvlJc w:val="left"/>
      <w:pPr>
        <w:tabs>
          <w:tab w:val="left" w:pos="851"/>
        </w:tabs>
        <w:ind w:left="851" w:hanging="851"/>
      </w:pPr>
      <w:rPr>
        <w:rFonts w:hint="eastAsia" w:ascii="宋体" w:hAnsi="宋体" w:eastAsia="宋体" w:cs="Times New Roman"/>
      </w:rPr>
    </w:lvl>
    <w:lvl w:ilvl="1" w:tentative="0">
      <w:start w:val="1"/>
      <w:numFmt w:val="decimal"/>
      <w:lvlText w:val="1.%2"/>
      <w:lvlJc w:val="left"/>
      <w:pPr>
        <w:tabs>
          <w:tab w:val="left" w:pos="851"/>
        </w:tabs>
        <w:ind w:left="567" w:hanging="567"/>
      </w:pPr>
      <w:rPr>
        <w:rFonts w:hint="eastAsia"/>
      </w:rPr>
    </w:lvl>
    <w:lvl w:ilvl="2" w:tentative="0">
      <w:start w:val="1"/>
      <w:numFmt w:val="decimal"/>
      <w:lvlText w:val="%1.%2.%3."/>
      <w:lvlJc w:val="left"/>
      <w:pPr>
        <w:tabs>
          <w:tab w:val="left" w:pos="851"/>
        </w:tabs>
        <w:ind w:left="851" w:hanging="851"/>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27"/>
    <w:multiLevelType w:val="multilevel"/>
    <w:tmpl w:val="00000027"/>
    <w:lvl w:ilvl="0" w:tentative="0">
      <w:start w:val="1"/>
      <w:numFmt w:val="decimal"/>
      <w:lvlText w:val="%1"/>
      <w:lvlJc w:val="left"/>
      <w:pPr>
        <w:tabs>
          <w:tab w:val="left" w:pos="432"/>
        </w:tabs>
        <w:ind w:left="432" w:hanging="432"/>
      </w:pPr>
      <w:rPr>
        <w:rFonts w:hint="eastAsia"/>
      </w:rPr>
    </w:lvl>
    <w:lvl w:ilvl="1" w:tentative="0">
      <w:start w:val="1"/>
      <w:numFmt w:val="decimal"/>
      <w:lvlText w:val="6.%2"/>
      <w:lvlJc w:val="left"/>
      <w:pPr>
        <w:tabs>
          <w:tab w:val="left" w:pos="576"/>
        </w:tabs>
        <w:ind w:left="576" w:hanging="576"/>
      </w:pPr>
      <w:rPr>
        <w:rFonts w:hint="eastAsia"/>
        <w:lang w:val="en-US"/>
      </w:rPr>
    </w:lvl>
    <w:lvl w:ilvl="2" w:tentative="0">
      <w:start w:val="1"/>
      <w:numFmt w:val="decimal"/>
      <w:lvlText w:val="%1.%2.%3"/>
      <w:lvlJc w:val="left"/>
      <w:pPr>
        <w:tabs>
          <w:tab w:val="left" w:pos="1004"/>
        </w:tabs>
        <w:ind w:left="1004" w:hanging="720"/>
      </w:pPr>
    </w:lvl>
    <w:lvl w:ilvl="3" w:tentative="0">
      <w:start w:val="1"/>
      <w:numFmt w:val="decimal"/>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27BE69BF"/>
    <w:multiLevelType w:val="multilevel"/>
    <w:tmpl w:val="27BE69BF"/>
    <w:lvl w:ilvl="0" w:tentative="0">
      <w:start w:val="1"/>
      <w:numFmt w:val="japaneseCounting"/>
      <w:lvlText w:val="%1、"/>
      <w:lvlJc w:val="left"/>
      <w:pPr>
        <w:tabs>
          <w:tab w:val="left" w:pos="851"/>
        </w:tabs>
        <w:ind w:left="851" w:hanging="851"/>
      </w:pPr>
      <w:rPr>
        <w:rFonts w:hint="eastAsia" w:ascii="宋体" w:hAnsi="宋体" w:eastAsia="宋体" w:cs="Times New Roman"/>
      </w:rPr>
    </w:lvl>
    <w:lvl w:ilvl="1" w:tentative="0">
      <w:start w:val="1"/>
      <w:numFmt w:val="decimal"/>
      <w:lvlText w:val="2.%2"/>
      <w:lvlJc w:val="left"/>
      <w:pPr>
        <w:tabs>
          <w:tab w:val="left" w:pos="851"/>
        </w:tabs>
        <w:ind w:left="567" w:hanging="567"/>
      </w:pPr>
      <w:rPr>
        <w:rFonts w:hint="eastAsia"/>
      </w:rPr>
    </w:lvl>
    <w:lvl w:ilvl="2" w:tentative="0">
      <w:start w:val="1"/>
      <w:numFmt w:val="decimal"/>
      <w:lvlText w:val="%1.%2.%3."/>
      <w:lvlJc w:val="left"/>
      <w:pPr>
        <w:tabs>
          <w:tab w:val="left" w:pos="851"/>
        </w:tabs>
        <w:ind w:left="851" w:hanging="851"/>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B1BDD9B"/>
    <w:multiLevelType w:val="multilevel"/>
    <w:tmpl w:val="2B1BDD9B"/>
    <w:lvl w:ilvl="0" w:tentative="0">
      <w:start w:val="1"/>
      <w:numFmt w:val="decimal"/>
      <w:lvlText w:val="（%1）"/>
      <w:lvlJc w:val="left"/>
      <w:pPr>
        <w:ind w:left="840" w:hanging="420"/>
      </w:pPr>
      <w:rPr>
        <w:rFonts w:hint="default" w:ascii="Times New Roman" w:hAnsi="Times New Roman"/>
        <w:sz w:val="21"/>
      </w:rPr>
    </w:lvl>
    <w:lvl w:ilvl="1" w:tentative="0">
      <w:start w:val="1"/>
      <w:numFmt w:val="decimal"/>
      <w:suff w:val="space"/>
      <w:lvlText w:val="（%2）"/>
      <w:lvlJc w:val="left"/>
      <w:pPr>
        <w:ind w:left="1260" w:hanging="420"/>
      </w:pPr>
      <w:rPr>
        <w:rFonts w:hint="default" w:ascii="宋体" w:hAnsi="宋体" w:eastAsia="宋体"/>
        <w:sz w:val="24"/>
        <w:szCs w:val="22"/>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2F96F886"/>
    <w:multiLevelType w:val="multilevel"/>
    <w:tmpl w:val="2F96F886"/>
    <w:lvl w:ilvl="0" w:tentative="0">
      <w:start w:val="1"/>
      <w:numFmt w:val="decimal"/>
      <w:lvlText w:val="（%1）"/>
      <w:lvlJc w:val="left"/>
      <w:pPr>
        <w:ind w:left="840" w:hanging="420"/>
      </w:pPr>
      <w:rPr>
        <w:rFonts w:hint="default" w:ascii="Times New Roman" w:hAnsi="Times New Roman"/>
        <w:sz w:val="21"/>
      </w:rPr>
    </w:lvl>
    <w:lvl w:ilvl="1" w:tentative="0">
      <w:start w:val="1"/>
      <w:numFmt w:val="decimal"/>
      <w:suff w:val="space"/>
      <w:lvlText w:val="（%2）"/>
      <w:lvlJc w:val="left"/>
      <w:pPr>
        <w:ind w:left="420" w:hanging="420"/>
      </w:pPr>
      <w:rPr>
        <w:rFonts w:hint="default" w:ascii="宋体" w:hAnsi="宋体" w:eastAsia="宋体"/>
        <w:color w:val="auto"/>
        <w:sz w:val="24"/>
        <w:szCs w:val="22"/>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336203A1"/>
    <w:multiLevelType w:val="multilevel"/>
    <w:tmpl w:val="336203A1"/>
    <w:lvl w:ilvl="0" w:tentative="0">
      <w:start w:val="1"/>
      <w:numFmt w:val="japaneseCounting"/>
      <w:pStyle w:val="65"/>
      <w:lvlText w:val="第%1章"/>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3A5D780"/>
    <w:multiLevelType w:val="singleLevel"/>
    <w:tmpl w:val="43A5D780"/>
    <w:lvl w:ilvl="0" w:tentative="0">
      <w:start w:val="1"/>
      <w:numFmt w:val="decimalEnclosedCircleChinese"/>
      <w:suff w:val="nothing"/>
      <w:lvlText w:val="%1　"/>
      <w:lvlJc w:val="left"/>
      <w:pPr>
        <w:ind w:left="420" w:firstLine="400"/>
      </w:pPr>
      <w:rPr>
        <w:rFonts w:hint="eastAsia"/>
      </w:rPr>
    </w:lvl>
  </w:abstractNum>
  <w:abstractNum w:abstractNumId="9">
    <w:nsid w:val="47434D42"/>
    <w:multiLevelType w:val="singleLevel"/>
    <w:tmpl w:val="47434D42"/>
    <w:lvl w:ilvl="0" w:tentative="0">
      <w:start w:val="1"/>
      <w:numFmt w:val="decimal"/>
      <w:suff w:val="nothing"/>
      <w:lvlText w:val="%1、"/>
      <w:lvlJc w:val="left"/>
    </w:lvl>
  </w:abstractNum>
  <w:abstractNum w:abstractNumId="10">
    <w:nsid w:val="5D53B383"/>
    <w:multiLevelType w:val="multilevel"/>
    <w:tmpl w:val="5D53B383"/>
    <w:lvl w:ilvl="0" w:tentative="0">
      <w:start w:val="1"/>
      <w:numFmt w:val="decimal"/>
      <w:suff w:val="space"/>
      <w:lvlText w:val="6.2.%1"/>
      <w:lvlJc w:val="left"/>
      <w:pPr>
        <w:tabs>
          <w:tab w:val="left" w:pos="0"/>
        </w:tabs>
        <w:ind w:left="42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5FBF6C58"/>
    <w:multiLevelType w:val="multilevel"/>
    <w:tmpl w:val="5FBF6C58"/>
    <w:lvl w:ilvl="0" w:tentative="0">
      <w:start w:val="1"/>
      <w:numFmt w:val="chineseCountingThousand"/>
      <w:lvlText w:val="第%1章"/>
      <w:lvlJc w:val="left"/>
      <w:pPr>
        <w:tabs>
          <w:tab w:val="left" w:pos="432"/>
        </w:tabs>
        <w:ind w:left="0" w:firstLine="0"/>
      </w:pPr>
      <w:rPr>
        <w:rFonts w:hint="default" w:ascii="Times New Roman" w:hAnsi="Times New Roman" w:eastAsia="宋体"/>
        <w:b/>
        <w:i w:val="0"/>
        <w:sz w:val="44"/>
      </w:rPr>
    </w:lvl>
    <w:lvl w:ilvl="1" w:tentative="0">
      <w:start w:val="1"/>
      <w:numFmt w:val="decimal"/>
      <w:pStyle w:val="3"/>
      <w:isLgl/>
      <w:lvlText w:val="%1.%2"/>
      <w:lvlJc w:val="left"/>
      <w:pPr>
        <w:tabs>
          <w:tab w:val="left" w:pos="432"/>
        </w:tabs>
        <w:ind w:left="0" w:firstLine="0"/>
      </w:pPr>
      <w:rPr>
        <w:rFonts w:hint="default" w:ascii="Times New Roman" w:hAnsi="Times New Roman" w:eastAsia="宋体"/>
        <w:b/>
        <w:i w:val="0"/>
        <w:sz w:val="36"/>
        <w:lang w:val="en-US"/>
      </w:rPr>
    </w:lvl>
    <w:lvl w:ilvl="2" w:tentative="0">
      <w:start w:val="1"/>
      <w:numFmt w:val="decimal"/>
      <w:pStyle w:val="4"/>
      <w:isLgl/>
      <w:lvlText w:val="%1.%2.%3"/>
      <w:lvlJc w:val="left"/>
      <w:pPr>
        <w:tabs>
          <w:tab w:val="left" w:pos="432"/>
        </w:tabs>
        <w:ind w:left="0" w:firstLine="0"/>
      </w:pPr>
      <w:rPr>
        <w:rFonts w:hint="default" w:ascii="Times New Roman" w:hAnsi="Times New Roman" w:eastAsia="宋体"/>
        <w:b/>
        <w:i w:val="0"/>
        <w:sz w:val="32"/>
      </w:rPr>
    </w:lvl>
    <w:lvl w:ilvl="3" w:tentative="0">
      <w:start w:val="1"/>
      <w:numFmt w:val="decimal"/>
      <w:pStyle w:val="5"/>
      <w:isLgl/>
      <w:lvlText w:val="%1.%2.%3.%4"/>
      <w:lvlJc w:val="left"/>
      <w:pPr>
        <w:tabs>
          <w:tab w:val="left" w:pos="432"/>
        </w:tabs>
        <w:ind w:left="0" w:firstLine="0"/>
      </w:pPr>
      <w:rPr>
        <w:rFonts w:hint="default" w:ascii="Times New Roman" w:hAnsi="Times New Roman" w:eastAsia="宋体"/>
        <w:b/>
        <w:i w:val="0"/>
        <w:sz w:val="30"/>
      </w:rPr>
    </w:lvl>
    <w:lvl w:ilvl="4" w:tentative="0">
      <w:start w:val="1"/>
      <w:numFmt w:val="decimal"/>
      <w:lvlText w:val="%1.%2.%3.%4.%5"/>
      <w:lvlJc w:val="left"/>
      <w:pPr>
        <w:tabs>
          <w:tab w:val="left" w:pos="432"/>
        </w:tabs>
        <w:ind w:left="0" w:firstLine="0"/>
      </w:pPr>
      <w:rPr>
        <w:rFonts w:hint="eastAsia"/>
      </w:rPr>
    </w:lvl>
    <w:lvl w:ilvl="5" w:tentative="0">
      <w:start w:val="1"/>
      <w:numFmt w:val="decimal"/>
      <w:lvlText w:val="%1.%2.%3.%4.%5.%6"/>
      <w:lvlJc w:val="left"/>
      <w:pPr>
        <w:tabs>
          <w:tab w:val="left" w:pos="432"/>
        </w:tabs>
        <w:ind w:left="0" w:firstLine="0"/>
      </w:pPr>
      <w:rPr>
        <w:rFonts w:hint="eastAsia"/>
      </w:rPr>
    </w:lvl>
    <w:lvl w:ilvl="6" w:tentative="0">
      <w:start w:val="1"/>
      <w:numFmt w:val="decimal"/>
      <w:lvlText w:val="%1.%2.%3.%4.%5.%6.%7"/>
      <w:lvlJc w:val="left"/>
      <w:pPr>
        <w:tabs>
          <w:tab w:val="left" w:pos="432"/>
        </w:tabs>
        <w:ind w:left="0" w:firstLine="0"/>
      </w:pPr>
      <w:rPr>
        <w:rFonts w:hint="eastAsia"/>
      </w:rPr>
    </w:lvl>
    <w:lvl w:ilvl="7" w:tentative="0">
      <w:start w:val="1"/>
      <w:numFmt w:val="decimal"/>
      <w:lvlText w:val="%1.%2.%3.%4.%5.%6.%7.%8"/>
      <w:lvlJc w:val="left"/>
      <w:pPr>
        <w:tabs>
          <w:tab w:val="left" w:pos="432"/>
        </w:tabs>
        <w:ind w:left="0" w:firstLine="0"/>
      </w:pPr>
      <w:rPr>
        <w:rFonts w:hint="eastAsia"/>
      </w:rPr>
    </w:lvl>
    <w:lvl w:ilvl="8" w:tentative="0">
      <w:start w:val="1"/>
      <w:numFmt w:val="decimal"/>
      <w:lvlText w:val="%1.%2.%3.%4.%5.%6.%7.%8.%9"/>
      <w:lvlJc w:val="left"/>
      <w:pPr>
        <w:tabs>
          <w:tab w:val="left" w:pos="432"/>
        </w:tabs>
        <w:ind w:left="0" w:firstLine="0"/>
      </w:pPr>
      <w:rPr>
        <w:rFonts w:hint="eastAsia"/>
      </w:rPr>
    </w:lvl>
  </w:abstractNum>
  <w:abstractNum w:abstractNumId="12">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40"/>
      <w:lvlText w:val="%1%2"/>
      <w:lvlJc w:val="left"/>
      <w:pPr>
        <w:tabs>
          <w:tab w:val="left" w:pos="360"/>
        </w:tabs>
        <w:ind w:left="0" w:firstLine="0"/>
      </w:pPr>
      <w:rPr>
        <w:rFonts w:hint="eastAsia" w:ascii="黑体" w:hAnsi="Times New Roman" w:eastAsia="黑体"/>
        <w:b/>
        <w:i w:val="0"/>
        <w:sz w:val="21"/>
        <w:szCs w:val="21"/>
      </w:rPr>
    </w:lvl>
    <w:lvl w:ilvl="2" w:tentative="0">
      <w:start w:val="1"/>
      <w:numFmt w:val="decimal"/>
      <w:pStyle w:val="43"/>
      <w:lvlText w:val="4.%3"/>
      <w:lvlJc w:val="left"/>
      <w:pPr>
        <w:tabs>
          <w:tab w:val="left" w:pos="720"/>
        </w:tabs>
        <w:ind w:left="0" w:firstLine="0"/>
      </w:pPr>
      <w:rPr>
        <w:rFonts w:hint="eastAsia"/>
        <w:b/>
        <w:i w:val="0"/>
        <w:color w:val="auto"/>
        <w:sz w:val="21"/>
      </w:rPr>
    </w:lvl>
    <w:lvl w:ilvl="3" w:tentative="0">
      <w:start w:val="1"/>
      <w:numFmt w:val="decimal"/>
      <w:lvlText w:val="%1%2.%3.%4"/>
      <w:lvlJc w:val="left"/>
      <w:pPr>
        <w:tabs>
          <w:tab w:val="left" w:pos="720"/>
        </w:tabs>
        <w:ind w:left="0" w:firstLine="0"/>
      </w:pPr>
      <w:rPr>
        <w:rFonts w:hint="eastAsia" w:ascii="黑体" w:hAnsi="Times New Roman" w:eastAsia="黑体"/>
        <w:b w:val="0"/>
        <w:i w:val="0"/>
        <w:color w:val="auto"/>
        <w:sz w:val="21"/>
      </w:rPr>
    </w:lvl>
    <w:lvl w:ilvl="4" w:tentative="0">
      <w:start w:val="1"/>
      <w:numFmt w:val="decimal"/>
      <w:pStyle w:val="47"/>
      <w:lvlText w:val="%2.%3.%4.%5"/>
      <w:lvlJc w:val="left"/>
      <w:pPr>
        <w:tabs>
          <w:tab w:val="left" w:pos="1080"/>
        </w:tabs>
        <w:ind w:left="0" w:firstLine="0"/>
      </w:pPr>
      <w:rPr>
        <w:rFonts w:hint="eastAsia" w:ascii="黑体" w:hAnsi="Times New Roman" w:eastAsia="黑体"/>
        <w:b w:val="0"/>
        <w:i w:val="0"/>
        <w:sz w:val="21"/>
      </w:rPr>
    </w:lvl>
    <w:lvl w:ilvl="5" w:tentative="0">
      <w:start w:val="1"/>
      <w:numFmt w:val="decimal"/>
      <w:pStyle w:val="39"/>
      <w:lvlText w:val="%2.%3.%4.%5.%6"/>
      <w:lvlJc w:val="left"/>
      <w:pPr>
        <w:tabs>
          <w:tab w:val="left" w:pos="1021"/>
        </w:tabs>
        <w:ind w:left="1021" w:hanging="1021"/>
      </w:pPr>
      <w:rPr>
        <w:rFonts w:hint="eastAsia" w:ascii="黑体" w:hAnsi="Times New Roman" w:eastAsia="黑体"/>
        <w:b w:val="0"/>
        <w:i w:val="0"/>
        <w:sz w:val="21"/>
      </w:rPr>
    </w:lvl>
    <w:lvl w:ilvl="6" w:tentative="0">
      <w:start w:val="1"/>
      <w:numFmt w:val="decimal"/>
      <w:lvlRestart w:val="5"/>
      <w:pStyle w:val="46"/>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13">
    <w:nsid w:val="665963C2"/>
    <w:multiLevelType w:val="multilevel"/>
    <w:tmpl w:val="665963C2"/>
    <w:lvl w:ilvl="0" w:tentative="0">
      <w:start w:val="1"/>
      <w:numFmt w:val="decimal"/>
      <w:lvlText w:val="（%1）"/>
      <w:lvlJc w:val="left"/>
      <w:pPr>
        <w:ind w:left="840" w:hanging="420"/>
      </w:pPr>
      <w:rPr>
        <w:rFonts w:hint="default" w:ascii="Times New Roman" w:hAnsi="Times New Roman"/>
        <w:sz w:val="21"/>
      </w:rPr>
    </w:lvl>
    <w:lvl w:ilvl="1" w:tentative="0">
      <w:start w:val="1"/>
      <w:numFmt w:val="decimal"/>
      <w:suff w:val="space"/>
      <w:lvlText w:val="（%2）"/>
      <w:lvlJc w:val="left"/>
      <w:pPr>
        <w:ind w:left="420" w:hanging="420"/>
      </w:pPr>
      <w:rPr>
        <w:rFonts w:hint="default" w:ascii="宋体" w:hAnsi="宋体" w:eastAsia="宋体"/>
        <w:color w:val="auto"/>
        <w:sz w:val="24"/>
        <w:szCs w:val="22"/>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724200C4"/>
    <w:multiLevelType w:val="singleLevel"/>
    <w:tmpl w:val="724200C4"/>
    <w:lvl w:ilvl="0" w:tentative="0">
      <w:start w:val="4"/>
      <w:numFmt w:val="chineseCounting"/>
      <w:suff w:val="nothing"/>
      <w:lvlText w:val="%1、"/>
      <w:lvlJc w:val="left"/>
      <w:rPr>
        <w:rFonts w:hint="eastAsia"/>
      </w:rPr>
    </w:lvl>
  </w:abstractNum>
  <w:abstractNum w:abstractNumId="15">
    <w:nsid w:val="7FDC713F"/>
    <w:multiLevelType w:val="multilevel"/>
    <w:tmpl w:val="7FDC713F"/>
    <w:lvl w:ilvl="0" w:tentative="0">
      <w:start w:val="1"/>
      <w:numFmt w:val="decimal"/>
      <w:lvlText w:val="3.%1"/>
      <w:lvlJc w:val="left"/>
      <w:pPr>
        <w:ind w:left="842" w:hanging="420"/>
      </w:pPr>
      <w:rPr>
        <w:rFonts w:hint="eastAsia" w:ascii="宋体" w:hAnsi="宋体" w:eastAsia="宋体"/>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num w:numId="1">
    <w:abstractNumId w:val="11"/>
  </w:num>
  <w:num w:numId="2">
    <w:abstractNumId w:val="3"/>
  </w:num>
  <w:num w:numId="3">
    <w:abstractNumId w:val="12"/>
  </w:num>
  <w:num w:numId="4">
    <w:abstractNumId w:val="7"/>
  </w:num>
  <w:num w:numId="5">
    <w:abstractNumId w:val="2"/>
  </w:num>
  <w:num w:numId="6">
    <w:abstractNumId w:val="4"/>
  </w:num>
  <w:num w:numId="7">
    <w:abstractNumId w:val="15"/>
  </w:num>
  <w:num w:numId="8">
    <w:abstractNumId w:val="14"/>
  </w:num>
  <w:num w:numId="9">
    <w:abstractNumId w:val="1"/>
  </w:num>
  <w:num w:numId="10">
    <w:abstractNumId w:val="10"/>
  </w:num>
  <w:num w:numId="11">
    <w:abstractNumId w:val="9"/>
  </w:num>
  <w:num w:numId="12">
    <w:abstractNumId w:val="0"/>
  </w:num>
  <w:num w:numId="13">
    <w:abstractNumId w:val="5"/>
  </w:num>
  <w:num w:numId="14">
    <w:abstractNumId w:val="13"/>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2NjRkYjJlZGI1OWY2MmJhNzdkNGZkZWQ5NWZmYzAifQ=="/>
  </w:docVars>
  <w:rsids>
    <w:rsidRoot w:val="001604DF"/>
    <w:rsid w:val="00001A48"/>
    <w:rsid w:val="0000373D"/>
    <w:rsid w:val="0000468A"/>
    <w:rsid w:val="000125D4"/>
    <w:rsid w:val="000135AC"/>
    <w:rsid w:val="00013B4C"/>
    <w:rsid w:val="00016746"/>
    <w:rsid w:val="000170A9"/>
    <w:rsid w:val="00024D0C"/>
    <w:rsid w:val="00030704"/>
    <w:rsid w:val="00042150"/>
    <w:rsid w:val="00046215"/>
    <w:rsid w:val="00046A85"/>
    <w:rsid w:val="00050083"/>
    <w:rsid w:val="000527B7"/>
    <w:rsid w:val="00057DF5"/>
    <w:rsid w:val="000617D5"/>
    <w:rsid w:val="00064F72"/>
    <w:rsid w:val="000653BC"/>
    <w:rsid w:val="00066E0A"/>
    <w:rsid w:val="00066EBC"/>
    <w:rsid w:val="00070D0E"/>
    <w:rsid w:val="0007148E"/>
    <w:rsid w:val="00071F06"/>
    <w:rsid w:val="00071F8D"/>
    <w:rsid w:val="00080009"/>
    <w:rsid w:val="00085F2C"/>
    <w:rsid w:val="00087850"/>
    <w:rsid w:val="00087960"/>
    <w:rsid w:val="00091E46"/>
    <w:rsid w:val="00096405"/>
    <w:rsid w:val="000A14C5"/>
    <w:rsid w:val="000A4623"/>
    <w:rsid w:val="000A61E6"/>
    <w:rsid w:val="000B4773"/>
    <w:rsid w:val="000B53E9"/>
    <w:rsid w:val="000C2E6D"/>
    <w:rsid w:val="000D4F2B"/>
    <w:rsid w:val="000E179A"/>
    <w:rsid w:val="000E264A"/>
    <w:rsid w:val="000E7B1F"/>
    <w:rsid w:val="000F0701"/>
    <w:rsid w:val="000F1360"/>
    <w:rsid w:val="000F150E"/>
    <w:rsid w:val="000F340D"/>
    <w:rsid w:val="000F3D8D"/>
    <w:rsid w:val="000F5292"/>
    <w:rsid w:val="000F5B3C"/>
    <w:rsid w:val="000F6F19"/>
    <w:rsid w:val="000F70D6"/>
    <w:rsid w:val="000F7746"/>
    <w:rsid w:val="00102DE0"/>
    <w:rsid w:val="00104421"/>
    <w:rsid w:val="001067D6"/>
    <w:rsid w:val="0010714A"/>
    <w:rsid w:val="00107F86"/>
    <w:rsid w:val="00107FBC"/>
    <w:rsid w:val="00110F6B"/>
    <w:rsid w:val="00113F00"/>
    <w:rsid w:val="00113FC3"/>
    <w:rsid w:val="00115674"/>
    <w:rsid w:val="00117E95"/>
    <w:rsid w:val="001212E3"/>
    <w:rsid w:val="00125B66"/>
    <w:rsid w:val="001277F0"/>
    <w:rsid w:val="00131AF7"/>
    <w:rsid w:val="00132538"/>
    <w:rsid w:val="0013455B"/>
    <w:rsid w:val="00134F31"/>
    <w:rsid w:val="00147818"/>
    <w:rsid w:val="00147FA8"/>
    <w:rsid w:val="00151750"/>
    <w:rsid w:val="00156FE1"/>
    <w:rsid w:val="0016028A"/>
    <w:rsid w:val="001604DF"/>
    <w:rsid w:val="00161A53"/>
    <w:rsid w:val="001637E8"/>
    <w:rsid w:val="001677C8"/>
    <w:rsid w:val="001707B2"/>
    <w:rsid w:val="00171BB8"/>
    <w:rsid w:val="00172801"/>
    <w:rsid w:val="00173DDB"/>
    <w:rsid w:val="001747B4"/>
    <w:rsid w:val="00175BD8"/>
    <w:rsid w:val="0017756C"/>
    <w:rsid w:val="00182495"/>
    <w:rsid w:val="00186C11"/>
    <w:rsid w:val="00186D23"/>
    <w:rsid w:val="00191ECD"/>
    <w:rsid w:val="001953B9"/>
    <w:rsid w:val="00195574"/>
    <w:rsid w:val="00196351"/>
    <w:rsid w:val="00196BF4"/>
    <w:rsid w:val="0019764F"/>
    <w:rsid w:val="001A0732"/>
    <w:rsid w:val="001A3EB0"/>
    <w:rsid w:val="001A422C"/>
    <w:rsid w:val="001B6C54"/>
    <w:rsid w:val="001C07B9"/>
    <w:rsid w:val="001C2B26"/>
    <w:rsid w:val="001C6DCC"/>
    <w:rsid w:val="001D1FBB"/>
    <w:rsid w:val="001E1A37"/>
    <w:rsid w:val="001E6C7E"/>
    <w:rsid w:val="001F2DA5"/>
    <w:rsid w:val="001F3E2C"/>
    <w:rsid w:val="001F462B"/>
    <w:rsid w:val="001F75CB"/>
    <w:rsid w:val="001F7FD2"/>
    <w:rsid w:val="002044E4"/>
    <w:rsid w:val="00212603"/>
    <w:rsid w:val="0021273E"/>
    <w:rsid w:val="002170AF"/>
    <w:rsid w:val="00220133"/>
    <w:rsid w:val="00221BEB"/>
    <w:rsid w:val="00224918"/>
    <w:rsid w:val="00230A89"/>
    <w:rsid w:val="00233116"/>
    <w:rsid w:val="0023554A"/>
    <w:rsid w:val="002419A1"/>
    <w:rsid w:val="002500BF"/>
    <w:rsid w:val="00250761"/>
    <w:rsid w:val="002508CA"/>
    <w:rsid w:val="00251952"/>
    <w:rsid w:val="0025702A"/>
    <w:rsid w:val="002603C7"/>
    <w:rsid w:val="002625AF"/>
    <w:rsid w:val="00263BF4"/>
    <w:rsid w:val="002655F2"/>
    <w:rsid w:val="00267851"/>
    <w:rsid w:val="00276A8F"/>
    <w:rsid w:val="00277BF7"/>
    <w:rsid w:val="00281306"/>
    <w:rsid w:val="00281EC3"/>
    <w:rsid w:val="0028403F"/>
    <w:rsid w:val="00284942"/>
    <w:rsid w:val="00284CE1"/>
    <w:rsid w:val="0028542D"/>
    <w:rsid w:val="00285F32"/>
    <w:rsid w:val="00292975"/>
    <w:rsid w:val="00293116"/>
    <w:rsid w:val="00296581"/>
    <w:rsid w:val="002A1F66"/>
    <w:rsid w:val="002A3525"/>
    <w:rsid w:val="002A46B3"/>
    <w:rsid w:val="002B2B22"/>
    <w:rsid w:val="002B68DF"/>
    <w:rsid w:val="002C59DB"/>
    <w:rsid w:val="002C6E89"/>
    <w:rsid w:val="002C7368"/>
    <w:rsid w:val="002D4922"/>
    <w:rsid w:val="002D7DDC"/>
    <w:rsid w:val="002E0278"/>
    <w:rsid w:val="002E6CAF"/>
    <w:rsid w:val="002F4C93"/>
    <w:rsid w:val="002F770A"/>
    <w:rsid w:val="0031078B"/>
    <w:rsid w:val="00311137"/>
    <w:rsid w:val="00311C19"/>
    <w:rsid w:val="00313260"/>
    <w:rsid w:val="00314F32"/>
    <w:rsid w:val="00317737"/>
    <w:rsid w:val="00324395"/>
    <w:rsid w:val="00324A83"/>
    <w:rsid w:val="00327D1D"/>
    <w:rsid w:val="00335CA4"/>
    <w:rsid w:val="00340311"/>
    <w:rsid w:val="00342053"/>
    <w:rsid w:val="003443E5"/>
    <w:rsid w:val="00345868"/>
    <w:rsid w:val="003474D9"/>
    <w:rsid w:val="0035167A"/>
    <w:rsid w:val="00353304"/>
    <w:rsid w:val="003553CE"/>
    <w:rsid w:val="00363A4F"/>
    <w:rsid w:val="00365799"/>
    <w:rsid w:val="00366539"/>
    <w:rsid w:val="00367DE3"/>
    <w:rsid w:val="003702A9"/>
    <w:rsid w:val="00371622"/>
    <w:rsid w:val="00374740"/>
    <w:rsid w:val="0037620E"/>
    <w:rsid w:val="0037681D"/>
    <w:rsid w:val="0038145A"/>
    <w:rsid w:val="00382661"/>
    <w:rsid w:val="003902FF"/>
    <w:rsid w:val="00390726"/>
    <w:rsid w:val="003919F5"/>
    <w:rsid w:val="00392861"/>
    <w:rsid w:val="00392C4F"/>
    <w:rsid w:val="00392EE1"/>
    <w:rsid w:val="0039371D"/>
    <w:rsid w:val="003A1071"/>
    <w:rsid w:val="003A2B46"/>
    <w:rsid w:val="003A2CD8"/>
    <w:rsid w:val="003A5A28"/>
    <w:rsid w:val="003A6EC0"/>
    <w:rsid w:val="003B3093"/>
    <w:rsid w:val="003B44DF"/>
    <w:rsid w:val="003B4D58"/>
    <w:rsid w:val="003C2582"/>
    <w:rsid w:val="003C3111"/>
    <w:rsid w:val="003D06D1"/>
    <w:rsid w:val="003D3C73"/>
    <w:rsid w:val="003E3D5E"/>
    <w:rsid w:val="003E4029"/>
    <w:rsid w:val="003F23CE"/>
    <w:rsid w:val="003F2693"/>
    <w:rsid w:val="003F4B6E"/>
    <w:rsid w:val="003F5E6E"/>
    <w:rsid w:val="003F6320"/>
    <w:rsid w:val="003F65F7"/>
    <w:rsid w:val="003F6EF8"/>
    <w:rsid w:val="00400F6A"/>
    <w:rsid w:val="004044B3"/>
    <w:rsid w:val="00405D5D"/>
    <w:rsid w:val="00407245"/>
    <w:rsid w:val="00412A09"/>
    <w:rsid w:val="00416D4A"/>
    <w:rsid w:val="00423859"/>
    <w:rsid w:val="00424313"/>
    <w:rsid w:val="004269C1"/>
    <w:rsid w:val="004277C9"/>
    <w:rsid w:val="00430244"/>
    <w:rsid w:val="004317BD"/>
    <w:rsid w:val="0044452E"/>
    <w:rsid w:val="00447255"/>
    <w:rsid w:val="004503BE"/>
    <w:rsid w:val="004568EF"/>
    <w:rsid w:val="0046169B"/>
    <w:rsid w:val="00461DB2"/>
    <w:rsid w:val="00461E56"/>
    <w:rsid w:val="004624AA"/>
    <w:rsid w:val="00466C3A"/>
    <w:rsid w:val="004677E5"/>
    <w:rsid w:val="004739DA"/>
    <w:rsid w:val="0047751E"/>
    <w:rsid w:val="004775CB"/>
    <w:rsid w:val="004920A4"/>
    <w:rsid w:val="00492C13"/>
    <w:rsid w:val="00493EAD"/>
    <w:rsid w:val="00495ADA"/>
    <w:rsid w:val="00497920"/>
    <w:rsid w:val="00497B19"/>
    <w:rsid w:val="004A32F9"/>
    <w:rsid w:val="004A62F4"/>
    <w:rsid w:val="004B6788"/>
    <w:rsid w:val="004C7BE9"/>
    <w:rsid w:val="004D17BE"/>
    <w:rsid w:val="004D4083"/>
    <w:rsid w:val="004D6906"/>
    <w:rsid w:val="004D7380"/>
    <w:rsid w:val="004E4BD2"/>
    <w:rsid w:val="004E7A5E"/>
    <w:rsid w:val="004F2BCA"/>
    <w:rsid w:val="004F4930"/>
    <w:rsid w:val="004F5376"/>
    <w:rsid w:val="004F635B"/>
    <w:rsid w:val="004F6658"/>
    <w:rsid w:val="004F6992"/>
    <w:rsid w:val="0050158A"/>
    <w:rsid w:val="00512B4C"/>
    <w:rsid w:val="00514BC0"/>
    <w:rsid w:val="00522637"/>
    <w:rsid w:val="00526618"/>
    <w:rsid w:val="00532F4D"/>
    <w:rsid w:val="00535E2C"/>
    <w:rsid w:val="00536066"/>
    <w:rsid w:val="00542019"/>
    <w:rsid w:val="00542C7B"/>
    <w:rsid w:val="00543297"/>
    <w:rsid w:val="00543E9A"/>
    <w:rsid w:val="00545A83"/>
    <w:rsid w:val="00551337"/>
    <w:rsid w:val="00552E76"/>
    <w:rsid w:val="005530E3"/>
    <w:rsid w:val="0055363F"/>
    <w:rsid w:val="00554C82"/>
    <w:rsid w:val="005578D5"/>
    <w:rsid w:val="005578D7"/>
    <w:rsid w:val="00561922"/>
    <w:rsid w:val="00564EC9"/>
    <w:rsid w:val="005759A0"/>
    <w:rsid w:val="00576E79"/>
    <w:rsid w:val="00582F82"/>
    <w:rsid w:val="0058331A"/>
    <w:rsid w:val="00585F23"/>
    <w:rsid w:val="00586F3F"/>
    <w:rsid w:val="005920F3"/>
    <w:rsid w:val="00594B81"/>
    <w:rsid w:val="005A08DF"/>
    <w:rsid w:val="005A1686"/>
    <w:rsid w:val="005A4341"/>
    <w:rsid w:val="005A4994"/>
    <w:rsid w:val="005A5ED5"/>
    <w:rsid w:val="005B08FD"/>
    <w:rsid w:val="005B356D"/>
    <w:rsid w:val="005B43C1"/>
    <w:rsid w:val="005C1622"/>
    <w:rsid w:val="005C356F"/>
    <w:rsid w:val="005C4B35"/>
    <w:rsid w:val="005D06F7"/>
    <w:rsid w:val="005D0755"/>
    <w:rsid w:val="005D07D1"/>
    <w:rsid w:val="005D396B"/>
    <w:rsid w:val="005D4B39"/>
    <w:rsid w:val="005D72AD"/>
    <w:rsid w:val="005D769A"/>
    <w:rsid w:val="005E103D"/>
    <w:rsid w:val="005E666B"/>
    <w:rsid w:val="005E6D3A"/>
    <w:rsid w:val="005F2238"/>
    <w:rsid w:val="005F53ED"/>
    <w:rsid w:val="005F5A57"/>
    <w:rsid w:val="005F73D7"/>
    <w:rsid w:val="006016D0"/>
    <w:rsid w:val="00605D42"/>
    <w:rsid w:val="00606ED7"/>
    <w:rsid w:val="0061600B"/>
    <w:rsid w:val="006162E3"/>
    <w:rsid w:val="006162F1"/>
    <w:rsid w:val="00620C31"/>
    <w:rsid w:val="006269F7"/>
    <w:rsid w:val="00630113"/>
    <w:rsid w:val="0063175F"/>
    <w:rsid w:val="00631B7B"/>
    <w:rsid w:val="00632182"/>
    <w:rsid w:val="00633B04"/>
    <w:rsid w:val="00640263"/>
    <w:rsid w:val="00645C08"/>
    <w:rsid w:val="006478CE"/>
    <w:rsid w:val="00653C6A"/>
    <w:rsid w:val="00655507"/>
    <w:rsid w:val="0066063D"/>
    <w:rsid w:val="00660AAB"/>
    <w:rsid w:val="006615FC"/>
    <w:rsid w:val="00672FE0"/>
    <w:rsid w:val="0067482C"/>
    <w:rsid w:val="006756ED"/>
    <w:rsid w:val="0067696E"/>
    <w:rsid w:val="00681332"/>
    <w:rsid w:val="00692970"/>
    <w:rsid w:val="00693A7B"/>
    <w:rsid w:val="00696163"/>
    <w:rsid w:val="006969E9"/>
    <w:rsid w:val="006B44E6"/>
    <w:rsid w:val="006B4BA2"/>
    <w:rsid w:val="006C65DF"/>
    <w:rsid w:val="006C67DE"/>
    <w:rsid w:val="006C735D"/>
    <w:rsid w:val="006D6C3B"/>
    <w:rsid w:val="006D6D2F"/>
    <w:rsid w:val="006D7C41"/>
    <w:rsid w:val="006E0D76"/>
    <w:rsid w:val="006E46AB"/>
    <w:rsid w:val="006F1871"/>
    <w:rsid w:val="006F71D1"/>
    <w:rsid w:val="00712F31"/>
    <w:rsid w:val="007204F5"/>
    <w:rsid w:val="0072520E"/>
    <w:rsid w:val="00734F7E"/>
    <w:rsid w:val="00741F2B"/>
    <w:rsid w:val="00743111"/>
    <w:rsid w:val="00743442"/>
    <w:rsid w:val="00747517"/>
    <w:rsid w:val="007478AC"/>
    <w:rsid w:val="00751237"/>
    <w:rsid w:val="00755654"/>
    <w:rsid w:val="007579AC"/>
    <w:rsid w:val="00757B02"/>
    <w:rsid w:val="007603C4"/>
    <w:rsid w:val="00762D6A"/>
    <w:rsid w:val="007676B8"/>
    <w:rsid w:val="00772CC5"/>
    <w:rsid w:val="007733E4"/>
    <w:rsid w:val="00774305"/>
    <w:rsid w:val="00781F78"/>
    <w:rsid w:val="00783394"/>
    <w:rsid w:val="00784C33"/>
    <w:rsid w:val="00786FDA"/>
    <w:rsid w:val="00793CCB"/>
    <w:rsid w:val="007A1E05"/>
    <w:rsid w:val="007A2E90"/>
    <w:rsid w:val="007A5BD9"/>
    <w:rsid w:val="007A5F4F"/>
    <w:rsid w:val="007B37E3"/>
    <w:rsid w:val="007B3BC4"/>
    <w:rsid w:val="007B59B3"/>
    <w:rsid w:val="007B69E0"/>
    <w:rsid w:val="007C08B5"/>
    <w:rsid w:val="007C1104"/>
    <w:rsid w:val="007C2C3E"/>
    <w:rsid w:val="007C7028"/>
    <w:rsid w:val="007D08A5"/>
    <w:rsid w:val="007D3E9F"/>
    <w:rsid w:val="007D4FD2"/>
    <w:rsid w:val="007E39DD"/>
    <w:rsid w:val="007E4190"/>
    <w:rsid w:val="007E747D"/>
    <w:rsid w:val="007F0611"/>
    <w:rsid w:val="007F7095"/>
    <w:rsid w:val="00804058"/>
    <w:rsid w:val="00811767"/>
    <w:rsid w:val="008121DB"/>
    <w:rsid w:val="008133F4"/>
    <w:rsid w:val="00816D32"/>
    <w:rsid w:val="008171E1"/>
    <w:rsid w:val="0082197B"/>
    <w:rsid w:val="00831720"/>
    <w:rsid w:val="0083256D"/>
    <w:rsid w:val="0083440C"/>
    <w:rsid w:val="00840A73"/>
    <w:rsid w:val="00842137"/>
    <w:rsid w:val="00842F19"/>
    <w:rsid w:val="00846618"/>
    <w:rsid w:val="0085027B"/>
    <w:rsid w:val="00850DF2"/>
    <w:rsid w:val="00851A7F"/>
    <w:rsid w:val="008579C4"/>
    <w:rsid w:val="00870C6B"/>
    <w:rsid w:val="00875E05"/>
    <w:rsid w:val="00877366"/>
    <w:rsid w:val="0088061D"/>
    <w:rsid w:val="0088288A"/>
    <w:rsid w:val="00885C1B"/>
    <w:rsid w:val="00886022"/>
    <w:rsid w:val="008903A8"/>
    <w:rsid w:val="00892692"/>
    <w:rsid w:val="00892AB1"/>
    <w:rsid w:val="00892AB5"/>
    <w:rsid w:val="00893964"/>
    <w:rsid w:val="00894F18"/>
    <w:rsid w:val="008973AB"/>
    <w:rsid w:val="008A3FE2"/>
    <w:rsid w:val="008B44B5"/>
    <w:rsid w:val="008B5310"/>
    <w:rsid w:val="008B5344"/>
    <w:rsid w:val="008B7DE7"/>
    <w:rsid w:val="008C06BA"/>
    <w:rsid w:val="008C1933"/>
    <w:rsid w:val="008C35C6"/>
    <w:rsid w:val="008C5AF2"/>
    <w:rsid w:val="008D38D0"/>
    <w:rsid w:val="008E068A"/>
    <w:rsid w:val="008E7BE2"/>
    <w:rsid w:val="008E7F6F"/>
    <w:rsid w:val="008F0B34"/>
    <w:rsid w:val="008F18D0"/>
    <w:rsid w:val="008F340B"/>
    <w:rsid w:val="008F4FD9"/>
    <w:rsid w:val="008F5B50"/>
    <w:rsid w:val="008F621F"/>
    <w:rsid w:val="008F64FC"/>
    <w:rsid w:val="008F68D3"/>
    <w:rsid w:val="009124C4"/>
    <w:rsid w:val="00913461"/>
    <w:rsid w:val="00914DB4"/>
    <w:rsid w:val="00915C58"/>
    <w:rsid w:val="009201E3"/>
    <w:rsid w:val="009224FE"/>
    <w:rsid w:val="0092473E"/>
    <w:rsid w:val="00931256"/>
    <w:rsid w:val="00932B9B"/>
    <w:rsid w:val="00936B18"/>
    <w:rsid w:val="009379D8"/>
    <w:rsid w:val="00940E41"/>
    <w:rsid w:val="00942B12"/>
    <w:rsid w:val="0094309A"/>
    <w:rsid w:val="00957151"/>
    <w:rsid w:val="00962016"/>
    <w:rsid w:val="00963E5C"/>
    <w:rsid w:val="0097210D"/>
    <w:rsid w:val="00974CCC"/>
    <w:rsid w:val="0097646E"/>
    <w:rsid w:val="0098157E"/>
    <w:rsid w:val="00990232"/>
    <w:rsid w:val="00992A08"/>
    <w:rsid w:val="00996584"/>
    <w:rsid w:val="00997D77"/>
    <w:rsid w:val="009A132C"/>
    <w:rsid w:val="009A26E2"/>
    <w:rsid w:val="009A2BA3"/>
    <w:rsid w:val="009B187A"/>
    <w:rsid w:val="009B30B2"/>
    <w:rsid w:val="009B3338"/>
    <w:rsid w:val="009B3A7B"/>
    <w:rsid w:val="009B5BDF"/>
    <w:rsid w:val="009C2F10"/>
    <w:rsid w:val="009C3A08"/>
    <w:rsid w:val="009C4B45"/>
    <w:rsid w:val="009C7D46"/>
    <w:rsid w:val="009D0357"/>
    <w:rsid w:val="009D0EA3"/>
    <w:rsid w:val="009D1921"/>
    <w:rsid w:val="009E0990"/>
    <w:rsid w:val="009E2CFA"/>
    <w:rsid w:val="009E3DBB"/>
    <w:rsid w:val="009E4638"/>
    <w:rsid w:val="009E761B"/>
    <w:rsid w:val="009F2E6D"/>
    <w:rsid w:val="009F3FDC"/>
    <w:rsid w:val="009F62CD"/>
    <w:rsid w:val="009F646A"/>
    <w:rsid w:val="00A00E75"/>
    <w:rsid w:val="00A01FB2"/>
    <w:rsid w:val="00A02681"/>
    <w:rsid w:val="00A0517B"/>
    <w:rsid w:val="00A0757D"/>
    <w:rsid w:val="00A128A7"/>
    <w:rsid w:val="00A15CF1"/>
    <w:rsid w:val="00A16648"/>
    <w:rsid w:val="00A1782E"/>
    <w:rsid w:val="00A24BA2"/>
    <w:rsid w:val="00A3186C"/>
    <w:rsid w:val="00A31A14"/>
    <w:rsid w:val="00A36CAF"/>
    <w:rsid w:val="00A37AA1"/>
    <w:rsid w:val="00A42DE5"/>
    <w:rsid w:val="00A43BA1"/>
    <w:rsid w:val="00A4460D"/>
    <w:rsid w:val="00A52DC7"/>
    <w:rsid w:val="00A561A9"/>
    <w:rsid w:val="00A615C5"/>
    <w:rsid w:val="00A62CDF"/>
    <w:rsid w:val="00A65601"/>
    <w:rsid w:val="00A66D6F"/>
    <w:rsid w:val="00A719AC"/>
    <w:rsid w:val="00A74487"/>
    <w:rsid w:val="00A770EF"/>
    <w:rsid w:val="00A77B3A"/>
    <w:rsid w:val="00A80970"/>
    <w:rsid w:val="00A837F1"/>
    <w:rsid w:val="00A85EAF"/>
    <w:rsid w:val="00A91F98"/>
    <w:rsid w:val="00A920A6"/>
    <w:rsid w:val="00A95149"/>
    <w:rsid w:val="00AA18E7"/>
    <w:rsid w:val="00AA36E1"/>
    <w:rsid w:val="00AA53D4"/>
    <w:rsid w:val="00AA6ABF"/>
    <w:rsid w:val="00AB0578"/>
    <w:rsid w:val="00AB4542"/>
    <w:rsid w:val="00AB5516"/>
    <w:rsid w:val="00AC6309"/>
    <w:rsid w:val="00AC7F4E"/>
    <w:rsid w:val="00AD043D"/>
    <w:rsid w:val="00AD1350"/>
    <w:rsid w:val="00AD3248"/>
    <w:rsid w:val="00AD4463"/>
    <w:rsid w:val="00AE27A0"/>
    <w:rsid w:val="00AE5B20"/>
    <w:rsid w:val="00AE62D3"/>
    <w:rsid w:val="00AF28BA"/>
    <w:rsid w:val="00AF6B54"/>
    <w:rsid w:val="00AF77E8"/>
    <w:rsid w:val="00B04832"/>
    <w:rsid w:val="00B05BA4"/>
    <w:rsid w:val="00B12DC7"/>
    <w:rsid w:val="00B12F91"/>
    <w:rsid w:val="00B15F4F"/>
    <w:rsid w:val="00B27AD5"/>
    <w:rsid w:val="00B27CF4"/>
    <w:rsid w:val="00B353C1"/>
    <w:rsid w:val="00B35B83"/>
    <w:rsid w:val="00B3616F"/>
    <w:rsid w:val="00B365F9"/>
    <w:rsid w:val="00B408CE"/>
    <w:rsid w:val="00B40E2B"/>
    <w:rsid w:val="00B4153A"/>
    <w:rsid w:val="00B4247B"/>
    <w:rsid w:val="00B447F3"/>
    <w:rsid w:val="00B44C52"/>
    <w:rsid w:val="00B50E12"/>
    <w:rsid w:val="00B52643"/>
    <w:rsid w:val="00B5443F"/>
    <w:rsid w:val="00B55ECB"/>
    <w:rsid w:val="00B56B7D"/>
    <w:rsid w:val="00B56E79"/>
    <w:rsid w:val="00B60D97"/>
    <w:rsid w:val="00B625E9"/>
    <w:rsid w:val="00B63568"/>
    <w:rsid w:val="00B731E3"/>
    <w:rsid w:val="00B73495"/>
    <w:rsid w:val="00B772C4"/>
    <w:rsid w:val="00B807CD"/>
    <w:rsid w:val="00B85B54"/>
    <w:rsid w:val="00B86B7B"/>
    <w:rsid w:val="00B9033F"/>
    <w:rsid w:val="00BB071A"/>
    <w:rsid w:val="00BB20B2"/>
    <w:rsid w:val="00BB29A3"/>
    <w:rsid w:val="00BB309D"/>
    <w:rsid w:val="00BB34E0"/>
    <w:rsid w:val="00BB4A8B"/>
    <w:rsid w:val="00BB5D87"/>
    <w:rsid w:val="00BB6F46"/>
    <w:rsid w:val="00BC46EC"/>
    <w:rsid w:val="00BD1058"/>
    <w:rsid w:val="00BD17E4"/>
    <w:rsid w:val="00BD59A7"/>
    <w:rsid w:val="00BE216B"/>
    <w:rsid w:val="00BF368E"/>
    <w:rsid w:val="00BF5F70"/>
    <w:rsid w:val="00BF74D8"/>
    <w:rsid w:val="00C0082C"/>
    <w:rsid w:val="00C01E72"/>
    <w:rsid w:val="00C105AD"/>
    <w:rsid w:val="00C21EB4"/>
    <w:rsid w:val="00C24C84"/>
    <w:rsid w:val="00C25FE2"/>
    <w:rsid w:val="00C26BC0"/>
    <w:rsid w:val="00C27FBA"/>
    <w:rsid w:val="00C307B3"/>
    <w:rsid w:val="00C308EC"/>
    <w:rsid w:val="00C31813"/>
    <w:rsid w:val="00C3469E"/>
    <w:rsid w:val="00C353A2"/>
    <w:rsid w:val="00C35774"/>
    <w:rsid w:val="00C36BA4"/>
    <w:rsid w:val="00C37D1C"/>
    <w:rsid w:val="00C438C5"/>
    <w:rsid w:val="00C4600E"/>
    <w:rsid w:val="00C5118F"/>
    <w:rsid w:val="00C521A8"/>
    <w:rsid w:val="00C52FA2"/>
    <w:rsid w:val="00C532BF"/>
    <w:rsid w:val="00C56B47"/>
    <w:rsid w:val="00C6148A"/>
    <w:rsid w:val="00C616E0"/>
    <w:rsid w:val="00C63ABF"/>
    <w:rsid w:val="00C67E40"/>
    <w:rsid w:val="00C73FEC"/>
    <w:rsid w:val="00C74B68"/>
    <w:rsid w:val="00C76E86"/>
    <w:rsid w:val="00C83EB5"/>
    <w:rsid w:val="00C8535E"/>
    <w:rsid w:val="00C90AE1"/>
    <w:rsid w:val="00C94FEB"/>
    <w:rsid w:val="00CA29EE"/>
    <w:rsid w:val="00CA725C"/>
    <w:rsid w:val="00CA7367"/>
    <w:rsid w:val="00CA7B2D"/>
    <w:rsid w:val="00CA7B4A"/>
    <w:rsid w:val="00CB0EA2"/>
    <w:rsid w:val="00CB3B39"/>
    <w:rsid w:val="00CB5358"/>
    <w:rsid w:val="00CC0463"/>
    <w:rsid w:val="00CC099E"/>
    <w:rsid w:val="00CC7461"/>
    <w:rsid w:val="00CD03DF"/>
    <w:rsid w:val="00CD1E6C"/>
    <w:rsid w:val="00CD4AA7"/>
    <w:rsid w:val="00CD5808"/>
    <w:rsid w:val="00CD6D21"/>
    <w:rsid w:val="00CE1616"/>
    <w:rsid w:val="00CE1950"/>
    <w:rsid w:val="00CE4A61"/>
    <w:rsid w:val="00CE4EB5"/>
    <w:rsid w:val="00CF0A40"/>
    <w:rsid w:val="00CF3D69"/>
    <w:rsid w:val="00CF5CF3"/>
    <w:rsid w:val="00CF5DA4"/>
    <w:rsid w:val="00CF7EB1"/>
    <w:rsid w:val="00D0332C"/>
    <w:rsid w:val="00D04939"/>
    <w:rsid w:val="00D16ABC"/>
    <w:rsid w:val="00D21C21"/>
    <w:rsid w:val="00D24569"/>
    <w:rsid w:val="00D2550E"/>
    <w:rsid w:val="00D26B95"/>
    <w:rsid w:val="00D30B5C"/>
    <w:rsid w:val="00D31A43"/>
    <w:rsid w:val="00D333F7"/>
    <w:rsid w:val="00D335D5"/>
    <w:rsid w:val="00D33BBC"/>
    <w:rsid w:val="00D348AD"/>
    <w:rsid w:val="00D359AC"/>
    <w:rsid w:val="00D37C9D"/>
    <w:rsid w:val="00D402A6"/>
    <w:rsid w:val="00D439E7"/>
    <w:rsid w:val="00D43F02"/>
    <w:rsid w:val="00D45E98"/>
    <w:rsid w:val="00D5389D"/>
    <w:rsid w:val="00D53CF5"/>
    <w:rsid w:val="00D56DBE"/>
    <w:rsid w:val="00D60FD6"/>
    <w:rsid w:val="00D64DB8"/>
    <w:rsid w:val="00D64FF8"/>
    <w:rsid w:val="00D663B7"/>
    <w:rsid w:val="00D66880"/>
    <w:rsid w:val="00D709F3"/>
    <w:rsid w:val="00D7765F"/>
    <w:rsid w:val="00D77C30"/>
    <w:rsid w:val="00D80C12"/>
    <w:rsid w:val="00D81623"/>
    <w:rsid w:val="00D93641"/>
    <w:rsid w:val="00D94311"/>
    <w:rsid w:val="00D95387"/>
    <w:rsid w:val="00D95F3C"/>
    <w:rsid w:val="00D9743A"/>
    <w:rsid w:val="00D97AA9"/>
    <w:rsid w:val="00DA3622"/>
    <w:rsid w:val="00DA3769"/>
    <w:rsid w:val="00DA4764"/>
    <w:rsid w:val="00DA626F"/>
    <w:rsid w:val="00DB1883"/>
    <w:rsid w:val="00DB216F"/>
    <w:rsid w:val="00DB39C4"/>
    <w:rsid w:val="00DB3A8B"/>
    <w:rsid w:val="00DB42C9"/>
    <w:rsid w:val="00DB59E6"/>
    <w:rsid w:val="00DB5E8E"/>
    <w:rsid w:val="00DC3305"/>
    <w:rsid w:val="00DC6286"/>
    <w:rsid w:val="00DC6829"/>
    <w:rsid w:val="00DD00CC"/>
    <w:rsid w:val="00DD35DB"/>
    <w:rsid w:val="00DE53D9"/>
    <w:rsid w:val="00DE67F5"/>
    <w:rsid w:val="00DE6C5D"/>
    <w:rsid w:val="00DF1D57"/>
    <w:rsid w:val="00DF3D66"/>
    <w:rsid w:val="00DF56F9"/>
    <w:rsid w:val="00E0152E"/>
    <w:rsid w:val="00E015C5"/>
    <w:rsid w:val="00E01FC4"/>
    <w:rsid w:val="00E052DB"/>
    <w:rsid w:val="00E12108"/>
    <w:rsid w:val="00E13816"/>
    <w:rsid w:val="00E141A0"/>
    <w:rsid w:val="00E17B48"/>
    <w:rsid w:val="00E20653"/>
    <w:rsid w:val="00E22741"/>
    <w:rsid w:val="00E24168"/>
    <w:rsid w:val="00E26BD2"/>
    <w:rsid w:val="00E30559"/>
    <w:rsid w:val="00E3575B"/>
    <w:rsid w:val="00E37655"/>
    <w:rsid w:val="00E4526D"/>
    <w:rsid w:val="00E45930"/>
    <w:rsid w:val="00E507F1"/>
    <w:rsid w:val="00E6284E"/>
    <w:rsid w:val="00E6289D"/>
    <w:rsid w:val="00E6298B"/>
    <w:rsid w:val="00E63C91"/>
    <w:rsid w:val="00E66B77"/>
    <w:rsid w:val="00E670FA"/>
    <w:rsid w:val="00E71FF5"/>
    <w:rsid w:val="00E72493"/>
    <w:rsid w:val="00E751B3"/>
    <w:rsid w:val="00E76070"/>
    <w:rsid w:val="00E76CAA"/>
    <w:rsid w:val="00E7721E"/>
    <w:rsid w:val="00E77D36"/>
    <w:rsid w:val="00E821AF"/>
    <w:rsid w:val="00E8269B"/>
    <w:rsid w:val="00E83108"/>
    <w:rsid w:val="00E8774C"/>
    <w:rsid w:val="00E90638"/>
    <w:rsid w:val="00E9211E"/>
    <w:rsid w:val="00EA523A"/>
    <w:rsid w:val="00EA6747"/>
    <w:rsid w:val="00EA682A"/>
    <w:rsid w:val="00EB0D05"/>
    <w:rsid w:val="00EB4E7D"/>
    <w:rsid w:val="00ED2FFF"/>
    <w:rsid w:val="00EE1323"/>
    <w:rsid w:val="00EE339C"/>
    <w:rsid w:val="00EE72D0"/>
    <w:rsid w:val="00EF2443"/>
    <w:rsid w:val="00EF43D6"/>
    <w:rsid w:val="00EF5085"/>
    <w:rsid w:val="00EF7C23"/>
    <w:rsid w:val="00F0121A"/>
    <w:rsid w:val="00F013DC"/>
    <w:rsid w:val="00F05477"/>
    <w:rsid w:val="00F05B4A"/>
    <w:rsid w:val="00F11E90"/>
    <w:rsid w:val="00F27BD8"/>
    <w:rsid w:val="00F30744"/>
    <w:rsid w:val="00F359EC"/>
    <w:rsid w:val="00F36467"/>
    <w:rsid w:val="00F40EDC"/>
    <w:rsid w:val="00F4125B"/>
    <w:rsid w:val="00F42089"/>
    <w:rsid w:val="00F437D5"/>
    <w:rsid w:val="00F43DBC"/>
    <w:rsid w:val="00F43E93"/>
    <w:rsid w:val="00F5016E"/>
    <w:rsid w:val="00F564F5"/>
    <w:rsid w:val="00F60E58"/>
    <w:rsid w:val="00F65866"/>
    <w:rsid w:val="00F674DD"/>
    <w:rsid w:val="00F67F74"/>
    <w:rsid w:val="00F818B4"/>
    <w:rsid w:val="00F826DB"/>
    <w:rsid w:val="00F84308"/>
    <w:rsid w:val="00F9035D"/>
    <w:rsid w:val="00F92AC6"/>
    <w:rsid w:val="00F92B8C"/>
    <w:rsid w:val="00FA19A9"/>
    <w:rsid w:val="00FA1BAE"/>
    <w:rsid w:val="00FB3FFC"/>
    <w:rsid w:val="00FB48C4"/>
    <w:rsid w:val="00FB71F7"/>
    <w:rsid w:val="00FC1600"/>
    <w:rsid w:val="00FC3475"/>
    <w:rsid w:val="00FC5DF3"/>
    <w:rsid w:val="00FC5EAB"/>
    <w:rsid w:val="00FD18B2"/>
    <w:rsid w:val="00FD35FB"/>
    <w:rsid w:val="00FD56AB"/>
    <w:rsid w:val="00FE08AE"/>
    <w:rsid w:val="00FE4B94"/>
    <w:rsid w:val="00FF4D20"/>
    <w:rsid w:val="00FF6321"/>
    <w:rsid w:val="00FF733F"/>
    <w:rsid w:val="010765AB"/>
    <w:rsid w:val="01254439"/>
    <w:rsid w:val="018F4C90"/>
    <w:rsid w:val="01B027FE"/>
    <w:rsid w:val="01B031D1"/>
    <w:rsid w:val="01FB26E8"/>
    <w:rsid w:val="020008D1"/>
    <w:rsid w:val="0213141D"/>
    <w:rsid w:val="021C1A07"/>
    <w:rsid w:val="022B0E5C"/>
    <w:rsid w:val="0235117B"/>
    <w:rsid w:val="024C0DD3"/>
    <w:rsid w:val="02BE1699"/>
    <w:rsid w:val="02CC3DD3"/>
    <w:rsid w:val="02D90516"/>
    <w:rsid w:val="03092820"/>
    <w:rsid w:val="031A057A"/>
    <w:rsid w:val="03442157"/>
    <w:rsid w:val="03477E6F"/>
    <w:rsid w:val="03892F81"/>
    <w:rsid w:val="03AE0B18"/>
    <w:rsid w:val="03D2609A"/>
    <w:rsid w:val="03E47515"/>
    <w:rsid w:val="03ED5BF2"/>
    <w:rsid w:val="03EF7C67"/>
    <w:rsid w:val="03F04E05"/>
    <w:rsid w:val="044201B1"/>
    <w:rsid w:val="04447FB3"/>
    <w:rsid w:val="044C4723"/>
    <w:rsid w:val="04A40A52"/>
    <w:rsid w:val="04B769D7"/>
    <w:rsid w:val="04BE2ED4"/>
    <w:rsid w:val="04C64E6C"/>
    <w:rsid w:val="04E11CA6"/>
    <w:rsid w:val="04FF212C"/>
    <w:rsid w:val="053E5AFA"/>
    <w:rsid w:val="05731345"/>
    <w:rsid w:val="058A5830"/>
    <w:rsid w:val="05BF1B7D"/>
    <w:rsid w:val="05C34A1E"/>
    <w:rsid w:val="0612604E"/>
    <w:rsid w:val="06236167"/>
    <w:rsid w:val="06262C6B"/>
    <w:rsid w:val="065E4B7E"/>
    <w:rsid w:val="06617C50"/>
    <w:rsid w:val="06C52994"/>
    <w:rsid w:val="06C8367D"/>
    <w:rsid w:val="06F9692F"/>
    <w:rsid w:val="071F2A3E"/>
    <w:rsid w:val="07262172"/>
    <w:rsid w:val="07585B24"/>
    <w:rsid w:val="07A9711F"/>
    <w:rsid w:val="07E32B27"/>
    <w:rsid w:val="07EB7A40"/>
    <w:rsid w:val="07F10205"/>
    <w:rsid w:val="07F7533D"/>
    <w:rsid w:val="082B0C46"/>
    <w:rsid w:val="082C0402"/>
    <w:rsid w:val="082C28C6"/>
    <w:rsid w:val="083B668E"/>
    <w:rsid w:val="08493DEA"/>
    <w:rsid w:val="084A7B62"/>
    <w:rsid w:val="08734773"/>
    <w:rsid w:val="089963F4"/>
    <w:rsid w:val="08DE34E8"/>
    <w:rsid w:val="08E87A11"/>
    <w:rsid w:val="0940617F"/>
    <w:rsid w:val="097A7FD3"/>
    <w:rsid w:val="097D28F4"/>
    <w:rsid w:val="0983157E"/>
    <w:rsid w:val="09B71987"/>
    <w:rsid w:val="09DA6CC4"/>
    <w:rsid w:val="0A0015A9"/>
    <w:rsid w:val="0A2C1CB6"/>
    <w:rsid w:val="0A3463C9"/>
    <w:rsid w:val="0A353977"/>
    <w:rsid w:val="0A7814BB"/>
    <w:rsid w:val="0A7F70B2"/>
    <w:rsid w:val="0A94684C"/>
    <w:rsid w:val="0AA72969"/>
    <w:rsid w:val="0AB45767"/>
    <w:rsid w:val="0ABB6AF5"/>
    <w:rsid w:val="0ADA35ED"/>
    <w:rsid w:val="0B036EA1"/>
    <w:rsid w:val="0B834620"/>
    <w:rsid w:val="0B8E31DF"/>
    <w:rsid w:val="0B9A670B"/>
    <w:rsid w:val="0BBA0B5B"/>
    <w:rsid w:val="0BC11AF1"/>
    <w:rsid w:val="0BFE1413"/>
    <w:rsid w:val="0C14587B"/>
    <w:rsid w:val="0C1E0427"/>
    <w:rsid w:val="0C281202"/>
    <w:rsid w:val="0C443FA3"/>
    <w:rsid w:val="0C6813A3"/>
    <w:rsid w:val="0C9C5353"/>
    <w:rsid w:val="0CE95B9C"/>
    <w:rsid w:val="0CF167FE"/>
    <w:rsid w:val="0CFE7F60"/>
    <w:rsid w:val="0D0559D7"/>
    <w:rsid w:val="0D1C66B9"/>
    <w:rsid w:val="0D214847"/>
    <w:rsid w:val="0D2440BE"/>
    <w:rsid w:val="0D2A1CCE"/>
    <w:rsid w:val="0D2E3A92"/>
    <w:rsid w:val="0D3600BA"/>
    <w:rsid w:val="0D3F097E"/>
    <w:rsid w:val="0D43553D"/>
    <w:rsid w:val="0D505423"/>
    <w:rsid w:val="0D5A0848"/>
    <w:rsid w:val="0D640143"/>
    <w:rsid w:val="0D830E43"/>
    <w:rsid w:val="0DDB5734"/>
    <w:rsid w:val="0E120ED7"/>
    <w:rsid w:val="0E37750E"/>
    <w:rsid w:val="0E407BED"/>
    <w:rsid w:val="0E9020A7"/>
    <w:rsid w:val="0EB57D46"/>
    <w:rsid w:val="0F135AA9"/>
    <w:rsid w:val="0F5337A0"/>
    <w:rsid w:val="0F851307"/>
    <w:rsid w:val="0F916F1E"/>
    <w:rsid w:val="0FA062BA"/>
    <w:rsid w:val="0FBB04C6"/>
    <w:rsid w:val="0FC66AA6"/>
    <w:rsid w:val="0FFB0391"/>
    <w:rsid w:val="0FFF4F27"/>
    <w:rsid w:val="10086339"/>
    <w:rsid w:val="100E76C7"/>
    <w:rsid w:val="10101691"/>
    <w:rsid w:val="10154BA7"/>
    <w:rsid w:val="10226B4A"/>
    <w:rsid w:val="103C5FE2"/>
    <w:rsid w:val="10447718"/>
    <w:rsid w:val="10665CAF"/>
    <w:rsid w:val="10D12BCF"/>
    <w:rsid w:val="1110043C"/>
    <w:rsid w:val="11162CD7"/>
    <w:rsid w:val="111C6B89"/>
    <w:rsid w:val="114878AB"/>
    <w:rsid w:val="11537A88"/>
    <w:rsid w:val="11597885"/>
    <w:rsid w:val="11616F26"/>
    <w:rsid w:val="11BA4A9B"/>
    <w:rsid w:val="11C52F1E"/>
    <w:rsid w:val="11F6578F"/>
    <w:rsid w:val="11FA2A85"/>
    <w:rsid w:val="1204533A"/>
    <w:rsid w:val="12296A3A"/>
    <w:rsid w:val="124D64AC"/>
    <w:rsid w:val="125A718D"/>
    <w:rsid w:val="12866B6C"/>
    <w:rsid w:val="1299424E"/>
    <w:rsid w:val="13125197"/>
    <w:rsid w:val="13252AA6"/>
    <w:rsid w:val="13556BE8"/>
    <w:rsid w:val="136D5984"/>
    <w:rsid w:val="13856B95"/>
    <w:rsid w:val="13983E78"/>
    <w:rsid w:val="13A40534"/>
    <w:rsid w:val="13BF65A8"/>
    <w:rsid w:val="13C327F4"/>
    <w:rsid w:val="13D55D82"/>
    <w:rsid w:val="13D6569B"/>
    <w:rsid w:val="13E3118F"/>
    <w:rsid w:val="14493277"/>
    <w:rsid w:val="144D6A10"/>
    <w:rsid w:val="145C6C53"/>
    <w:rsid w:val="146D44AA"/>
    <w:rsid w:val="14720B92"/>
    <w:rsid w:val="149C69A2"/>
    <w:rsid w:val="14BE1E74"/>
    <w:rsid w:val="14C03686"/>
    <w:rsid w:val="14C52A4A"/>
    <w:rsid w:val="14D00AAA"/>
    <w:rsid w:val="15260946"/>
    <w:rsid w:val="157D1577"/>
    <w:rsid w:val="158346B4"/>
    <w:rsid w:val="158717DE"/>
    <w:rsid w:val="159A3C5F"/>
    <w:rsid w:val="15AF6F39"/>
    <w:rsid w:val="16481B85"/>
    <w:rsid w:val="165D4F05"/>
    <w:rsid w:val="1674794A"/>
    <w:rsid w:val="167D1693"/>
    <w:rsid w:val="16866209"/>
    <w:rsid w:val="169E262B"/>
    <w:rsid w:val="16A707D1"/>
    <w:rsid w:val="16AA2B94"/>
    <w:rsid w:val="16F171B4"/>
    <w:rsid w:val="16FD761E"/>
    <w:rsid w:val="17035083"/>
    <w:rsid w:val="171001C9"/>
    <w:rsid w:val="174C193E"/>
    <w:rsid w:val="175468D6"/>
    <w:rsid w:val="175B42E8"/>
    <w:rsid w:val="178B7B39"/>
    <w:rsid w:val="17B81574"/>
    <w:rsid w:val="17BF5E77"/>
    <w:rsid w:val="17E153C3"/>
    <w:rsid w:val="18135A10"/>
    <w:rsid w:val="182372C0"/>
    <w:rsid w:val="18273B6F"/>
    <w:rsid w:val="182F467F"/>
    <w:rsid w:val="185539A5"/>
    <w:rsid w:val="18564A52"/>
    <w:rsid w:val="18567E5D"/>
    <w:rsid w:val="186624CC"/>
    <w:rsid w:val="188D7C1D"/>
    <w:rsid w:val="18BE2E10"/>
    <w:rsid w:val="18D92ADE"/>
    <w:rsid w:val="18D92F68"/>
    <w:rsid w:val="18DA1F55"/>
    <w:rsid w:val="18DB06A3"/>
    <w:rsid w:val="18FC6C57"/>
    <w:rsid w:val="19287A4C"/>
    <w:rsid w:val="192B40D5"/>
    <w:rsid w:val="19377C8F"/>
    <w:rsid w:val="19884D2F"/>
    <w:rsid w:val="1991763C"/>
    <w:rsid w:val="19B760C0"/>
    <w:rsid w:val="19CA6D19"/>
    <w:rsid w:val="19D21766"/>
    <w:rsid w:val="19D951F7"/>
    <w:rsid w:val="19EC3B22"/>
    <w:rsid w:val="19EF056A"/>
    <w:rsid w:val="19F03C9C"/>
    <w:rsid w:val="19F33BB6"/>
    <w:rsid w:val="19FC34B4"/>
    <w:rsid w:val="1A085187"/>
    <w:rsid w:val="1A2226ED"/>
    <w:rsid w:val="1A2D0BE5"/>
    <w:rsid w:val="1A3C569C"/>
    <w:rsid w:val="1A493A8B"/>
    <w:rsid w:val="1A58610F"/>
    <w:rsid w:val="1A693E78"/>
    <w:rsid w:val="1A6F2179"/>
    <w:rsid w:val="1A736AA5"/>
    <w:rsid w:val="1A77018A"/>
    <w:rsid w:val="1A842693"/>
    <w:rsid w:val="1A8567D8"/>
    <w:rsid w:val="1A8F336A"/>
    <w:rsid w:val="1A92569B"/>
    <w:rsid w:val="1AC47DBE"/>
    <w:rsid w:val="1B027E29"/>
    <w:rsid w:val="1B291859"/>
    <w:rsid w:val="1B2D3C70"/>
    <w:rsid w:val="1B33263B"/>
    <w:rsid w:val="1B505E0D"/>
    <w:rsid w:val="1B6D3E93"/>
    <w:rsid w:val="1B732482"/>
    <w:rsid w:val="1B9375C5"/>
    <w:rsid w:val="1BB2184F"/>
    <w:rsid w:val="1BBF7F21"/>
    <w:rsid w:val="1BC13622"/>
    <w:rsid w:val="1BE87456"/>
    <w:rsid w:val="1C1C3B78"/>
    <w:rsid w:val="1C5648CB"/>
    <w:rsid w:val="1C6A3B41"/>
    <w:rsid w:val="1C8D51D1"/>
    <w:rsid w:val="1C9D47FF"/>
    <w:rsid w:val="1CA05511"/>
    <w:rsid w:val="1CE25BE4"/>
    <w:rsid w:val="1D90411D"/>
    <w:rsid w:val="1D9671AF"/>
    <w:rsid w:val="1D9D3B86"/>
    <w:rsid w:val="1D9F502D"/>
    <w:rsid w:val="1DA92C66"/>
    <w:rsid w:val="1DC240A6"/>
    <w:rsid w:val="1DEB1048"/>
    <w:rsid w:val="1DED3012"/>
    <w:rsid w:val="1E5F016F"/>
    <w:rsid w:val="1E8C22B2"/>
    <w:rsid w:val="1E935A5F"/>
    <w:rsid w:val="1E9B2263"/>
    <w:rsid w:val="1E9F18C8"/>
    <w:rsid w:val="1EAC7AE1"/>
    <w:rsid w:val="1EAE0C12"/>
    <w:rsid w:val="1EB96D4E"/>
    <w:rsid w:val="1ED24C75"/>
    <w:rsid w:val="1EEB4BBC"/>
    <w:rsid w:val="1F28295D"/>
    <w:rsid w:val="1F4B4494"/>
    <w:rsid w:val="1F7C7944"/>
    <w:rsid w:val="1F7E65BD"/>
    <w:rsid w:val="1FAB5EE7"/>
    <w:rsid w:val="1FF049E1"/>
    <w:rsid w:val="201704E5"/>
    <w:rsid w:val="201B4CE7"/>
    <w:rsid w:val="202820DF"/>
    <w:rsid w:val="202C0243"/>
    <w:rsid w:val="202F16C0"/>
    <w:rsid w:val="20337402"/>
    <w:rsid w:val="20597E79"/>
    <w:rsid w:val="206D2F6E"/>
    <w:rsid w:val="206E488F"/>
    <w:rsid w:val="206F7D0E"/>
    <w:rsid w:val="207D242B"/>
    <w:rsid w:val="2096173F"/>
    <w:rsid w:val="20983709"/>
    <w:rsid w:val="20A06E49"/>
    <w:rsid w:val="20D02EA3"/>
    <w:rsid w:val="21060EBB"/>
    <w:rsid w:val="21322057"/>
    <w:rsid w:val="214011FC"/>
    <w:rsid w:val="2152696C"/>
    <w:rsid w:val="215D113C"/>
    <w:rsid w:val="217C34DD"/>
    <w:rsid w:val="21905CCE"/>
    <w:rsid w:val="21AB746C"/>
    <w:rsid w:val="22605DD5"/>
    <w:rsid w:val="226809CE"/>
    <w:rsid w:val="22764620"/>
    <w:rsid w:val="228E694F"/>
    <w:rsid w:val="22A530BF"/>
    <w:rsid w:val="22D017AB"/>
    <w:rsid w:val="22F35C71"/>
    <w:rsid w:val="23125A98"/>
    <w:rsid w:val="231B6E85"/>
    <w:rsid w:val="234265C4"/>
    <w:rsid w:val="236B6EB3"/>
    <w:rsid w:val="238241FC"/>
    <w:rsid w:val="238564FF"/>
    <w:rsid w:val="23DD2BE2"/>
    <w:rsid w:val="242B2707"/>
    <w:rsid w:val="24561F7E"/>
    <w:rsid w:val="24746395"/>
    <w:rsid w:val="24AA57B9"/>
    <w:rsid w:val="24B91EA0"/>
    <w:rsid w:val="24EB0ADA"/>
    <w:rsid w:val="253C4205"/>
    <w:rsid w:val="253D4222"/>
    <w:rsid w:val="25441769"/>
    <w:rsid w:val="25460C2E"/>
    <w:rsid w:val="256A2D0B"/>
    <w:rsid w:val="257356BC"/>
    <w:rsid w:val="2588340A"/>
    <w:rsid w:val="258D6706"/>
    <w:rsid w:val="25956469"/>
    <w:rsid w:val="25BB4AB6"/>
    <w:rsid w:val="25BE719C"/>
    <w:rsid w:val="25F07BA6"/>
    <w:rsid w:val="25F37DF1"/>
    <w:rsid w:val="25FC0296"/>
    <w:rsid w:val="25FC2044"/>
    <w:rsid w:val="26261778"/>
    <w:rsid w:val="26307F40"/>
    <w:rsid w:val="26421FA6"/>
    <w:rsid w:val="2673522E"/>
    <w:rsid w:val="26845824"/>
    <w:rsid w:val="26881B2A"/>
    <w:rsid w:val="26970113"/>
    <w:rsid w:val="26B93BA8"/>
    <w:rsid w:val="26C37D24"/>
    <w:rsid w:val="26D476A3"/>
    <w:rsid w:val="26E4764A"/>
    <w:rsid w:val="26EF7E56"/>
    <w:rsid w:val="26F86CAF"/>
    <w:rsid w:val="270B3948"/>
    <w:rsid w:val="27131E5B"/>
    <w:rsid w:val="271E795E"/>
    <w:rsid w:val="273C4517"/>
    <w:rsid w:val="276C6F54"/>
    <w:rsid w:val="278F7F47"/>
    <w:rsid w:val="27A224DB"/>
    <w:rsid w:val="27A51681"/>
    <w:rsid w:val="27CA057C"/>
    <w:rsid w:val="27FC27CF"/>
    <w:rsid w:val="28317C26"/>
    <w:rsid w:val="28366477"/>
    <w:rsid w:val="284101E2"/>
    <w:rsid w:val="285A7146"/>
    <w:rsid w:val="28935284"/>
    <w:rsid w:val="28C80DC3"/>
    <w:rsid w:val="28DA1018"/>
    <w:rsid w:val="28E525EE"/>
    <w:rsid w:val="290A1801"/>
    <w:rsid w:val="29421AC0"/>
    <w:rsid w:val="2959155B"/>
    <w:rsid w:val="29592EAC"/>
    <w:rsid w:val="296E3259"/>
    <w:rsid w:val="297720B2"/>
    <w:rsid w:val="29B473E0"/>
    <w:rsid w:val="29B95B77"/>
    <w:rsid w:val="29BF5862"/>
    <w:rsid w:val="29C63715"/>
    <w:rsid w:val="29E26DED"/>
    <w:rsid w:val="29F04C94"/>
    <w:rsid w:val="2A077678"/>
    <w:rsid w:val="2A0E13C2"/>
    <w:rsid w:val="2A187669"/>
    <w:rsid w:val="2A351FC9"/>
    <w:rsid w:val="2A3B0099"/>
    <w:rsid w:val="2A3B4116"/>
    <w:rsid w:val="2A4C3A8A"/>
    <w:rsid w:val="2A5656A3"/>
    <w:rsid w:val="2A6C43A2"/>
    <w:rsid w:val="2AA61387"/>
    <w:rsid w:val="2ACD3FAF"/>
    <w:rsid w:val="2ACF41CB"/>
    <w:rsid w:val="2AF93390"/>
    <w:rsid w:val="2B06518F"/>
    <w:rsid w:val="2B581144"/>
    <w:rsid w:val="2B5D17D7"/>
    <w:rsid w:val="2B7274FA"/>
    <w:rsid w:val="2B906DD7"/>
    <w:rsid w:val="2BD17ACF"/>
    <w:rsid w:val="2BD267B5"/>
    <w:rsid w:val="2BD902A0"/>
    <w:rsid w:val="2C25375B"/>
    <w:rsid w:val="2C3D629F"/>
    <w:rsid w:val="2C3F3C21"/>
    <w:rsid w:val="2C4A0180"/>
    <w:rsid w:val="2C5D0663"/>
    <w:rsid w:val="2C7333ED"/>
    <w:rsid w:val="2C8F66B8"/>
    <w:rsid w:val="2CA22416"/>
    <w:rsid w:val="2D0363AE"/>
    <w:rsid w:val="2D1660E1"/>
    <w:rsid w:val="2D3530CB"/>
    <w:rsid w:val="2D506CEF"/>
    <w:rsid w:val="2D597BA6"/>
    <w:rsid w:val="2D7A3A3A"/>
    <w:rsid w:val="2DDD6BFF"/>
    <w:rsid w:val="2E185F8C"/>
    <w:rsid w:val="2E1915DC"/>
    <w:rsid w:val="2E4D5985"/>
    <w:rsid w:val="2E5616B8"/>
    <w:rsid w:val="2E7D2441"/>
    <w:rsid w:val="2E7E49CF"/>
    <w:rsid w:val="2E853986"/>
    <w:rsid w:val="2E8F2249"/>
    <w:rsid w:val="2E957B04"/>
    <w:rsid w:val="2EAA7E90"/>
    <w:rsid w:val="2EB85CCE"/>
    <w:rsid w:val="2EC35DF5"/>
    <w:rsid w:val="2ED771D6"/>
    <w:rsid w:val="2EDF215F"/>
    <w:rsid w:val="2EFC51FA"/>
    <w:rsid w:val="2EFD03CC"/>
    <w:rsid w:val="2F3A1732"/>
    <w:rsid w:val="2F464330"/>
    <w:rsid w:val="2F47425B"/>
    <w:rsid w:val="2F5125E2"/>
    <w:rsid w:val="2FAA5DB8"/>
    <w:rsid w:val="2FBC45F2"/>
    <w:rsid w:val="2FBE036A"/>
    <w:rsid w:val="2FBE6AE0"/>
    <w:rsid w:val="302E0926"/>
    <w:rsid w:val="303E7720"/>
    <w:rsid w:val="304940D8"/>
    <w:rsid w:val="304E0AA2"/>
    <w:rsid w:val="304E0F11"/>
    <w:rsid w:val="30797F80"/>
    <w:rsid w:val="307B1892"/>
    <w:rsid w:val="30AC28B9"/>
    <w:rsid w:val="30B3524F"/>
    <w:rsid w:val="30B37D53"/>
    <w:rsid w:val="30CC4BD0"/>
    <w:rsid w:val="30CE7A1A"/>
    <w:rsid w:val="30E02713"/>
    <w:rsid w:val="30EA3549"/>
    <w:rsid w:val="30F14846"/>
    <w:rsid w:val="310426F5"/>
    <w:rsid w:val="31140EF9"/>
    <w:rsid w:val="31382E72"/>
    <w:rsid w:val="31426903"/>
    <w:rsid w:val="316136A3"/>
    <w:rsid w:val="316C3470"/>
    <w:rsid w:val="316E7EDF"/>
    <w:rsid w:val="31750F5C"/>
    <w:rsid w:val="31813D45"/>
    <w:rsid w:val="319538BD"/>
    <w:rsid w:val="31C04106"/>
    <w:rsid w:val="31DB328F"/>
    <w:rsid w:val="31F44F7B"/>
    <w:rsid w:val="322D4F47"/>
    <w:rsid w:val="3243755E"/>
    <w:rsid w:val="324B2992"/>
    <w:rsid w:val="325346E2"/>
    <w:rsid w:val="326D2A35"/>
    <w:rsid w:val="32A50AA2"/>
    <w:rsid w:val="32BF4B25"/>
    <w:rsid w:val="32D3237F"/>
    <w:rsid w:val="32D81743"/>
    <w:rsid w:val="32E81849"/>
    <w:rsid w:val="32FD11AA"/>
    <w:rsid w:val="33105381"/>
    <w:rsid w:val="33212408"/>
    <w:rsid w:val="332D7CE1"/>
    <w:rsid w:val="333252F7"/>
    <w:rsid w:val="333D3DB5"/>
    <w:rsid w:val="334B3242"/>
    <w:rsid w:val="336D25C4"/>
    <w:rsid w:val="33B6430D"/>
    <w:rsid w:val="33CD01DD"/>
    <w:rsid w:val="33D04B10"/>
    <w:rsid w:val="33E162AB"/>
    <w:rsid w:val="340D55B5"/>
    <w:rsid w:val="343969A2"/>
    <w:rsid w:val="343E1A7A"/>
    <w:rsid w:val="345F5359"/>
    <w:rsid w:val="348519F3"/>
    <w:rsid w:val="348C6744"/>
    <w:rsid w:val="34936269"/>
    <w:rsid w:val="34A6385A"/>
    <w:rsid w:val="34A9219E"/>
    <w:rsid w:val="34BE4161"/>
    <w:rsid w:val="34D34047"/>
    <w:rsid w:val="34E844EF"/>
    <w:rsid w:val="34F4314B"/>
    <w:rsid w:val="34F433BA"/>
    <w:rsid w:val="350C2E6E"/>
    <w:rsid w:val="351C3517"/>
    <w:rsid w:val="35294225"/>
    <w:rsid w:val="353739D6"/>
    <w:rsid w:val="3538296D"/>
    <w:rsid w:val="355605CB"/>
    <w:rsid w:val="35780FBB"/>
    <w:rsid w:val="358F2AEF"/>
    <w:rsid w:val="35CB510E"/>
    <w:rsid w:val="35E736CA"/>
    <w:rsid w:val="35F2150E"/>
    <w:rsid w:val="35FB4543"/>
    <w:rsid w:val="360C7B27"/>
    <w:rsid w:val="3617717B"/>
    <w:rsid w:val="364049F9"/>
    <w:rsid w:val="365F6841"/>
    <w:rsid w:val="36672989"/>
    <w:rsid w:val="36777AA2"/>
    <w:rsid w:val="368F7F70"/>
    <w:rsid w:val="36981915"/>
    <w:rsid w:val="36F455B2"/>
    <w:rsid w:val="370A1FDB"/>
    <w:rsid w:val="37187BEB"/>
    <w:rsid w:val="37356A86"/>
    <w:rsid w:val="37441A9D"/>
    <w:rsid w:val="374C4D4B"/>
    <w:rsid w:val="376770E5"/>
    <w:rsid w:val="37702892"/>
    <w:rsid w:val="378217C8"/>
    <w:rsid w:val="37863D4D"/>
    <w:rsid w:val="379A346B"/>
    <w:rsid w:val="37A427F7"/>
    <w:rsid w:val="37AB27E1"/>
    <w:rsid w:val="37BA3B0D"/>
    <w:rsid w:val="37E50F72"/>
    <w:rsid w:val="37F46E66"/>
    <w:rsid w:val="37F86DB7"/>
    <w:rsid w:val="380E6B3A"/>
    <w:rsid w:val="386A5533"/>
    <w:rsid w:val="388C0FDD"/>
    <w:rsid w:val="389D1465"/>
    <w:rsid w:val="38C25CB3"/>
    <w:rsid w:val="38C522B1"/>
    <w:rsid w:val="38CC448C"/>
    <w:rsid w:val="38DB3D3B"/>
    <w:rsid w:val="38DB48D8"/>
    <w:rsid w:val="38E726E0"/>
    <w:rsid w:val="38FF0DE2"/>
    <w:rsid w:val="39194C1E"/>
    <w:rsid w:val="391C6A2E"/>
    <w:rsid w:val="393578EF"/>
    <w:rsid w:val="394D2140"/>
    <w:rsid w:val="39517F13"/>
    <w:rsid w:val="398542D6"/>
    <w:rsid w:val="399D36E6"/>
    <w:rsid w:val="39B6763B"/>
    <w:rsid w:val="39D4540A"/>
    <w:rsid w:val="3A074B89"/>
    <w:rsid w:val="3A345DF9"/>
    <w:rsid w:val="3A444AE5"/>
    <w:rsid w:val="3A5E22ED"/>
    <w:rsid w:val="3A5F6D8E"/>
    <w:rsid w:val="3AAB598F"/>
    <w:rsid w:val="3AD604B2"/>
    <w:rsid w:val="3AD922A1"/>
    <w:rsid w:val="3AD9278E"/>
    <w:rsid w:val="3ADC3D9A"/>
    <w:rsid w:val="3B1E342F"/>
    <w:rsid w:val="3B2B03C4"/>
    <w:rsid w:val="3B3957AE"/>
    <w:rsid w:val="3B48408B"/>
    <w:rsid w:val="3B4A7A51"/>
    <w:rsid w:val="3B6360F4"/>
    <w:rsid w:val="3B660234"/>
    <w:rsid w:val="3B67630D"/>
    <w:rsid w:val="3B6865E0"/>
    <w:rsid w:val="3B6E0E96"/>
    <w:rsid w:val="3B7B3BBB"/>
    <w:rsid w:val="3B974891"/>
    <w:rsid w:val="3B9B5A04"/>
    <w:rsid w:val="3BA21765"/>
    <w:rsid w:val="3BA7173C"/>
    <w:rsid w:val="3BA96372"/>
    <w:rsid w:val="3BC37AC4"/>
    <w:rsid w:val="3BEB02C2"/>
    <w:rsid w:val="3C1557B6"/>
    <w:rsid w:val="3C2D7B38"/>
    <w:rsid w:val="3C4117F2"/>
    <w:rsid w:val="3C606EF2"/>
    <w:rsid w:val="3CC672E6"/>
    <w:rsid w:val="3CCB40C7"/>
    <w:rsid w:val="3CD63197"/>
    <w:rsid w:val="3CD85DFC"/>
    <w:rsid w:val="3CE6634A"/>
    <w:rsid w:val="3D251A29"/>
    <w:rsid w:val="3D300231"/>
    <w:rsid w:val="3D6A5F84"/>
    <w:rsid w:val="3DA16E80"/>
    <w:rsid w:val="3DD86A9B"/>
    <w:rsid w:val="3DF112EA"/>
    <w:rsid w:val="3DFE097E"/>
    <w:rsid w:val="3E432AAE"/>
    <w:rsid w:val="3E632329"/>
    <w:rsid w:val="3E861193"/>
    <w:rsid w:val="3E9450B8"/>
    <w:rsid w:val="3EBE0387"/>
    <w:rsid w:val="3ED3452C"/>
    <w:rsid w:val="3EF958D3"/>
    <w:rsid w:val="3F2A6386"/>
    <w:rsid w:val="3F320925"/>
    <w:rsid w:val="3F7D4F2E"/>
    <w:rsid w:val="3F8F7E45"/>
    <w:rsid w:val="3FB20C5C"/>
    <w:rsid w:val="3FB4352E"/>
    <w:rsid w:val="3FD350F7"/>
    <w:rsid w:val="3FDA11F0"/>
    <w:rsid w:val="3FDF2363"/>
    <w:rsid w:val="3FF3780D"/>
    <w:rsid w:val="3FFC41E8"/>
    <w:rsid w:val="3FFD6511"/>
    <w:rsid w:val="401A1E31"/>
    <w:rsid w:val="402D65A1"/>
    <w:rsid w:val="403F4FF6"/>
    <w:rsid w:val="408152CF"/>
    <w:rsid w:val="40A802CF"/>
    <w:rsid w:val="40B7508E"/>
    <w:rsid w:val="40C357E1"/>
    <w:rsid w:val="40E566F0"/>
    <w:rsid w:val="411544C7"/>
    <w:rsid w:val="412A1D04"/>
    <w:rsid w:val="41727CCD"/>
    <w:rsid w:val="41893BD8"/>
    <w:rsid w:val="41AD023F"/>
    <w:rsid w:val="41B7186C"/>
    <w:rsid w:val="41BC7B86"/>
    <w:rsid w:val="41E90777"/>
    <w:rsid w:val="41F81180"/>
    <w:rsid w:val="42150157"/>
    <w:rsid w:val="422F25A0"/>
    <w:rsid w:val="424E37D0"/>
    <w:rsid w:val="425012F6"/>
    <w:rsid w:val="42577E71"/>
    <w:rsid w:val="427A6373"/>
    <w:rsid w:val="427B20EB"/>
    <w:rsid w:val="429A6A15"/>
    <w:rsid w:val="43000F6E"/>
    <w:rsid w:val="432E56D1"/>
    <w:rsid w:val="43340C18"/>
    <w:rsid w:val="43544E16"/>
    <w:rsid w:val="4359242C"/>
    <w:rsid w:val="436C5913"/>
    <w:rsid w:val="4376003C"/>
    <w:rsid w:val="437D4ED2"/>
    <w:rsid w:val="43996CCD"/>
    <w:rsid w:val="43CF6B92"/>
    <w:rsid w:val="43F064F1"/>
    <w:rsid w:val="43F839F3"/>
    <w:rsid w:val="44052591"/>
    <w:rsid w:val="441C07CA"/>
    <w:rsid w:val="444A11C3"/>
    <w:rsid w:val="44695BC4"/>
    <w:rsid w:val="4474142A"/>
    <w:rsid w:val="4475773A"/>
    <w:rsid w:val="447649E2"/>
    <w:rsid w:val="44E71197"/>
    <w:rsid w:val="44F71A86"/>
    <w:rsid w:val="44F81C7E"/>
    <w:rsid w:val="44FA47CC"/>
    <w:rsid w:val="45250BF0"/>
    <w:rsid w:val="45274413"/>
    <w:rsid w:val="45401AF6"/>
    <w:rsid w:val="45634D66"/>
    <w:rsid w:val="45AF0A29"/>
    <w:rsid w:val="45CC267C"/>
    <w:rsid w:val="45D77EA2"/>
    <w:rsid w:val="45DE7838"/>
    <w:rsid w:val="460135B8"/>
    <w:rsid w:val="460D0F18"/>
    <w:rsid w:val="46152F39"/>
    <w:rsid w:val="462A4554"/>
    <w:rsid w:val="46535859"/>
    <w:rsid w:val="46805F22"/>
    <w:rsid w:val="46927A9B"/>
    <w:rsid w:val="46DD746B"/>
    <w:rsid w:val="46EB39EF"/>
    <w:rsid w:val="47044DA5"/>
    <w:rsid w:val="47056124"/>
    <w:rsid w:val="47064A15"/>
    <w:rsid w:val="47373C6C"/>
    <w:rsid w:val="47446FF4"/>
    <w:rsid w:val="47501D98"/>
    <w:rsid w:val="475212DF"/>
    <w:rsid w:val="47523D62"/>
    <w:rsid w:val="477261B2"/>
    <w:rsid w:val="47A345BE"/>
    <w:rsid w:val="47BF0CE1"/>
    <w:rsid w:val="47E32C0C"/>
    <w:rsid w:val="47F94765"/>
    <w:rsid w:val="480B0368"/>
    <w:rsid w:val="4813269D"/>
    <w:rsid w:val="48256DA7"/>
    <w:rsid w:val="487A1E2A"/>
    <w:rsid w:val="48897310"/>
    <w:rsid w:val="488D1351"/>
    <w:rsid w:val="4896429D"/>
    <w:rsid w:val="48A45A86"/>
    <w:rsid w:val="48AD51DE"/>
    <w:rsid w:val="48BE2FC1"/>
    <w:rsid w:val="48F5140F"/>
    <w:rsid w:val="490B241B"/>
    <w:rsid w:val="490E65FA"/>
    <w:rsid w:val="49261002"/>
    <w:rsid w:val="49281DEB"/>
    <w:rsid w:val="494840DD"/>
    <w:rsid w:val="49543DC1"/>
    <w:rsid w:val="495611CE"/>
    <w:rsid w:val="497F6965"/>
    <w:rsid w:val="49814B0B"/>
    <w:rsid w:val="4A056571"/>
    <w:rsid w:val="4A1A3C81"/>
    <w:rsid w:val="4A7700FB"/>
    <w:rsid w:val="4A7933B4"/>
    <w:rsid w:val="4A7E6C1C"/>
    <w:rsid w:val="4AD833F0"/>
    <w:rsid w:val="4AE253FD"/>
    <w:rsid w:val="4AF37666"/>
    <w:rsid w:val="4AF57209"/>
    <w:rsid w:val="4B093321"/>
    <w:rsid w:val="4B3317B5"/>
    <w:rsid w:val="4B44740D"/>
    <w:rsid w:val="4B764E99"/>
    <w:rsid w:val="4B7E16EB"/>
    <w:rsid w:val="4B8402B1"/>
    <w:rsid w:val="4B8464B4"/>
    <w:rsid w:val="4BB704B2"/>
    <w:rsid w:val="4BB753B5"/>
    <w:rsid w:val="4BC1526C"/>
    <w:rsid w:val="4BCE5F0E"/>
    <w:rsid w:val="4BCF419F"/>
    <w:rsid w:val="4BDB7C5A"/>
    <w:rsid w:val="4BE83319"/>
    <w:rsid w:val="4C1A7D40"/>
    <w:rsid w:val="4C2B6930"/>
    <w:rsid w:val="4C2F21C9"/>
    <w:rsid w:val="4C3F0ED6"/>
    <w:rsid w:val="4C4113CF"/>
    <w:rsid w:val="4C5E6505"/>
    <w:rsid w:val="4C6770A3"/>
    <w:rsid w:val="4C67776E"/>
    <w:rsid w:val="4C9D528B"/>
    <w:rsid w:val="4CBA3672"/>
    <w:rsid w:val="4CC43735"/>
    <w:rsid w:val="4CC624B4"/>
    <w:rsid w:val="4CE67C20"/>
    <w:rsid w:val="4CF0184D"/>
    <w:rsid w:val="4D4631B6"/>
    <w:rsid w:val="4D471D72"/>
    <w:rsid w:val="4D4E60E3"/>
    <w:rsid w:val="4D6457C9"/>
    <w:rsid w:val="4D6D0FC3"/>
    <w:rsid w:val="4D7C1024"/>
    <w:rsid w:val="4D852E94"/>
    <w:rsid w:val="4DA37D6C"/>
    <w:rsid w:val="4DBF396F"/>
    <w:rsid w:val="4DD54DA5"/>
    <w:rsid w:val="4DDC25D7"/>
    <w:rsid w:val="4DDE0C46"/>
    <w:rsid w:val="4DF655F8"/>
    <w:rsid w:val="4E1D509E"/>
    <w:rsid w:val="4E3966B5"/>
    <w:rsid w:val="4E443230"/>
    <w:rsid w:val="4E4A290A"/>
    <w:rsid w:val="4E5C7FD7"/>
    <w:rsid w:val="4E5E049F"/>
    <w:rsid w:val="4E922C96"/>
    <w:rsid w:val="4EFC71DF"/>
    <w:rsid w:val="4F1A1ED7"/>
    <w:rsid w:val="4F372F27"/>
    <w:rsid w:val="4F4F7E87"/>
    <w:rsid w:val="4F5764B9"/>
    <w:rsid w:val="4F8C5937"/>
    <w:rsid w:val="4F977110"/>
    <w:rsid w:val="4F980780"/>
    <w:rsid w:val="4FA71FD9"/>
    <w:rsid w:val="4FB73F54"/>
    <w:rsid w:val="4FBB500A"/>
    <w:rsid w:val="4FF04118"/>
    <w:rsid w:val="5005565E"/>
    <w:rsid w:val="501554C8"/>
    <w:rsid w:val="5019541D"/>
    <w:rsid w:val="504E4924"/>
    <w:rsid w:val="5050608C"/>
    <w:rsid w:val="506A34E8"/>
    <w:rsid w:val="506B422D"/>
    <w:rsid w:val="50715259"/>
    <w:rsid w:val="50AA7E30"/>
    <w:rsid w:val="50B25281"/>
    <w:rsid w:val="50C02456"/>
    <w:rsid w:val="50CC768D"/>
    <w:rsid w:val="50D93410"/>
    <w:rsid w:val="50E51EA3"/>
    <w:rsid w:val="50FC37C6"/>
    <w:rsid w:val="510B004C"/>
    <w:rsid w:val="510C4854"/>
    <w:rsid w:val="51186B73"/>
    <w:rsid w:val="512B6698"/>
    <w:rsid w:val="51520AD1"/>
    <w:rsid w:val="515C5FEC"/>
    <w:rsid w:val="51630CC9"/>
    <w:rsid w:val="5164091A"/>
    <w:rsid w:val="516C3E38"/>
    <w:rsid w:val="51792E7F"/>
    <w:rsid w:val="51975D21"/>
    <w:rsid w:val="519A433C"/>
    <w:rsid w:val="51B22A66"/>
    <w:rsid w:val="51C4760A"/>
    <w:rsid w:val="521265C8"/>
    <w:rsid w:val="5222627A"/>
    <w:rsid w:val="52240F5D"/>
    <w:rsid w:val="524B1ADA"/>
    <w:rsid w:val="52554EEE"/>
    <w:rsid w:val="52574038"/>
    <w:rsid w:val="52662470"/>
    <w:rsid w:val="52BE7ACF"/>
    <w:rsid w:val="532145E9"/>
    <w:rsid w:val="53312B67"/>
    <w:rsid w:val="53500DE1"/>
    <w:rsid w:val="53670B5D"/>
    <w:rsid w:val="536A62C2"/>
    <w:rsid w:val="538C7A30"/>
    <w:rsid w:val="53980D4F"/>
    <w:rsid w:val="53D83AAD"/>
    <w:rsid w:val="53EE5CD3"/>
    <w:rsid w:val="540855C7"/>
    <w:rsid w:val="540C51D3"/>
    <w:rsid w:val="543927F0"/>
    <w:rsid w:val="544A3029"/>
    <w:rsid w:val="544E7790"/>
    <w:rsid w:val="547E044E"/>
    <w:rsid w:val="549079CA"/>
    <w:rsid w:val="54AC5AD7"/>
    <w:rsid w:val="54CD05D2"/>
    <w:rsid w:val="54CE4645"/>
    <w:rsid w:val="55006BAB"/>
    <w:rsid w:val="552471A3"/>
    <w:rsid w:val="553E6AE1"/>
    <w:rsid w:val="555D56B7"/>
    <w:rsid w:val="558318CB"/>
    <w:rsid w:val="558E608B"/>
    <w:rsid w:val="55A7171D"/>
    <w:rsid w:val="55FD7055"/>
    <w:rsid w:val="562F437E"/>
    <w:rsid w:val="56432893"/>
    <w:rsid w:val="56486A5C"/>
    <w:rsid w:val="565C215C"/>
    <w:rsid w:val="5671105F"/>
    <w:rsid w:val="569D042A"/>
    <w:rsid w:val="56A143BE"/>
    <w:rsid w:val="56A45CFA"/>
    <w:rsid w:val="56E55794"/>
    <w:rsid w:val="56EA1292"/>
    <w:rsid w:val="56EC1A28"/>
    <w:rsid w:val="56F664B8"/>
    <w:rsid w:val="56FE436D"/>
    <w:rsid w:val="57081D47"/>
    <w:rsid w:val="57120FB5"/>
    <w:rsid w:val="57122BC6"/>
    <w:rsid w:val="571A07F5"/>
    <w:rsid w:val="57361F07"/>
    <w:rsid w:val="573B211D"/>
    <w:rsid w:val="57462870"/>
    <w:rsid w:val="574E2F99"/>
    <w:rsid w:val="57563796"/>
    <w:rsid w:val="5777592C"/>
    <w:rsid w:val="577F0045"/>
    <w:rsid w:val="57AE1B0B"/>
    <w:rsid w:val="57B7117D"/>
    <w:rsid w:val="57E45AFF"/>
    <w:rsid w:val="580119A8"/>
    <w:rsid w:val="58086CFC"/>
    <w:rsid w:val="5816406A"/>
    <w:rsid w:val="581F37ED"/>
    <w:rsid w:val="58247055"/>
    <w:rsid w:val="582A1CDC"/>
    <w:rsid w:val="582C077D"/>
    <w:rsid w:val="583077A8"/>
    <w:rsid w:val="58366547"/>
    <w:rsid w:val="58490869"/>
    <w:rsid w:val="588C69A8"/>
    <w:rsid w:val="58986FD3"/>
    <w:rsid w:val="58B24661"/>
    <w:rsid w:val="58B50EDB"/>
    <w:rsid w:val="58EC00A8"/>
    <w:rsid w:val="58F72073"/>
    <w:rsid w:val="58FA747A"/>
    <w:rsid w:val="591A72DE"/>
    <w:rsid w:val="59464DA9"/>
    <w:rsid w:val="59500682"/>
    <w:rsid w:val="596334BB"/>
    <w:rsid w:val="59704FCA"/>
    <w:rsid w:val="597B2C23"/>
    <w:rsid w:val="59AF0BA0"/>
    <w:rsid w:val="59DF3B48"/>
    <w:rsid w:val="59F12F67"/>
    <w:rsid w:val="5A315A59"/>
    <w:rsid w:val="5A3572F7"/>
    <w:rsid w:val="5A3C3A68"/>
    <w:rsid w:val="5A4C1ADA"/>
    <w:rsid w:val="5A76383F"/>
    <w:rsid w:val="5A8D7133"/>
    <w:rsid w:val="5ABB65E5"/>
    <w:rsid w:val="5ACE4F06"/>
    <w:rsid w:val="5AD85CC7"/>
    <w:rsid w:val="5AE20B01"/>
    <w:rsid w:val="5B0B60EE"/>
    <w:rsid w:val="5B134093"/>
    <w:rsid w:val="5B3062C7"/>
    <w:rsid w:val="5B353BA0"/>
    <w:rsid w:val="5B36202D"/>
    <w:rsid w:val="5B37709F"/>
    <w:rsid w:val="5B607CF8"/>
    <w:rsid w:val="5B773940"/>
    <w:rsid w:val="5B88609D"/>
    <w:rsid w:val="5B920779"/>
    <w:rsid w:val="5BAA3AE1"/>
    <w:rsid w:val="5BD92FA3"/>
    <w:rsid w:val="5BF63C0C"/>
    <w:rsid w:val="5C1318BA"/>
    <w:rsid w:val="5C25291D"/>
    <w:rsid w:val="5C735EB5"/>
    <w:rsid w:val="5C8C01CA"/>
    <w:rsid w:val="5CD16E8B"/>
    <w:rsid w:val="5CD41DD8"/>
    <w:rsid w:val="5CD60EB2"/>
    <w:rsid w:val="5CDB5149"/>
    <w:rsid w:val="5CE70011"/>
    <w:rsid w:val="5CEE0924"/>
    <w:rsid w:val="5CEF62F3"/>
    <w:rsid w:val="5CF138A4"/>
    <w:rsid w:val="5CF9717B"/>
    <w:rsid w:val="5D251732"/>
    <w:rsid w:val="5D3046F0"/>
    <w:rsid w:val="5D380B9D"/>
    <w:rsid w:val="5D4836E5"/>
    <w:rsid w:val="5D4B76C7"/>
    <w:rsid w:val="5D51273D"/>
    <w:rsid w:val="5D916F3A"/>
    <w:rsid w:val="5D9307EA"/>
    <w:rsid w:val="5D9D72A2"/>
    <w:rsid w:val="5DC07B4C"/>
    <w:rsid w:val="5DCA41FA"/>
    <w:rsid w:val="5DDB5030"/>
    <w:rsid w:val="5DE227D8"/>
    <w:rsid w:val="5DF806A0"/>
    <w:rsid w:val="5DF82358"/>
    <w:rsid w:val="5DFF35C8"/>
    <w:rsid w:val="5E060777"/>
    <w:rsid w:val="5E070FAB"/>
    <w:rsid w:val="5E0B315A"/>
    <w:rsid w:val="5E7D126D"/>
    <w:rsid w:val="5EBE4EAD"/>
    <w:rsid w:val="5EF148EC"/>
    <w:rsid w:val="5F087B79"/>
    <w:rsid w:val="5F1E1D1D"/>
    <w:rsid w:val="5F2064D7"/>
    <w:rsid w:val="5F77638B"/>
    <w:rsid w:val="5FB316D7"/>
    <w:rsid w:val="5FCC6AA8"/>
    <w:rsid w:val="5FE7328E"/>
    <w:rsid w:val="6008725C"/>
    <w:rsid w:val="60100DA1"/>
    <w:rsid w:val="603B4F3C"/>
    <w:rsid w:val="603C4F45"/>
    <w:rsid w:val="60422D79"/>
    <w:rsid w:val="60732927"/>
    <w:rsid w:val="60AC6BAC"/>
    <w:rsid w:val="60E94998"/>
    <w:rsid w:val="60FE69AF"/>
    <w:rsid w:val="616E1CFF"/>
    <w:rsid w:val="617A0C5A"/>
    <w:rsid w:val="61A13D7C"/>
    <w:rsid w:val="61A60ADB"/>
    <w:rsid w:val="61CF0031"/>
    <w:rsid w:val="61CF2D32"/>
    <w:rsid w:val="61D60D83"/>
    <w:rsid w:val="61E741DC"/>
    <w:rsid w:val="61E843AE"/>
    <w:rsid w:val="61ED0518"/>
    <w:rsid w:val="61FC4B9F"/>
    <w:rsid w:val="6211064A"/>
    <w:rsid w:val="623F298E"/>
    <w:rsid w:val="62637F9C"/>
    <w:rsid w:val="62652DAE"/>
    <w:rsid w:val="62745841"/>
    <w:rsid w:val="629A45F7"/>
    <w:rsid w:val="62A0765A"/>
    <w:rsid w:val="62BF0B8F"/>
    <w:rsid w:val="633061BA"/>
    <w:rsid w:val="63597E24"/>
    <w:rsid w:val="63747282"/>
    <w:rsid w:val="638135AD"/>
    <w:rsid w:val="639E415F"/>
    <w:rsid w:val="63B11D31"/>
    <w:rsid w:val="63BD1775"/>
    <w:rsid w:val="63C275F7"/>
    <w:rsid w:val="63C517EC"/>
    <w:rsid w:val="63C90AB0"/>
    <w:rsid w:val="63D23E09"/>
    <w:rsid w:val="63F33319"/>
    <w:rsid w:val="64016D84"/>
    <w:rsid w:val="64045705"/>
    <w:rsid w:val="64540CC2"/>
    <w:rsid w:val="645422AA"/>
    <w:rsid w:val="647153D0"/>
    <w:rsid w:val="64BE25DF"/>
    <w:rsid w:val="64BF68B6"/>
    <w:rsid w:val="64DF440C"/>
    <w:rsid w:val="64E01E8E"/>
    <w:rsid w:val="64E262CE"/>
    <w:rsid w:val="64EA6F30"/>
    <w:rsid w:val="650E3A02"/>
    <w:rsid w:val="651641C9"/>
    <w:rsid w:val="651E6A0E"/>
    <w:rsid w:val="65366619"/>
    <w:rsid w:val="65490559"/>
    <w:rsid w:val="656B0071"/>
    <w:rsid w:val="65792E08"/>
    <w:rsid w:val="65842EE1"/>
    <w:rsid w:val="65A60A1F"/>
    <w:rsid w:val="65A82571"/>
    <w:rsid w:val="65BB2AF6"/>
    <w:rsid w:val="65C4260B"/>
    <w:rsid w:val="65CC2D90"/>
    <w:rsid w:val="65E743EB"/>
    <w:rsid w:val="660B715E"/>
    <w:rsid w:val="661D46E2"/>
    <w:rsid w:val="6632293D"/>
    <w:rsid w:val="663A7A43"/>
    <w:rsid w:val="66614E82"/>
    <w:rsid w:val="667849BC"/>
    <w:rsid w:val="667E5B82"/>
    <w:rsid w:val="66803B38"/>
    <w:rsid w:val="669E5578"/>
    <w:rsid w:val="66AF5135"/>
    <w:rsid w:val="66C227CA"/>
    <w:rsid w:val="66CF3135"/>
    <w:rsid w:val="66D60C7A"/>
    <w:rsid w:val="66F916AD"/>
    <w:rsid w:val="67175CF6"/>
    <w:rsid w:val="67275527"/>
    <w:rsid w:val="677E6CE4"/>
    <w:rsid w:val="67835E93"/>
    <w:rsid w:val="678918D9"/>
    <w:rsid w:val="679909C4"/>
    <w:rsid w:val="679B1F3D"/>
    <w:rsid w:val="67A32354"/>
    <w:rsid w:val="67A664F2"/>
    <w:rsid w:val="67B00EEE"/>
    <w:rsid w:val="67D87514"/>
    <w:rsid w:val="67F7D72E"/>
    <w:rsid w:val="683E0DC5"/>
    <w:rsid w:val="68423D93"/>
    <w:rsid w:val="68710924"/>
    <w:rsid w:val="687F4487"/>
    <w:rsid w:val="68881FB5"/>
    <w:rsid w:val="689F0110"/>
    <w:rsid w:val="68A83B7C"/>
    <w:rsid w:val="68C71474"/>
    <w:rsid w:val="69027D40"/>
    <w:rsid w:val="69405A1D"/>
    <w:rsid w:val="6951757E"/>
    <w:rsid w:val="69580E00"/>
    <w:rsid w:val="69725190"/>
    <w:rsid w:val="698D2E4D"/>
    <w:rsid w:val="69935DE8"/>
    <w:rsid w:val="699658D9"/>
    <w:rsid w:val="699C1C6C"/>
    <w:rsid w:val="69A03414"/>
    <w:rsid w:val="69AE7CAB"/>
    <w:rsid w:val="69B17AA6"/>
    <w:rsid w:val="69C867E5"/>
    <w:rsid w:val="69DB0259"/>
    <w:rsid w:val="69ED53B6"/>
    <w:rsid w:val="69EE07EF"/>
    <w:rsid w:val="69F10D61"/>
    <w:rsid w:val="6A0000FD"/>
    <w:rsid w:val="6A06093A"/>
    <w:rsid w:val="6A18591D"/>
    <w:rsid w:val="6A513BED"/>
    <w:rsid w:val="6A537326"/>
    <w:rsid w:val="6A64597A"/>
    <w:rsid w:val="6AEB16DA"/>
    <w:rsid w:val="6AF01A9B"/>
    <w:rsid w:val="6B097231"/>
    <w:rsid w:val="6B28418D"/>
    <w:rsid w:val="6B3B2294"/>
    <w:rsid w:val="6B3D24B0"/>
    <w:rsid w:val="6B407BC7"/>
    <w:rsid w:val="6B5D2121"/>
    <w:rsid w:val="6B6562D0"/>
    <w:rsid w:val="6B67678B"/>
    <w:rsid w:val="6B780D3F"/>
    <w:rsid w:val="6B8C0D41"/>
    <w:rsid w:val="6B942CC2"/>
    <w:rsid w:val="6BBF1117"/>
    <w:rsid w:val="6BDB75D3"/>
    <w:rsid w:val="6C247DB6"/>
    <w:rsid w:val="6C2941AA"/>
    <w:rsid w:val="6C3B28BC"/>
    <w:rsid w:val="6C5A1350"/>
    <w:rsid w:val="6C741EF9"/>
    <w:rsid w:val="6C7A503E"/>
    <w:rsid w:val="6C860D49"/>
    <w:rsid w:val="6C875A7A"/>
    <w:rsid w:val="6C884B18"/>
    <w:rsid w:val="6C973076"/>
    <w:rsid w:val="6C9E65C1"/>
    <w:rsid w:val="6CD14697"/>
    <w:rsid w:val="6CD1743C"/>
    <w:rsid w:val="6CDF4E2C"/>
    <w:rsid w:val="6CE1330F"/>
    <w:rsid w:val="6CEF279F"/>
    <w:rsid w:val="6CF44DF0"/>
    <w:rsid w:val="6D17623E"/>
    <w:rsid w:val="6D220DD6"/>
    <w:rsid w:val="6D2B61FD"/>
    <w:rsid w:val="6D301BA0"/>
    <w:rsid w:val="6D420056"/>
    <w:rsid w:val="6D526D38"/>
    <w:rsid w:val="6D733BC6"/>
    <w:rsid w:val="6D7A29E1"/>
    <w:rsid w:val="6D7D4C20"/>
    <w:rsid w:val="6D82064E"/>
    <w:rsid w:val="6D8B07C8"/>
    <w:rsid w:val="6D8F68C7"/>
    <w:rsid w:val="6D9667B9"/>
    <w:rsid w:val="6DD4077E"/>
    <w:rsid w:val="6E100C12"/>
    <w:rsid w:val="6E1B2439"/>
    <w:rsid w:val="6E3A2CD6"/>
    <w:rsid w:val="6E401402"/>
    <w:rsid w:val="6E4643A8"/>
    <w:rsid w:val="6E6935BC"/>
    <w:rsid w:val="6E925AAF"/>
    <w:rsid w:val="6E983DCC"/>
    <w:rsid w:val="6EAF6748"/>
    <w:rsid w:val="6ECD6065"/>
    <w:rsid w:val="6F014640"/>
    <w:rsid w:val="6F2179F2"/>
    <w:rsid w:val="6F2B6BEF"/>
    <w:rsid w:val="6F3516F0"/>
    <w:rsid w:val="6F481E02"/>
    <w:rsid w:val="6F626510"/>
    <w:rsid w:val="6F8B78C2"/>
    <w:rsid w:val="6F952696"/>
    <w:rsid w:val="6FA7381A"/>
    <w:rsid w:val="6FAA5C3A"/>
    <w:rsid w:val="6FC53D14"/>
    <w:rsid w:val="6FE96C10"/>
    <w:rsid w:val="6FF82A11"/>
    <w:rsid w:val="700751A7"/>
    <w:rsid w:val="70095491"/>
    <w:rsid w:val="700E5917"/>
    <w:rsid w:val="701838C5"/>
    <w:rsid w:val="702E313E"/>
    <w:rsid w:val="704F34CF"/>
    <w:rsid w:val="70722A8E"/>
    <w:rsid w:val="707A560C"/>
    <w:rsid w:val="708446DD"/>
    <w:rsid w:val="70920F76"/>
    <w:rsid w:val="70A5697A"/>
    <w:rsid w:val="70AC5255"/>
    <w:rsid w:val="70B42BC9"/>
    <w:rsid w:val="70B62669"/>
    <w:rsid w:val="70C417B2"/>
    <w:rsid w:val="70C93366"/>
    <w:rsid w:val="70D6690F"/>
    <w:rsid w:val="70E138DD"/>
    <w:rsid w:val="7103507D"/>
    <w:rsid w:val="7127158C"/>
    <w:rsid w:val="71472298"/>
    <w:rsid w:val="71791D68"/>
    <w:rsid w:val="717F65F5"/>
    <w:rsid w:val="71973F9C"/>
    <w:rsid w:val="71CF29F1"/>
    <w:rsid w:val="720F36E4"/>
    <w:rsid w:val="721750DD"/>
    <w:rsid w:val="721D44A4"/>
    <w:rsid w:val="723A14EF"/>
    <w:rsid w:val="723A5A9F"/>
    <w:rsid w:val="724539F8"/>
    <w:rsid w:val="724F1F27"/>
    <w:rsid w:val="72B4116B"/>
    <w:rsid w:val="72FA21B3"/>
    <w:rsid w:val="73211C63"/>
    <w:rsid w:val="73475494"/>
    <w:rsid w:val="73726A6F"/>
    <w:rsid w:val="73764470"/>
    <w:rsid w:val="73812E5B"/>
    <w:rsid w:val="73BB0F6D"/>
    <w:rsid w:val="73BC0CE2"/>
    <w:rsid w:val="73CF427B"/>
    <w:rsid w:val="73E553A5"/>
    <w:rsid w:val="73E749E4"/>
    <w:rsid w:val="73F27C9F"/>
    <w:rsid w:val="73F43E60"/>
    <w:rsid w:val="73F676A0"/>
    <w:rsid w:val="73F750CA"/>
    <w:rsid w:val="73FB1E5F"/>
    <w:rsid w:val="74252B9A"/>
    <w:rsid w:val="743F6E02"/>
    <w:rsid w:val="746178B8"/>
    <w:rsid w:val="74B76DD7"/>
    <w:rsid w:val="74CF1091"/>
    <w:rsid w:val="74DD33A7"/>
    <w:rsid w:val="74FA31C0"/>
    <w:rsid w:val="75243D99"/>
    <w:rsid w:val="752C70F1"/>
    <w:rsid w:val="75385A96"/>
    <w:rsid w:val="75450A73"/>
    <w:rsid w:val="754E7ED5"/>
    <w:rsid w:val="758B2F20"/>
    <w:rsid w:val="75991870"/>
    <w:rsid w:val="75A923F7"/>
    <w:rsid w:val="75A924F0"/>
    <w:rsid w:val="75B60315"/>
    <w:rsid w:val="75B640A7"/>
    <w:rsid w:val="75B74384"/>
    <w:rsid w:val="75CA0DE4"/>
    <w:rsid w:val="760C31AA"/>
    <w:rsid w:val="76232E07"/>
    <w:rsid w:val="762E313E"/>
    <w:rsid w:val="763B3A90"/>
    <w:rsid w:val="7660015C"/>
    <w:rsid w:val="76707E12"/>
    <w:rsid w:val="76796811"/>
    <w:rsid w:val="768E05B3"/>
    <w:rsid w:val="76AB6DB2"/>
    <w:rsid w:val="76AC6AD9"/>
    <w:rsid w:val="76CD17F4"/>
    <w:rsid w:val="76CD2FF0"/>
    <w:rsid w:val="770C64FD"/>
    <w:rsid w:val="773C7E96"/>
    <w:rsid w:val="773F310C"/>
    <w:rsid w:val="77B2066E"/>
    <w:rsid w:val="77BC33B7"/>
    <w:rsid w:val="77C31ACD"/>
    <w:rsid w:val="77D575CC"/>
    <w:rsid w:val="77EF2BD0"/>
    <w:rsid w:val="7807775C"/>
    <w:rsid w:val="780A4A7F"/>
    <w:rsid w:val="784A0535"/>
    <w:rsid w:val="78532959"/>
    <w:rsid w:val="788628C1"/>
    <w:rsid w:val="789F47A8"/>
    <w:rsid w:val="78F32400"/>
    <w:rsid w:val="79075EAB"/>
    <w:rsid w:val="791066F3"/>
    <w:rsid w:val="792702FB"/>
    <w:rsid w:val="79336EF1"/>
    <w:rsid w:val="79337E5F"/>
    <w:rsid w:val="79666685"/>
    <w:rsid w:val="796763D4"/>
    <w:rsid w:val="79716CA6"/>
    <w:rsid w:val="79A13C0A"/>
    <w:rsid w:val="79B5225B"/>
    <w:rsid w:val="79E91614"/>
    <w:rsid w:val="79E916CD"/>
    <w:rsid w:val="7A023841"/>
    <w:rsid w:val="7A102AF9"/>
    <w:rsid w:val="7A253ECC"/>
    <w:rsid w:val="7A471E48"/>
    <w:rsid w:val="7A6A05A7"/>
    <w:rsid w:val="7A6D3B3A"/>
    <w:rsid w:val="7A7C5C51"/>
    <w:rsid w:val="7A8A7EA5"/>
    <w:rsid w:val="7A947F9F"/>
    <w:rsid w:val="7AD8F499"/>
    <w:rsid w:val="7B116ECB"/>
    <w:rsid w:val="7B174CC3"/>
    <w:rsid w:val="7B3DEAD3"/>
    <w:rsid w:val="7B411082"/>
    <w:rsid w:val="7B5B6A7A"/>
    <w:rsid w:val="7B645FAA"/>
    <w:rsid w:val="7B6C0247"/>
    <w:rsid w:val="7B94402F"/>
    <w:rsid w:val="7B9D242F"/>
    <w:rsid w:val="7BAF7740"/>
    <w:rsid w:val="7BB11B5A"/>
    <w:rsid w:val="7BCC7D40"/>
    <w:rsid w:val="7C3F1D3C"/>
    <w:rsid w:val="7C7001B6"/>
    <w:rsid w:val="7C725D31"/>
    <w:rsid w:val="7C745605"/>
    <w:rsid w:val="7C890B90"/>
    <w:rsid w:val="7C9F5482"/>
    <w:rsid w:val="7CC3033B"/>
    <w:rsid w:val="7CCC733E"/>
    <w:rsid w:val="7CD04B69"/>
    <w:rsid w:val="7CE03CED"/>
    <w:rsid w:val="7CE65DD7"/>
    <w:rsid w:val="7CF0780B"/>
    <w:rsid w:val="7CFD384D"/>
    <w:rsid w:val="7D21425A"/>
    <w:rsid w:val="7D2863F0"/>
    <w:rsid w:val="7D466F15"/>
    <w:rsid w:val="7D494CE4"/>
    <w:rsid w:val="7D574FDC"/>
    <w:rsid w:val="7D772A7A"/>
    <w:rsid w:val="7D813F71"/>
    <w:rsid w:val="7E2A3C98"/>
    <w:rsid w:val="7E35443E"/>
    <w:rsid w:val="7EC83EF8"/>
    <w:rsid w:val="7EDB1C12"/>
    <w:rsid w:val="7EEA6053"/>
    <w:rsid w:val="7F0D2526"/>
    <w:rsid w:val="7F1A2313"/>
    <w:rsid w:val="7F2048EA"/>
    <w:rsid w:val="7F300C25"/>
    <w:rsid w:val="7F6A5232"/>
    <w:rsid w:val="7FA43377"/>
    <w:rsid w:val="95F58507"/>
    <w:rsid w:val="E9BD7210"/>
    <w:rsid w:val="FB6F1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iPriority="0" w:semiHidden="0"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58"/>
    <w:qFormat/>
    <w:uiPriority w:val="99"/>
    <w:pPr>
      <w:keepNext/>
      <w:keepLines/>
      <w:tabs>
        <w:tab w:val="left" w:pos="432"/>
      </w:tabs>
      <w:spacing w:line="480" w:lineRule="auto"/>
      <w:outlineLvl w:val="0"/>
    </w:pPr>
    <w:rPr>
      <w:b/>
      <w:bCs/>
      <w:kern w:val="44"/>
      <w:sz w:val="30"/>
      <w:szCs w:val="30"/>
    </w:rPr>
  </w:style>
  <w:style w:type="paragraph" w:styleId="3">
    <w:name w:val="heading 2"/>
    <w:basedOn w:val="1"/>
    <w:next w:val="1"/>
    <w:link w:val="60"/>
    <w:qFormat/>
    <w:uiPriority w:val="0"/>
    <w:pPr>
      <w:keepNext/>
      <w:keepLines/>
      <w:numPr>
        <w:ilvl w:val="1"/>
        <w:numId w:val="1"/>
      </w:numPr>
      <w:spacing w:line="480" w:lineRule="auto"/>
      <w:outlineLvl w:val="1"/>
    </w:pPr>
    <w:rPr>
      <w:b/>
      <w:bCs/>
      <w:kern w:val="0"/>
      <w:sz w:val="36"/>
      <w:szCs w:val="32"/>
    </w:rPr>
  </w:style>
  <w:style w:type="paragraph" w:styleId="4">
    <w:name w:val="heading 3"/>
    <w:basedOn w:val="1"/>
    <w:next w:val="1"/>
    <w:link w:val="56"/>
    <w:qFormat/>
    <w:uiPriority w:val="99"/>
    <w:pPr>
      <w:keepLines/>
      <w:numPr>
        <w:ilvl w:val="2"/>
        <w:numId w:val="1"/>
      </w:numPr>
      <w:overflowPunct w:val="0"/>
      <w:autoSpaceDE w:val="0"/>
      <w:autoSpaceDN w:val="0"/>
      <w:adjustRightInd w:val="0"/>
      <w:spacing w:before="120" w:after="120"/>
      <w:jc w:val="left"/>
      <w:textAlignment w:val="baseline"/>
      <w:outlineLvl w:val="2"/>
    </w:pPr>
    <w:rPr>
      <w:b/>
      <w:bCs/>
      <w:kern w:val="0"/>
      <w:sz w:val="32"/>
      <w:szCs w:val="32"/>
    </w:rPr>
  </w:style>
  <w:style w:type="paragraph" w:styleId="5">
    <w:name w:val="heading 4"/>
    <w:basedOn w:val="1"/>
    <w:next w:val="1"/>
    <w:link w:val="37"/>
    <w:qFormat/>
    <w:uiPriority w:val="99"/>
    <w:pPr>
      <w:numPr>
        <w:ilvl w:val="3"/>
        <w:numId w:val="1"/>
      </w:numPr>
      <w:tabs>
        <w:tab w:val="left" w:pos="864"/>
      </w:tabs>
      <w:overflowPunct w:val="0"/>
      <w:autoSpaceDE w:val="0"/>
      <w:autoSpaceDN w:val="0"/>
      <w:adjustRightInd w:val="0"/>
      <w:spacing w:before="120" w:after="120"/>
      <w:jc w:val="left"/>
      <w:textAlignment w:val="baseline"/>
      <w:outlineLvl w:val="3"/>
    </w:pPr>
    <w:rPr>
      <w:rFonts w:ascii="Cambria" w:hAnsi="Cambria"/>
      <w:b/>
      <w:bCs/>
      <w:kern w:val="0"/>
      <w:sz w:val="28"/>
      <w:szCs w:val="28"/>
    </w:rPr>
  </w:style>
  <w:style w:type="paragraph" w:styleId="6">
    <w:name w:val="heading 5"/>
    <w:basedOn w:val="1"/>
    <w:next w:val="1"/>
    <w:link w:val="38"/>
    <w:qFormat/>
    <w:uiPriority w:val="99"/>
    <w:pPr>
      <w:keepNext/>
      <w:numPr>
        <w:ilvl w:val="4"/>
        <w:numId w:val="2"/>
      </w:numPr>
      <w:overflowPunct w:val="0"/>
      <w:autoSpaceDE w:val="0"/>
      <w:autoSpaceDN w:val="0"/>
      <w:adjustRightInd w:val="0"/>
      <w:spacing w:before="120" w:after="80"/>
      <w:jc w:val="left"/>
      <w:textAlignment w:val="baseline"/>
      <w:outlineLvl w:val="4"/>
    </w:pPr>
    <w:rPr>
      <w:b/>
      <w:bCs/>
      <w:kern w:val="0"/>
      <w:sz w:val="28"/>
      <w:szCs w:val="28"/>
    </w:rPr>
  </w:style>
  <w:style w:type="paragraph" w:styleId="7">
    <w:name w:val="heading 9"/>
    <w:basedOn w:val="1"/>
    <w:next w:val="1"/>
    <w:link w:val="51"/>
    <w:qFormat/>
    <w:uiPriority w:val="0"/>
    <w:pPr>
      <w:keepNext/>
      <w:keepLines/>
      <w:spacing w:before="200"/>
      <w:outlineLvl w:val="8"/>
    </w:pPr>
    <w:rPr>
      <w:rFonts w:ascii="Cambria" w:hAnsi="Cambria"/>
      <w:i/>
      <w:iCs/>
      <w:color w:val="404040"/>
      <w:sz w:val="20"/>
      <w:szCs w:val="20"/>
    </w:rPr>
  </w:style>
  <w:style w:type="character" w:default="1" w:styleId="31">
    <w:name w:val="Default Paragraph Font"/>
    <w:semiHidden/>
    <w:unhideWhenUsed/>
    <w:qFormat/>
    <w:uiPriority w:val="1"/>
  </w:style>
  <w:style w:type="table" w:default="1" w:styleId="29">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0"/>
    </w:rPr>
    <w:tblPr>
      <w:tblCellMar>
        <w:top w:w="0" w:type="dxa"/>
        <w:left w:w="108" w:type="dxa"/>
        <w:bottom w:w="0" w:type="dxa"/>
        <w:right w:w="108" w:type="dxa"/>
      </w:tblCellMar>
    </w:tblPr>
  </w:style>
  <w:style w:type="paragraph" w:styleId="8">
    <w:name w:val="toc 7"/>
    <w:basedOn w:val="1"/>
    <w:next w:val="1"/>
    <w:unhideWhenUsed/>
    <w:qFormat/>
    <w:uiPriority w:val="39"/>
    <w:pPr>
      <w:ind w:left="1260"/>
      <w:jc w:val="left"/>
    </w:pPr>
    <w:rPr>
      <w:rFonts w:ascii="Calibri" w:hAnsi="Calibri" w:cs="黑体"/>
      <w:sz w:val="18"/>
      <w:szCs w:val="18"/>
    </w:rPr>
  </w:style>
  <w:style w:type="paragraph" w:styleId="9">
    <w:name w:val="Normal Indent"/>
    <w:basedOn w:val="1"/>
    <w:qFormat/>
    <w:uiPriority w:val="0"/>
    <w:pPr>
      <w:overflowPunct w:val="0"/>
      <w:autoSpaceDE w:val="0"/>
      <w:autoSpaceDN w:val="0"/>
      <w:adjustRightInd w:val="0"/>
      <w:spacing w:line="360" w:lineRule="auto"/>
      <w:ind w:firstLine="454"/>
      <w:textAlignment w:val="baseline"/>
    </w:pPr>
    <w:rPr>
      <w:rFonts w:eastAsia="幼圆"/>
      <w:kern w:val="28"/>
      <w:szCs w:val="20"/>
    </w:rPr>
  </w:style>
  <w:style w:type="paragraph" w:styleId="10">
    <w:name w:val="annotation text"/>
    <w:basedOn w:val="1"/>
    <w:link w:val="53"/>
    <w:unhideWhenUsed/>
    <w:qFormat/>
    <w:uiPriority w:val="0"/>
    <w:pPr>
      <w:jc w:val="left"/>
    </w:pPr>
    <w:rPr>
      <w:sz w:val="21"/>
    </w:rPr>
  </w:style>
  <w:style w:type="paragraph" w:styleId="11">
    <w:name w:val="Body Text"/>
    <w:basedOn w:val="1"/>
    <w:next w:val="12"/>
    <w:unhideWhenUsed/>
    <w:qFormat/>
    <w:uiPriority w:val="99"/>
    <w:pPr>
      <w:spacing w:after="120"/>
    </w:pPr>
  </w:style>
  <w:style w:type="paragraph" w:styleId="12">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116"/>
      <w:szCs w:val="32"/>
    </w:rPr>
  </w:style>
  <w:style w:type="paragraph" w:styleId="13">
    <w:name w:val="toc 5"/>
    <w:basedOn w:val="1"/>
    <w:next w:val="1"/>
    <w:unhideWhenUsed/>
    <w:qFormat/>
    <w:uiPriority w:val="39"/>
    <w:pPr>
      <w:ind w:left="840"/>
      <w:jc w:val="left"/>
    </w:pPr>
    <w:rPr>
      <w:rFonts w:ascii="Calibri" w:hAnsi="Calibri" w:cs="黑体"/>
      <w:sz w:val="18"/>
      <w:szCs w:val="18"/>
    </w:rPr>
  </w:style>
  <w:style w:type="paragraph" w:styleId="14">
    <w:name w:val="toc 3"/>
    <w:basedOn w:val="1"/>
    <w:next w:val="1"/>
    <w:unhideWhenUsed/>
    <w:qFormat/>
    <w:uiPriority w:val="39"/>
    <w:pPr>
      <w:ind w:left="840" w:leftChars="400"/>
    </w:pPr>
  </w:style>
  <w:style w:type="paragraph" w:styleId="15">
    <w:name w:val="Plain Text"/>
    <w:basedOn w:val="1"/>
    <w:unhideWhenUsed/>
    <w:qFormat/>
    <w:uiPriority w:val="99"/>
    <w:pPr>
      <w:spacing w:before="120" w:line="360" w:lineRule="auto"/>
      <w:ind w:firstLine="480" w:firstLineChars="200"/>
    </w:pPr>
    <w:rPr>
      <w:rFonts w:ascii="宋体" w:hAnsi="宋体"/>
      <w:szCs w:val="20"/>
    </w:rPr>
  </w:style>
  <w:style w:type="paragraph" w:styleId="16">
    <w:name w:val="toc 8"/>
    <w:basedOn w:val="1"/>
    <w:next w:val="1"/>
    <w:unhideWhenUsed/>
    <w:qFormat/>
    <w:uiPriority w:val="39"/>
    <w:pPr>
      <w:ind w:left="1470"/>
      <w:jc w:val="left"/>
    </w:pPr>
    <w:rPr>
      <w:rFonts w:ascii="Calibri" w:hAnsi="Calibri" w:cs="黑体"/>
      <w:sz w:val="18"/>
      <w:szCs w:val="18"/>
    </w:rPr>
  </w:style>
  <w:style w:type="paragraph" w:styleId="17">
    <w:name w:val="Date"/>
    <w:basedOn w:val="1"/>
    <w:next w:val="1"/>
    <w:link w:val="49"/>
    <w:qFormat/>
    <w:uiPriority w:val="0"/>
    <w:pPr>
      <w:ind w:left="100" w:leftChars="2500"/>
    </w:pPr>
    <w:rPr>
      <w:rFonts w:ascii="Calibri" w:hAnsi="Calibri"/>
      <w:sz w:val="21"/>
      <w:szCs w:val="22"/>
    </w:rPr>
  </w:style>
  <w:style w:type="paragraph" w:styleId="18">
    <w:name w:val="Body Text Indent 2"/>
    <w:basedOn w:val="1"/>
    <w:qFormat/>
    <w:uiPriority w:val="0"/>
    <w:pPr>
      <w:spacing w:after="120" w:line="480" w:lineRule="auto"/>
      <w:ind w:left="420" w:leftChars="200"/>
    </w:pPr>
  </w:style>
  <w:style w:type="paragraph" w:styleId="19">
    <w:name w:val="Balloon Text"/>
    <w:basedOn w:val="1"/>
    <w:link w:val="59"/>
    <w:unhideWhenUsed/>
    <w:qFormat/>
    <w:uiPriority w:val="0"/>
    <w:rPr>
      <w:sz w:val="18"/>
      <w:szCs w:val="18"/>
    </w:rPr>
  </w:style>
  <w:style w:type="paragraph" w:styleId="20">
    <w:name w:val="footer"/>
    <w:basedOn w:val="1"/>
    <w:link w:val="57"/>
    <w:unhideWhenUsed/>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99"/>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unhideWhenUsed/>
    <w:qFormat/>
    <w:uiPriority w:val="39"/>
  </w:style>
  <w:style w:type="paragraph" w:styleId="23">
    <w:name w:val="toc 4"/>
    <w:basedOn w:val="1"/>
    <w:next w:val="1"/>
    <w:unhideWhenUsed/>
    <w:qFormat/>
    <w:uiPriority w:val="39"/>
    <w:pPr>
      <w:ind w:left="1260" w:leftChars="600"/>
    </w:pPr>
  </w:style>
  <w:style w:type="paragraph" w:styleId="24">
    <w:name w:val="toc 6"/>
    <w:basedOn w:val="1"/>
    <w:next w:val="1"/>
    <w:unhideWhenUsed/>
    <w:qFormat/>
    <w:uiPriority w:val="39"/>
    <w:pPr>
      <w:ind w:left="1050"/>
      <w:jc w:val="left"/>
    </w:pPr>
    <w:rPr>
      <w:rFonts w:ascii="Calibri" w:hAnsi="Calibri" w:cs="黑体"/>
      <w:sz w:val="18"/>
      <w:szCs w:val="18"/>
    </w:rPr>
  </w:style>
  <w:style w:type="paragraph" w:styleId="25">
    <w:name w:val="toc 2"/>
    <w:basedOn w:val="1"/>
    <w:next w:val="1"/>
    <w:unhideWhenUsed/>
    <w:qFormat/>
    <w:uiPriority w:val="39"/>
    <w:pPr>
      <w:ind w:left="420" w:leftChars="200"/>
    </w:pPr>
  </w:style>
  <w:style w:type="paragraph" w:styleId="26">
    <w:name w:val="toc 9"/>
    <w:basedOn w:val="1"/>
    <w:next w:val="1"/>
    <w:unhideWhenUsed/>
    <w:qFormat/>
    <w:uiPriority w:val="39"/>
    <w:pPr>
      <w:ind w:left="1680"/>
      <w:jc w:val="left"/>
    </w:pPr>
    <w:rPr>
      <w:rFonts w:ascii="Calibri" w:hAnsi="Calibri" w:cs="黑体"/>
      <w:sz w:val="18"/>
      <w:szCs w:val="18"/>
    </w:rPr>
  </w:style>
  <w:style w:type="paragraph" w:styleId="27">
    <w:name w:val="Normal (Web)"/>
    <w:basedOn w:val="1"/>
    <w:unhideWhenUsed/>
    <w:qFormat/>
    <w:uiPriority w:val="99"/>
    <w:pPr>
      <w:widowControl/>
      <w:spacing w:before="100" w:beforeAutospacing="1" w:after="100" w:afterAutospacing="1"/>
      <w:jc w:val="left"/>
    </w:pPr>
    <w:rPr>
      <w:rFonts w:ascii="宋体" w:hAnsi="宋体" w:cs="宋体"/>
      <w:kern w:val="0"/>
    </w:rPr>
  </w:style>
  <w:style w:type="paragraph" w:styleId="28">
    <w:name w:val="annotation subject"/>
    <w:basedOn w:val="10"/>
    <w:next w:val="10"/>
    <w:link w:val="54"/>
    <w:unhideWhenUsed/>
    <w:qFormat/>
    <w:uiPriority w:val="99"/>
    <w:rPr>
      <w:b/>
      <w:bCs/>
    </w:rPr>
  </w:style>
  <w:style w:type="table" w:styleId="30">
    <w:name w:val="Table Grid"/>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22"/>
    <w:rPr>
      <w:b/>
    </w:rPr>
  </w:style>
  <w:style w:type="character" w:styleId="33">
    <w:name w:val="page number"/>
    <w:basedOn w:val="31"/>
    <w:qFormat/>
    <w:uiPriority w:val="0"/>
  </w:style>
  <w:style w:type="character" w:styleId="34">
    <w:name w:val="FollowedHyperlink"/>
    <w:unhideWhenUsed/>
    <w:qFormat/>
    <w:uiPriority w:val="99"/>
    <w:rPr>
      <w:color w:val="954F72"/>
      <w:u w:val="single"/>
    </w:rPr>
  </w:style>
  <w:style w:type="character" w:styleId="35">
    <w:name w:val="Hyperlink"/>
    <w:unhideWhenUsed/>
    <w:qFormat/>
    <w:uiPriority w:val="99"/>
    <w:rPr>
      <w:color w:val="0000FF"/>
      <w:u w:val="single"/>
    </w:rPr>
  </w:style>
  <w:style w:type="character" w:styleId="36">
    <w:name w:val="annotation reference"/>
    <w:unhideWhenUsed/>
    <w:qFormat/>
    <w:uiPriority w:val="99"/>
    <w:rPr>
      <w:sz w:val="21"/>
      <w:szCs w:val="21"/>
    </w:rPr>
  </w:style>
  <w:style w:type="character" w:customStyle="1" w:styleId="37">
    <w:name w:val="标题 4 字符"/>
    <w:link w:val="5"/>
    <w:qFormat/>
    <w:uiPriority w:val="99"/>
    <w:rPr>
      <w:rFonts w:ascii="Cambria" w:hAnsi="Cambria"/>
      <w:b/>
      <w:bCs/>
      <w:sz w:val="28"/>
      <w:szCs w:val="28"/>
    </w:rPr>
  </w:style>
  <w:style w:type="character" w:customStyle="1" w:styleId="38">
    <w:name w:val="标题 5 字符"/>
    <w:link w:val="6"/>
    <w:qFormat/>
    <w:uiPriority w:val="99"/>
    <w:rPr>
      <w:rFonts w:ascii="Times New Roman" w:hAnsi="Times New Roman"/>
      <w:b/>
      <w:bCs/>
      <w:sz w:val="28"/>
      <w:szCs w:val="28"/>
    </w:rPr>
  </w:style>
  <w:style w:type="paragraph" w:customStyle="1" w:styleId="39">
    <w:name w:val="三级无标题条"/>
    <w:basedOn w:val="1"/>
    <w:qFormat/>
    <w:uiPriority w:val="0"/>
    <w:pPr>
      <w:widowControl/>
      <w:numPr>
        <w:ilvl w:val="5"/>
        <w:numId w:val="3"/>
      </w:numPr>
      <w:spacing w:after="200" w:line="276" w:lineRule="auto"/>
      <w:jc w:val="left"/>
    </w:pPr>
    <w:rPr>
      <w:rFonts w:ascii="Calibri" w:hAnsi="Calibri"/>
      <w:b/>
      <w:kern w:val="0"/>
      <w:sz w:val="22"/>
      <w:szCs w:val="22"/>
      <w:lang w:eastAsia="en-US" w:bidi="en-US"/>
    </w:rPr>
  </w:style>
  <w:style w:type="paragraph" w:customStyle="1" w:styleId="40">
    <w:name w:val="章标题"/>
    <w:next w:val="41"/>
    <w:qFormat/>
    <w:uiPriority w:val="0"/>
    <w:pPr>
      <w:numPr>
        <w:ilvl w:val="1"/>
        <w:numId w:val="3"/>
      </w:numPr>
      <w:tabs>
        <w:tab w:val="left" w:pos="420"/>
      </w:tabs>
      <w:spacing w:before="50" w:beforeLines="50" w:after="50" w:afterLines="50" w:line="276" w:lineRule="auto"/>
      <w:jc w:val="both"/>
      <w:outlineLvl w:val="1"/>
    </w:pPr>
    <w:rPr>
      <w:rFonts w:ascii="黑体" w:hAnsi="Times New Roman" w:eastAsia="黑体" w:cs="Times New Roman"/>
      <w:b/>
      <w:sz w:val="21"/>
      <w:szCs w:val="22"/>
      <w:lang w:val="en-US" w:eastAsia="zh-CN" w:bidi="ar-SA"/>
    </w:rPr>
  </w:style>
  <w:style w:type="paragraph" w:customStyle="1" w:styleId="41">
    <w:name w:val="段"/>
    <w:qFormat/>
    <w:uiPriority w:val="0"/>
    <w:pPr>
      <w:spacing w:after="200" w:line="276" w:lineRule="auto"/>
      <w:ind w:firstLine="200" w:firstLineChars="200"/>
      <w:jc w:val="both"/>
    </w:pPr>
    <w:rPr>
      <w:rFonts w:ascii="宋体" w:hAnsi="Times New Roman" w:eastAsia="宋体" w:cs="Times New Roman"/>
      <w:sz w:val="21"/>
      <w:szCs w:val="22"/>
      <w:lang w:val="en-US" w:eastAsia="zh-CN" w:bidi="ar-SA"/>
    </w:rPr>
  </w:style>
  <w:style w:type="paragraph" w:customStyle="1" w:styleId="42">
    <w:name w:val="缺省文本"/>
    <w:basedOn w:val="1"/>
    <w:qFormat/>
    <w:uiPriority w:val="0"/>
    <w:pPr>
      <w:autoSpaceDE w:val="0"/>
      <w:autoSpaceDN w:val="0"/>
      <w:adjustRightInd w:val="0"/>
      <w:spacing w:before="20" w:after="20" w:line="400" w:lineRule="exact"/>
      <w:ind w:firstLine="504"/>
      <w:jc w:val="left"/>
    </w:pPr>
    <w:rPr>
      <w:kern w:val="0"/>
    </w:rPr>
  </w:style>
  <w:style w:type="paragraph" w:customStyle="1" w:styleId="43">
    <w:name w:val="一级条标题"/>
    <w:basedOn w:val="40"/>
    <w:next w:val="41"/>
    <w:qFormat/>
    <w:uiPriority w:val="0"/>
    <w:pPr>
      <w:numPr>
        <w:ilvl w:val="2"/>
      </w:numPr>
      <w:tabs>
        <w:tab w:val="left" w:pos="525"/>
        <w:tab w:val="clear" w:pos="420"/>
      </w:tabs>
      <w:spacing w:before="0" w:beforeLines="0" w:after="0" w:afterLines="0"/>
      <w:outlineLvl w:val="2"/>
    </w:pPr>
  </w:style>
  <w:style w:type="paragraph" w:styleId="44">
    <w:name w:val="No Spacing"/>
    <w:link w:val="48"/>
    <w:qFormat/>
    <w:uiPriority w:val="1"/>
    <w:rPr>
      <w:rFonts w:ascii="Times New Roman" w:hAnsi="Times New Roman" w:eastAsia="宋体" w:cs="Times New Roman"/>
      <w:sz w:val="22"/>
      <w:szCs w:val="22"/>
      <w:lang w:val="en-US" w:eastAsia="zh-CN" w:bidi="ar-SA"/>
    </w:rPr>
  </w:style>
  <w:style w:type="paragraph" w:customStyle="1" w:styleId="45">
    <w:name w:val="样式2"/>
    <w:basedOn w:val="1"/>
    <w:next w:val="1"/>
    <w:link w:val="52"/>
    <w:qFormat/>
    <w:uiPriority w:val="0"/>
    <w:pPr>
      <w:spacing w:line="360" w:lineRule="auto"/>
      <w:ind w:firstLine="480" w:firstLineChars="200"/>
    </w:pPr>
  </w:style>
  <w:style w:type="paragraph" w:customStyle="1" w:styleId="46">
    <w:name w:val="条文脚注"/>
    <w:basedOn w:val="1"/>
    <w:qFormat/>
    <w:uiPriority w:val="0"/>
    <w:pPr>
      <w:widowControl/>
      <w:numPr>
        <w:ilvl w:val="6"/>
        <w:numId w:val="3"/>
      </w:numPr>
      <w:tabs>
        <w:tab w:val="left" w:pos="360"/>
        <w:tab w:val="clear" w:pos="1440"/>
      </w:tabs>
      <w:snapToGrid w:val="0"/>
      <w:spacing w:after="200" w:line="276" w:lineRule="auto"/>
    </w:pPr>
    <w:rPr>
      <w:rFonts w:ascii="宋体" w:hAnsi="Calibri"/>
      <w:sz w:val="18"/>
      <w:szCs w:val="18"/>
    </w:rPr>
  </w:style>
  <w:style w:type="paragraph" w:customStyle="1" w:styleId="47">
    <w:name w:val="三级条标题"/>
    <w:basedOn w:val="1"/>
    <w:next w:val="41"/>
    <w:qFormat/>
    <w:uiPriority w:val="0"/>
    <w:pPr>
      <w:widowControl/>
      <w:numPr>
        <w:ilvl w:val="4"/>
        <w:numId w:val="3"/>
      </w:numPr>
      <w:tabs>
        <w:tab w:val="left" w:pos="945"/>
      </w:tabs>
      <w:spacing w:line="276" w:lineRule="auto"/>
      <w:outlineLvl w:val="4"/>
    </w:pPr>
    <w:rPr>
      <w:rFonts w:ascii="黑体" w:hAnsi="Calibri" w:eastAsia="黑体"/>
      <w:b/>
      <w:kern w:val="0"/>
      <w:szCs w:val="22"/>
    </w:rPr>
  </w:style>
  <w:style w:type="character" w:customStyle="1" w:styleId="48">
    <w:name w:val="无间隔 字符"/>
    <w:link w:val="44"/>
    <w:qFormat/>
    <w:uiPriority w:val="1"/>
    <w:rPr>
      <w:sz w:val="22"/>
      <w:szCs w:val="22"/>
      <w:lang w:val="en-US" w:eastAsia="zh-CN" w:bidi="ar-SA"/>
    </w:rPr>
  </w:style>
  <w:style w:type="character" w:customStyle="1" w:styleId="49">
    <w:name w:val="日期 字符"/>
    <w:link w:val="17"/>
    <w:qFormat/>
    <w:uiPriority w:val="0"/>
    <w:rPr>
      <w:kern w:val="2"/>
      <w:sz w:val="21"/>
      <w:szCs w:val="22"/>
    </w:rPr>
  </w:style>
  <w:style w:type="character" w:customStyle="1" w:styleId="50">
    <w:name w:val="样式 Arial"/>
    <w:qFormat/>
    <w:uiPriority w:val="0"/>
    <w:rPr>
      <w:rFonts w:ascii="Arial" w:hAnsi="Arial" w:eastAsia="宋体"/>
      <w:kern w:val="2"/>
      <w:sz w:val="24"/>
      <w:lang w:val="en-US" w:eastAsia="zh-CN" w:bidi="ar-SA"/>
    </w:rPr>
  </w:style>
  <w:style w:type="character" w:customStyle="1" w:styleId="51">
    <w:name w:val="标题 9 字符"/>
    <w:link w:val="7"/>
    <w:semiHidden/>
    <w:qFormat/>
    <w:uiPriority w:val="0"/>
    <w:rPr>
      <w:rFonts w:ascii="Cambria" w:hAnsi="Cambria"/>
      <w:i/>
      <w:iCs/>
      <w:color w:val="404040"/>
      <w:kern w:val="2"/>
    </w:rPr>
  </w:style>
  <w:style w:type="character" w:customStyle="1" w:styleId="52">
    <w:name w:val="样式2 Char"/>
    <w:link w:val="45"/>
    <w:qFormat/>
    <w:uiPriority w:val="0"/>
    <w:rPr>
      <w:rFonts w:ascii="Times New Roman" w:hAnsi="Times New Roman"/>
      <w:kern w:val="2"/>
      <w:sz w:val="24"/>
      <w:szCs w:val="24"/>
    </w:rPr>
  </w:style>
  <w:style w:type="character" w:customStyle="1" w:styleId="53">
    <w:name w:val="批注文字 字符"/>
    <w:link w:val="10"/>
    <w:qFormat/>
    <w:uiPriority w:val="0"/>
    <w:rPr>
      <w:rFonts w:ascii="Times New Roman" w:hAnsi="Times New Roman"/>
      <w:kern w:val="2"/>
      <w:sz w:val="21"/>
      <w:szCs w:val="24"/>
    </w:rPr>
  </w:style>
  <w:style w:type="character" w:customStyle="1" w:styleId="54">
    <w:name w:val="批注主题 字符"/>
    <w:link w:val="28"/>
    <w:semiHidden/>
    <w:qFormat/>
    <w:uiPriority w:val="99"/>
    <w:rPr>
      <w:rFonts w:ascii="Times New Roman" w:hAnsi="Times New Roman"/>
      <w:b/>
      <w:bCs/>
      <w:kern w:val="2"/>
      <w:sz w:val="21"/>
      <w:szCs w:val="24"/>
    </w:rPr>
  </w:style>
  <w:style w:type="character" w:customStyle="1" w:styleId="55">
    <w:name w:val="页眉 字符"/>
    <w:link w:val="21"/>
    <w:qFormat/>
    <w:uiPriority w:val="99"/>
    <w:rPr>
      <w:rFonts w:ascii="Times New Roman" w:hAnsi="Times New Roman" w:eastAsia="宋体" w:cs="Times New Roman"/>
      <w:kern w:val="0"/>
      <w:sz w:val="18"/>
      <w:szCs w:val="18"/>
    </w:rPr>
  </w:style>
  <w:style w:type="character" w:customStyle="1" w:styleId="56">
    <w:name w:val="标题 3 字符"/>
    <w:link w:val="4"/>
    <w:qFormat/>
    <w:uiPriority w:val="99"/>
    <w:rPr>
      <w:rFonts w:ascii="Times New Roman" w:hAnsi="Times New Roman"/>
      <w:b/>
      <w:bCs/>
      <w:sz w:val="32"/>
      <w:szCs w:val="32"/>
    </w:rPr>
  </w:style>
  <w:style w:type="character" w:customStyle="1" w:styleId="57">
    <w:name w:val="页脚 字符"/>
    <w:link w:val="20"/>
    <w:qFormat/>
    <w:uiPriority w:val="99"/>
    <w:rPr>
      <w:rFonts w:ascii="Times New Roman" w:hAnsi="Times New Roman" w:eastAsia="宋体" w:cs="Times New Roman"/>
      <w:sz w:val="18"/>
      <w:szCs w:val="18"/>
    </w:rPr>
  </w:style>
  <w:style w:type="character" w:customStyle="1" w:styleId="58">
    <w:name w:val="标题 1 字符"/>
    <w:link w:val="2"/>
    <w:qFormat/>
    <w:uiPriority w:val="99"/>
    <w:rPr>
      <w:rFonts w:ascii="Times New Roman" w:hAnsi="Times New Roman" w:eastAsia="宋体" w:cs="Times New Roman"/>
      <w:b/>
      <w:bCs/>
      <w:kern w:val="44"/>
      <w:sz w:val="30"/>
      <w:szCs w:val="30"/>
      <w:lang w:val="en-US" w:eastAsia="zh-CN" w:bidi="ar-SA"/>
    </w:rPr>
  </w:style>
  <w:style w:type="character" w:customStyle="1" w:styleId="59">
    <w:name w:val="批注框文本 字符"/>
    <w:link w:val="19"/>
    <w:qFormat/>
    <w:uiPriority w:val="0"/>
    <w:rPr>
      <w:rFonts w:ascii="Times New Roman" w:hAnsi="Times New Roman"/>
      <w:kern w:val="2"/>
      <w:sz w:val="18"/>
      <w:szCs w:val="18"/>
    </w:rPr>
  </w:style>
  <w:style w:type="character" w:customStyle="1" w:styleId="60">
    <w:name w:val="标题 2 字符"/>
    <w:link w:val="3"/>
    <w:qFormat/>
    <w:uiPriority w:val="0"/>
    <w:rPr>
      <w:rFonts w:ascii="Times New Roman" w:hAnsi="Times New Roman"/>
      <w:b/>
      <w:bCs/>
      <w:sz w:val="36"/>
      <w:szCs w:val="32"/>
    </w:rPr>
  </w:style>
  <w:style w:type="paragraph" w:customStyle="1" w:styleId="61">
    <w:name w:val="列表段落1"/>
    <w:basedOn w:val="1"/>
    <w:qFormat/>
    <w:uiPriority w:val="34"/>
    <w:pPr>
      <w:ind w:firstLine="420" w:firstLineChars="200"/>
    </w:pPr>
  </w:style>
  <w:style w:type="paragraph" w:customStyle="1" w:styleId="62">
    <w:name w:val="ZHENGWEN"/>
    <w:basedOn w:val="1"/>
    <w:qFormat/>
    <w:uiPriority w:val="0"/>
    <w:pPr>
      <w:spacing w:line="360" w:lineRule="auto"/>
      <w:ind w:firstLine="480" w:firstLineChars="200"/>
    </w:pPr>
    <w:rPr>
      <w:rFonts w:ascii="宋体" w:hAnsi="宋体" w:cs="宋体"/>
    </w:rPr>
  </w:style>
  <w:style w:type="paragraph" w:customStyle="1" w:styleId="63">
    <w:name w:val="列出段落1"/>
    <w:basedOn w:val="1"/>
    <w:qFormat/>
    <w:uiPriority w:val="34"/>
    <w:pPr>
      <w:ind w:firstLine="420" w:firstLineChars="200"/>
    </w:pPr>
  </w:style>
  <w:style w:type="paragraph" w:customStyle="1" w:styleId="64">
    <w:name w:val="修订1"/>
    <w:hidden/>
    <w:unhideWhenUsed/>
    <w:qFormat/>
    <w:uiPriority w:val="99"/>
    <w:rPr>
      <w:rFonts w:ascii="Times New Roman" w:hAnsi="Times New Roman" w:eastAsia="宋体" w:cs="Times New Roman"/>
      <w:kern w:val="2"/>
      <w:sz w:val="24"/>
      <w:szCs w:val="24"/>
      <w:lang w:val="en-US" w:eastAsia="zh-CN" w:bidi="ar-SA"/>
    </w:rPr>
  </w:style>
  <w:style w:type="paragraph" w:customStyle="1" w:styleId="65">
    <w:name w:val="样式1"/>
    <w:basedOn w:val="63"/>
    <w:qFormat/>
    <w:uiPriority w:val="0"/>
    <w:pPr>
      <w:numPr>
        <w:ilvl w:val="0"/>
        <w:numId w:val="4"/>
      </w:numPr>
      <w:ind w:firstLine="0" w:firstLineChars="0"/>
      <w:jc w:val="center"/>
    </w:pPr>
    <w:rPr>
      <w:rFonts w:ascii="宋体" w:hAnsi="宋体"/>
      <w:b/>
      <w:sz w:val="32"/>
      <w:szCs w:val="32"/>
    </w:rPr>
  </w:style>
  <w:style w:type="character" w:customStyle="1" w:styleId="66">
    <w:name w:val="font21"/>
    <w:basedOn w:val="31"/>
    <w:qFormat/>
    <w:uiPriority w:val="0"/>
    <w:rPr>
      <w:rFonts w:hint="eastAsia" w:ascii="宋体" w:hAnsi="宋体" w:eastAsia="宋体" w:cs="宋体"/>
      <w:color w:val="000000"/>
      <w:sz w:val="20"/>
      <w:szCs w:val="20"/>
      <w:u w:val="none"/>
    </w:rPr>
  </w:style>
  <w:style w:type="paragraph" w:customStyle="1" w:styleId="67">
    <w:name w:val="_Style 4"/>
    <w:basedOn w:val="2"/>
    <w:next w:val="1"/>
    <w:qFormat/>
    <w:uiPriority w:val="39"/>
    <w:pPr>
      <w:widowControl/>
      <w:spacing w:before="480" w:line="276" w:lineRule="auto"/>
      <w:jc w:val="left"/>
      <w:outlineLvl w:val="9"/>
    </w:pPr>
    <w:rPr>
      <w:rFonts w:ascii="Cambria" w:hAnsi="Cambria"/>
      <w:color w:val="365F91"/>
      <w:kern w:val="0"/>
      <w:sz w:val="28"/>
      <w:szCs w:val="28"/>
    </w:rPr>
  </w:style>
  <w:style w:type="character" w:customStyle="1" w:styleId="68">
    <w:name w:val="font41"/>
    <w:basedOn w:val="31"/>
    <w:qFormat/>
    <w:uiPriority w:val="0"/>
    <w:rPr>
      <w:rFonts w:hint="default" w:ascii="仿宋_GB2312" w:eastAsia="仿宋_GB2312" w:cs="仿宋_GB2312"/>
      <w:color w:val="FF0000"/>
      <w:sz w:val="20"/>
      <w:szCs w:val="20"/>
      <w:u w:val="none"/>
    </w:rPr>
  </w:style>
  <w:style w:type="paragraph" w:customStyle="1" w:styleId="69">
    <w:name w:val="List Paragraph1"/>
    <w:basedOn w:val="1"/>
    <w:qFormat/>
    <w:uiPriority w:val="0"/>
    <w:pPr>
      <w:adjustRightInd w:val="0"/>
      <w:snapToGrid w:val="0"/>
      <w:spacing w:before="120" w:after="120" w:line="360" w:lineRule="auto"/>
      <w:ind w:left="578" w:firstLine="420" w:firstLineChars="200"/>
    </w:pPr>
    <w:rPr>
      <w:lang w:eastAsia="zh-TW"/>
    </w:rPr>
  </w:style>
  <w:style w:type="paragraph" w:customStyle="1" w:styleId="70">
    <w:name w:val="二级条标题"/>
    <w:basedOn w:val="43"/>
    <w:next w:val="41"/>
    <w:qFormat/>
    <w:uiPriority w:val="0"/>
    <w:pPr>
      <w:tabs>
        <w:tab w:val="left" w:pos="864"/>
        <w:tab w:val="left" w:pos="1260"/>
        <w:tab w:val="left" w:pos="1680"/>
        <w:tab w:val="left" w:pos="2100"/>
        <w:tab w:val="left" w:pos="2520"/>
        <w:tab w:val="clear" w:pos="525"/>
      </w:tabs>
      <w:ind w:left="1680"/>
      <w:outlineLvl w:val="3"/>
    </w:pPr>
  </w:style>
  <w:style w:type="paragraph" w:customStyle="1" w:styleId="71">
    <w:name w:val="p0"/>
    <w:basedOn w:val="1"/>
    <w:qFormat/>
    <w:uiPriority w:val="0"/>
    <w:pPr>
      <w:widowControl/>
    </w:pPr>
    <w:rPr>
      <w:kern w:val="0"/>
      <w:szCs w:val="21"/>
    </w:rPr>
  </w:style>
  <w:style w:type="paragraph" w:customStyle="1" w:styleId="72">
    <w:name w:val="WPSOffice手动目录 1"/>
    <w:qFormat/>
    <w:uiPriority w:val="0"/>
    <w:rPr>
      <w:rFonts w:ascii="Times New Roman" w:hAnsi="Times New Roman" w:eastAsia="宋体" w:cs="Times New Roman"/>
      <w:lang w:val="en-US" w:eastAsia="zh-CN" w:bidi="ar-SA"/>
    </w:rPr>
  </w:style>
  <w:style w:type="character" w:customStyle="1" w:styleId="73">
    <w:name w:val="font01"/>
    <w:basedOn w:val="31"/>
    <w:qFormat/>
    <w:uiPriority w:val="0"/>
    <w:rPr>
      <w:rFonts w:hint="eastAsia" w:ascii="宋体" w:hAnsi="宋体" w:eastAsia="宋体" w:cs="宋体"/>
      <w:color w:val="000000"/>
      <w:sz w:val="22"/>
      <w:szCs w:val="22"/>
      <w:u w:val="none"/>
    </w:rPr>
  </w:style>
  <w:style w:type="paragraph" w:customStyle="1" w:styleId="74">
    <w:name w:val="dingdocnormal"/>
    <w:basedOn w:val="1"/>
    <w:qFormat/>
    <w:uiPriority w:val="0"/>
    <w:pPr>
      <w:keepNext w:val="0"/>
      <w:keepLines w:val="0"/>
      <w:widowControl/>
      <w:suppressLineNumbers w:val="0"/>
      <w:spacing w:before="0" w:beforeAutospacing="0" w:after="0" w:afterAutospacing="0"/>
      <w:ind w:left="0" w:right="0"/>
      <w:jc w:val="left"/>
    </w:pPr>
    <w:rPr>
      <w:rFonts w:hint="eastAsia" w:ascii="等线" w:hAnsi="等线" w:eastAsia="等线" w:cs="Times New Roman"/>
      <w:kern w:val="2"/>
      <w:sz w:val="24"/>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gzdw</Company>
  <Pages>12</Pages>
  <Words>4799</Words>
  <Characters>6890</Characters>
  <Lines>72</Lines>
  <Paragraphs>20</Paragraphs>
  <TotalTime>61</TotalTime>
  <ScaleCrop>false</ScaleCrop>
  <LinksUpToDate>false</LinksUpToDate>
  <CharactersWithSpaces>7076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2017-03-02T08:22:00Z</dcterms:created>
  <dc:creator>NTKO</dc:creator>
  <cp:lastModifiedBy>00032623_st</cp:lastModifiedBy>
  <dcterms:modified xsi:type="dcterms:W3CDTF">2026-06-01T02:10:28Z</dcterms:modified>
  <dc:title>项目编号：××××××××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1BE88DA04C984E38849D34C65A85E21F_13</vt:lpwstr>
  </property>
  <property fmtid="{D5CDD505-2E9C-101B-9397-08002B2CF9AE}" pid="4" name="KSOTemplateDocerSaveRecord">
    <vt:lpwstr>eyJoZGlkIjoiYjJjMjJmYjIzZGFjZTVkMWZkMDQ1MDBiNWYyMjA5YWMiLCJ1c2VySWQiOiIxMTQ3MjU2Mjg1In0=</vt:lpwstr>
  </property>
  <property fmtid="{D5CDD505-2E9C-101B-9397-08002B2CF9AE}" pid="5" name="property1">
    <vt:lpwstr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vt:lpwstr>
  </property>
</Properties>
</file>