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spacing w:line="600" w:lineRule="exact"/>
        <w:ind w:firstLine="0" w:firstLineChars="0"/>
        <w:jc w:val="center"/>
        <w:textAlignment w:val="auto"/>
        <w:rPr>
          <w:rFonts w:hint="default"/>
          <w:sz w:val="44"/>
          <w:szCs w:val="44"/>
          <w:lang w:val="en-US" w:eastAsia="zh-CN"/>
        </w:rPr>
      </w:pPr>
      <w:bookmarkStart w:id="0" w:name="heading_2"/>
      <w:r>
        <w:rPr>
          <w:rFonts w:hint="eastAsia" w:ascii="方正小标宋_GBK" w:hAnsi="方正小标宋_GBK" w:eastAsia="方正小标宋_GBK" w:cs="方正小标宋_GBK"/>
          <w:snapToGrid w:val="0"/>
          <w:sz w:val="44"/>
          <w:szCs w:val="44"/>
          <w:lang w:val="en-US" w:eastAsia="zh-CN"/>
        </w:rPr>
        <w:t>海南电力交易中心有限责任公司司勤服务零星采购项目技术规范书</w:t>
      </w:r>
    </w:p>
    <w:bookmarkEnd w:id="0"/>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黑体" w:hAnsi="黑体" w:eastAsia="黑体" w:cs="黑体"/>
          <w:sz w:val="32"/>
          <w:szCs w:val="32"/>
        </w:rPr>
      </w:pPr>
      <w:r>
        <w:rPr>
          <w:rFonts w:hint="eastAsia" w:ascii="黑体" w:hAnsi="黑体" w:eastAsia="黑体" w:cs="黑体"/>
          <w:sz w:val="32"/>
          <w:szCs w:val="32"/>
        </w:rPr>
        <w:t>一、采购范围及报价要求</w:t>
      </w:r>
    </w:p>
    <w:p>
      <w:pPr>
        <w:pStyle w:val="6"/>
        <w:numPr>
          <w:ilvl w:val="0"/>
          <w:numId w:val="0"/>
        </w:numPr>
        <w:spacing w:before="120" w:after="120" w:line="560" w:lineRule="exact"/>
        <w:ind w:firstLine="560"/>
        <w:jc w:val="both"/>
        <w:outlineLvl w:val="0"/>
        <w:rPr>
          <w:rFonts w:hint="eastAsia" w:ascii="仿宋_GB2312" w:hAnsi="仿宋_GB2312" w:eastAsia="仿宋_GB2312" w:cs="仿宋_GB2312"/>
          <w:b/>
          <w:bCs/>
          <w:color w:val="auto"/>
          <w:kern w:val="2"/>
          <w:sz w:val="32"/>
          <w:szCs w:val="32"/>
          <w:lang w:val="en-US" w:eastAsia="zh-CN" w:bidi="ar-SA"/>
        </w:rPr>
      </w:pPr>
      <w:r>
        <w:rPr>
          <w:rFonts w:hint="eastAsia" w:ascii="仿宋_GB2312" w:hAnsi="仿宋_GB2312" w:eastAsia="仿宋_GB2312" w:cs="仿宋_GB2312"/>
          <w:b/>
          <w:bCs/>
          <w:color w:val="auto"/>
          <w:kern w:val="2"/>
          <w:sz w:val="32"/>
          <w:szCs w:val="32"/>
          <w:lang w:val="en-US" w:eastAsia="zh-CN" w:bidi="ar-SA"/>
        </w:rPr>
        <w:t>1.1采购范围</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w:t>
      </w:r>
      <w:r>
        <w:rPr>
          <w:rFonts w:hint="eastAsia" w:ascii="仿宋_GB2312" w:hAnsi="仿宋_GB2312" w:eastAsia="仿宋_GB2312" w:cs="仿宋_GB2312"/>
          <w:sz w:val="32"/>
          <w:szCs w:val="32"/>
          <w:lang w:val="en-US" w:eastAsia="zh-CN"/>
        </w:rPr>
        <w:t>采购</w:t>
      </w:r>
      <w:r>
        <w:rPr>
          <w:rFonts w:hint="eastAsia" w:ascii="仿宋_GB2312" w:hAnsi="仿宋_GB2312" w:eastAsia="仿宋_GB2312" w:cs="仿宋_GB2312"/>
          <w:sz w:val="32"/>
          <w:szCs w:val="32"/>
        </w:rPr>
        <w:t>为专职司机外包服务采购，服务地点为海口市美兰区文明东路181号三楼海南电力交易中心</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海口市秀英区长滨东三街8号南方电网综合能源大厦36楼海南电力交易中心</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采购内容为派驻</w:t>
      </w:r>
      <w:r>
        <w:rPr>
          <w:rFonts w:hint="eastAsia" w:ascii="仿宋_GB2312" w:hAnsi="仿宋_GB2312" w:eastAsia="仿宋_GB2312" w:cs="仿宋_GB2312"/>
          <w:sz w:val="32"/>
          <w:szCs w:val="32"/>
          <w:lang w:val="en-US" w:eastAsia="zh-CN"/>
        </w:rPr>
        <w:t>1-2名</w:t>
      </w:r>
      <w:r>
        <w:rPr>
          <w:rFonts w:hint="eastAsia" w:ascii="仿宋_GB2312" w:hAnsi="仿宋_GB2312" w:eastAsia="仿宋_GB2312" w:cs="仿宋_GB2312"/>
          <w:sz w:val="32"/>
          <w:szCs w:val="32"/>
        </w:rPr>
        <w:t>持A</w:t>
      </w:r>
      <w:r>
        <w:rPr>
          <w:rFonts w:hint="eastAsia" w:ascii="仿宋_GB2312" w:hAnsi="仿宋_GB2312" w:eastAsia="仿宋_GB2312" w:cs="仿宋_GB2312"/>
          <w:sz w:val="32"/>
          <w:szCs w:val="32"/>
          <w:lang w:val="en-US" w:eastAsia="zh-CN"/>
        </w:rPr>
        <w:t>证</w:t>
      </w:r>
      <w:r>
        <w:rPr>
          <w:rFonts w:hint="eastAsia" w:ascii="仿宋_GB2312" w:hAnsi="仿宋_GB2312" w:eastAsia="仿宋_GB2312" w:cs="仿宋_GB2312"/>
          <w:sz w:val="32"/>
          <w:szCs w:val="32"/>
        </w:rPr>
        <w:t>准驾驾驶证的专职司机驻场</w:t>
      </w:r>
      <w:r>
        <w:rPr>
          <w:rFonts w:hint="eastAsia" w:ascii="仿宋_GB2312" w:hAnsi="仿宋_GB2312" w:eastAsia="仿宋_GB2312" w:cs="仿宋_GB2312"/>
          <w:sz w:val="32"/>
          <w:szCs w:val="32"/>
          <w:lang w:val="en-US" w:eastAsia="zh-CN"/>
        </w:rPr>
        <w:t>3个月</w:t>
      </w:r>
      <w:r>
        <w:rPr>
          <w:rFonts w:hint="eastAsia" w:ascii="仿宋_GB2312" w:hAnsi="仿宋_GB2312" w:eastAsia="仿宋_GB2312" w:cs="仿宋_GB2312"/>
          <w:sz w:val="32"/>
          <w:szCs w:val="32"/>
        </w:rPr>
        <w:t>服务，承担</w:t>
      </w:r>
      <w:r>
        <w:rPr>
          <w:rFonts w:hint="eastAsia" w:ascii="仿宋_GB2312" w:hAnsi="仿宋_GB2312" w:eastAsia="仿宋_GB2312" w:cs="仿宋_GB2312"/>
          <w:sz w:val="32"/>
          <w:szCs w:val="32"/>
          <w:lang w:val="en-US" w:eastAsia="zh-CN"/>
        </w:rPr>
        <w:t>车辆驾驶、车辆调度等工作。</w:t>
      </w:r>
    </w:p>
    <w:p>
      <w:pPr>
        <w:pStyle w:val="6"/>
        <w:numPr>
          <w:ilvl w:val="0"/>
          <w:numId w:val="0"/>
        </w:numPr>
        <w:spacing w:before="120" w:after="120" w:line="560" w:lineRule="exact"/>
        <w:ind w:firstLine="560"/>
        <w:jc w:val="both"/>
        <w:outlineLvl w:val="0"/>
        <w:rPr>
          <w:rFonts w:hint="eastAsia" w:ascii="仿宋_GB2312" w:hAnsi="仿宋_GB2312" w:eastAsia="仿宋_GB2312" w:cs="仿宋_GB2312"/>
          <w:b/>
          <w:bCs/>
          <w:color w:val="auto"/>
          <w:kern w:val="2"/>
          <w:sz w:val="32"/>
          <w:szCs w:val="32"/>
          <w:lang w:val="en-US" w:eastAsia="zh-CN" w:bidi="ar-SA"/>
        </w:rPr>
      </w:pPr>
      <w:r>
        <w:rPr>
          <w:rFonts w:hint="eastAsia" w:ascii="仿宋_GB2312" w:hAnsi="仿宋_GB2312" w:eastAsia="仿宋_GB2312" w:cs="仿宋_GB2312"/>
          <w:b/>
          <w:bCs/>
          <w:color w:val="auto"/>
          <w:kern w:val="2"/>
          <w:sz w:val="32"/>
          <w:szCs w:val="32"/>
          <w:lang w:val="en-US" w:eastAsia="zh-CN" w:bidi="ar-SA"/>
        </w:rPr>
        <w:t>1.2报价方式</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据实结算，根据所派的服务工种及人数，按月进行结算。其中基本报酬、中标的管理费与报价表一致，绩效费用按报价表中绩效费用×（当月评价得分/100）支付，节假日补助、商业险、</w:t>
      </w:r>
      <w:r>
        <w:rPr>
          <w:rFonts w:hint="eastAsia" w:ascii="仿宋_GB2312" w:hAnsi="仿宋_GB2312" w:eastAsia="仿宋_GB2312" w:cs="仿宋_GB2312"/>
          <w:color w:val="auto"/>
          <w:sz w:val="32"/>
          <w:szCs w:val="32"/>
          <w:highlight w:val="none"/>
          <w:lang w:val="en-US" w:eastAsia="zh-CN"/>
        </w:rPr>
        <w:t>体检培训服装费</w:t>
      </w:r>
      <w:r>
        <w:rPr>
          <w:rFonts w:hint="eastAsia" w:ascii="仿宋_GB2312" w:hAnsi="仿宋_GB2312" w:eastAsia="仿宋_GB2312" w:cs="仿宋_GB2312"/>
          <w:sz w:val="32"/>
          <w:szCs w:val="32"/>
          <w:lang w:val="en-US" w:eastAsia="zh-CN"/>
        </w:rPr>
        <w:t>按不高于零星采购报价表中所列金额据实支付。</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用餐补助在需求单位规定的限额内据实支付（零星采购报价表中所列金额仅为预估费用列出）</w:t>
      </w:r>
      <w:bookmarkStart w:id="1" w:name="_GoBack"/>
      <w:r>
        <w:rPr>
          <w:rFonts w:hint="eastAsia" w:ascii="仿宋_GB2312" w:hAnsi="仿宋_GB2312" w:eastAsia="仿宋_GB2312" w:cs="仿宋_GB2312"/>
          <w:sz w:val="32"/>
          <w:szCs w:val="32"/>
          <w:lang w:val="en-US" w:eastAsia="zh-CN"/>
        </w:rPr>
        <w:t>，</w:t>
      </w:r>
      <w:bookmarkEnd w:id="1"/>
      <w:r>
        <w:rPr>
          <w:rFonts w:hint="eastAsia" w:ascii="仿宋_GB2312" w:hAnsi="仿宋_GB2312" w:eastAsia="仿宋_GB2312" w:cs="仿宋_GB2312"/>
          <w:sz w:val="32"/>
          <w:szCs w:val="32"/>
          <w:lang w:val="en-US" w:eastAsia="zh-CN"/>
        </w:rPr>
        <w:t>出差住宿费、交通费在需求单位规定的限额内据实报销支付（零星采购报价表中所列金额仅为预估费用列出）。</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仿宋_GB2312" w:eastAsia="仿宋_GB2312" w:cs="仿宋_GB2312"/>
          <w:b/>
          <w:bCs/>
          <w:color w:val="auto"/>
          <w:kern w:val="2"/>
          <w:sz w:val="32"/>
          <w:szCs w:val="32"/>
          <w:lang w:val="en-US" w:eastAsia="zh-CN" w:bidi="ar-SA"/>
        </w:rPr>
      </w:pPr>
      <w:r>
        <w:rPr>
          <w:rFonts w:hint="eastAsia" w:ascii="仿宋_GB2312" w:hAnsi="仿宋_GB2312" w:eastAsia="仿宋_GB2312" w:cs="仿宋_GB2312"/>
          <w:sz w:val="32"/>
          <w:szCs w:val="32"/>
          <w:lang w:val="en-US" w:eastAsia="zh-CN"/>
        </w:rPr>
        <w:t>社会保险、住房公积金、工会经费、残保金中缴纳部分，以及税金按国家或地方政府规定最低缴纳比例执行，据实支付。除了管理费及税金外，按上述要求为服务人员支出报酬、发放津补贴、缴纳保险等相关费用。</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黑体" w:hAnsi="黑体" w:eastAsia="黑体" w:cs="黑体"/>
          <w:sz w:val="32"/>
          <w:szCs w:val="32"/>
        </w:rPr>
      </w:pPr>
      <w:r>
        <w:rPr>
          <w:rFonts w:hint="eastAsia" w:ascii="黑体" w:hAnsi="黑体" w:eastAsia="黑体" w:cs="黑体"/>
          <w:sz w:val="32"/>
          <w:szCs w:val="32"/>
        </w:rPr>
        <w:t>二、服务总体要求</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（一）司勤采购服务要求</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1.供应商须提供持证专职在岗司机，全程驻场服务，服从采购人行政及车管部门统一调度、日常管理与考勤考核。</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2.所有服务严格遵守《中华人民共和国道路交通安全法》</w:t>
      </w:r>
      <w:r>
        <w:rPr>
          <w:rFonts w:hint="eastAsia" w:ascii="仿宋_GB2312" w:hAnsi="仿宋_GB2312" w:eastAsia="仿宋_GB2312" w:cs="仿宋_GB2312"/>
          <w:sz w:val="32"/>
          <w:szCs w:val="32"/>
          <w:lang w:val="en-US" w:eastAsia="zh-CN"/>
        </w:rPr>
        <w:t>及</w:t>
      </w:r>
      <w:r>
        <w:rPr>
          <w:rFonts w:hint="eastAsia" w:ascii="仿宋_GB2312" w:hAnsi="仿宋_GB2312" w:eastAsia="仿宋_GB2312" w:cs="仿宋_GB2312"/>
          <w:sz w:val="32"/>
          <w:szCs w:val="32"/>
        </w:rPr>
        <w:t>采购人车辆管理制度，实现零重大事故、零违规违纪、零服务投诉的服务目标。</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3.服务全程标准化、规范化，做到安全合规、准时高效、文明服务、车况整洁。</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黑体" w:hAnsi="黑体" w:eastAsia="黑体" w:cs="黑体"/>
          <w:sz w:val="32"/>
          <w:szCs w:val="32"/>
        </w:rPr>
      </w:pPr>
      <w:r>
        <w:rPr>
          <w:rFonts w:hint="eastAsia" w:ascii="黑体" w:hAnsi="黑体" w:eastAsia="黑体" w:cs="黑体"/>
          <w:sz w:val="32"/>
          <w:szCs w:val="32"/>
          <w:lang w:eastAsia="zh-CN"/>
        </w:rPr>
        <w:t>（</w:t>
      </w:r>
      <w:r>
        <w:rPr>
          <w:rFonts w:hint="eastAsia" w:ascii="黑体" w:hAnsi="黑体" w:eastAsia="黑体" w:cs="黑体"/>
          <w:sz w:val="32"/>
          <w:szCs w:val="32"/>
          <w:lang w:val="en-US" w:eastAsia="zh-CN"/>
        </w:rPr>
        <w:t>二</w:t>
      </w:r>
      <w:r>
        <w:rPr>
          <w:rFonts w:hint="eastAsia" w:ascii="黑体" w:hAnsi="黑体" w:eastAsia="黑体" w:cs="黑体"/>
          <w:sz w:val="32"/>
          <w:szCs w:val="32"/>
          <w:lang w:eastAsia="zh-CN"/>
        </w:rPr>
        <w:t>）</w:t>
      </w:r>
      <w:r>
        <w:rPr>
          <w:rFonts w:hint="eastAsia" w:ascii="黑体" w:hAnsi="黑体" w:eastAsia="黑体" w:cs="黑体"/>
          <w:sz w:val="32"/>
          <w:szCs w:val="32"/>
        </w:rPr>
        <w:t>核心服务内容与技术标准</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须全面承担司勤服务人员的人力资源管理、日常运营管理、安全管控及合规保障等全链条服务工作，严格按照国家法律法规及采购方管理制度开展服务，具体内容如下：</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1.负责司勤服务人员的招聘、入职、退工手续的办理。</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2.组织司勤服务人员到甲等医院做入职前体检和常规年度体检。</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3.负责司勤服务人员的岗前的公共培训及技能提高培训。依法与司勤服务人员建立劳动关系，包括劳动合同订立、终止等。</w:t>
      </w:r>
    </w:p>
    <w:p>
      <w:pPr>
        <w:keepNext w:val="0"/>
        <w:keepLines w:val="0"/>
        <w:pageBreakBefore w:val="0"/>
        <w:widowControl w:val="0"/>
        <w:kinsoku/>
        <w:wordWrap/>
        <w:overflowPunct/>
        <w:topLinePunct w:val="0"/>
        <w:autoSpaceDE/>
        <w:autoSpaceDN/>
        <w:bidi w:val="0"/>
        <w:adjustRightInd/>
        <w:snapToGrid/>
        <w:spacing w:line="600" w:lineRule="exact"/>
        <w:ind w:left="638" w:leftChars="304" w:firstLine="0" w:firstLine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4.负责代扣代缴司勤服务人员个人所得税和其他费用。</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5.负责司勤服务人员档案的建立与调配手续和社会保险及相应商业保险、履行工伤理赔手续。对司勤服务人员进行绩效管理。</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6.对司勤服务人员加强安全教育，增加安全意识，要求规范操作，严格现场管理，定期开展安全大检查，排查事故隐患，消除事故苗头。</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7.所指派的司勤服务人员履行公司对劳动者的全部义务，服从公司的各项业务管理规定和国家、行业、地方从业标准，保守商业秘密。</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8.须严格遵循合法合规、安全第一、服务规范、响应及时、保障到位的原则，组建专属驻场服务队伍，全过程服从采购人车辆管理、行政调度及安全管理制度，满足日常通勤、节假日值班、临时紧急出车、异地出差保障等各类用车需求。</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黑体" w:hAnsi="黑体" w:eastAsia="黑体" w:cs="黑体"/>
          <w:sz w:val="32"/>
          <w:szCs w:val="32"/>
          <w:lang w:eastAsia="zh-CN"/>
        </w:rPr>
      </w:pPr>
      <w:r>
        <w:rPr>
          <w:rFonts w:hint="eastAsia" w:ascii="黑体" w:hAnsi="黑体" w:eastAsia="黑体" w:cs="黑体"/>
          <w:sz w:val="32"/>
          <w:szCs w:val="32"/>
          <w:lang w:eastAsia="zh-CN"/>
        </w:rPr>
        <w:t>（</w:t>
      </w:r>
      <w:r>
        <w:rPr>
          <w:rFonts w:hint="eastAsia" w:ascii="黑体" w:hAnsi="黑体" w:eastAsia="黑体" w:cs="黑体"/>
          <w:sz w:val="32"/>
          <w:szCs w:val="32"/>
          <w:lang w:val="en-US" w:eastAsia="zh-CN"/>
        </w:rPr>
        <w:t>三</w:t>
      </w:r>
      <w:r>
        <w:rPr>
          <w:rFonts w:hint="eastAsia" w:ascii="黑体" w:hAnsi="黑体" w:eastAsia="黑体" w:cs="黑体"/>
          <w:sz w:val="32"/>
          <w:szCs w:val="32"/>
          <w:lang w:eastAsia="zh-CN"/>
        </w:rPr>
        <w:t>）考核标准与奖惩机制</w:t>
      </w:r>
    </w:p>
    <w:p>
      <w:pPr>
        <w:pStyle w:val="6"/>
        <w:numPr>
          <w:ilvl w:val="0"/>
          <w:numId w:val="0"/>
        </w:numPr>
        <w:spacing w:before="120" w:after="120" w:line="560" w:lineRule="exact"/>
        <w:ind w:firstLine="560"/>
        <w:jc w:val="both"/>
        <w:outlineLvl w:val="0"/>
        <w:rPr>
          <w:rFonts w:hint="eastAsia" w:ascii="仿宋_GB2312" w:hAnsi="仿宋_GB2312" w:eastAsia="仿宋_GB2312" w:cs="仿宋_GB2312"/>
          <w:b/>
          <w:bCs/>
          <w:color w:val="auto"/>
          <w:kern w:val="2"/>
          <w:sz w:val="32"/>
          <w:szCs w:val="32"/>
          <w:lang w:val="en-US" w:eastAsia="zh-CN" w:bidi="ar-SA"/>
        </w:rPr>
      </w:pPr>
      <w:r>
        <w:rPr>
          <w:rFonts w:hint="eastAsia" w:ascii="仿宋_GB2312" w:hAnsi="仿宋_GB2312" w:eastAsia="仿宋_GB2312" w:cs="仿宋_GB2312"/>
          <w:b/>
          <w:bCs/>
          <w:color w:val="auto"/>
          <w:kern w:val="2"/>
          <w:sz w:val="32"/>
          <w:szCs w:val="32"/>
          <w:lang w:val="en-US" w:eastAsia="zh-CN" w:bidi="ar-SA"/>
        </w:rPr>
        <w:t>6.1考核方式</w:t>
      </w:r>
    </w:p>
    <w:p>
      <w:pPr>
        <w:keepNext w:val="0"/>
        <w:keepLines w:val="0"/>
        <w:pageBreakBefore w:val="0"/>
        <w:widowControl/>
        <w:suppressLineNumbers w:val="0"/>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实行月度</w:t>
      </w:r>
      <w:r>
        <w:rPr>
          <w:rFonts w:hint="eastAsia" w:ascii="仿宋_GB2312" w:hAnsi="仿宋_GB2312" w:eastAsia="仿宋_GB2312" w:cs="仿宋_GB2312"/>
          <w:sz w:val="32"/>
          <w:szCs w:val="32"/>
          <w:lang w:val="en-US" w:eastAsia="zh-CN"/>
        </w:rPr>
        <w:t>绩效</w:t>
      </w:r>
      <w:r>
        <w:rPr>
          <w:rFonts w:hint="eastAsia" w:ascii="仿宋_GB2312" w:hAnsi="仿宋_GB2312" w:eastAsia="仿宋_GB2312" w:cs="仿宋_GB2312"/>
          <w:sz w:val="32"/>
          <w:szCs w:val="32"/>
        </w:rPr>
        <w:t>考核</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根据公司的考勤结果进行工资发放，以及社保、公积金等缴纳工作</w:t>
      </w:r>
      <w:r>
        <w:rPr>
          <w:rFonts w:hint="eastAsia" w:ascii="仿宋_GB2312" w:hAnsi="仿宋_GB2312" w:eastAsia="仿宋_GB2312" w:cs="仿宋_GB2312"/>
          <w:b w:val="0"/>
          <w:bCs w:val="0"/>
          <w:kern w:val="2"/>
          <w:sz w:val="32"/>
          <w:szCs w:val="32"/>
          <w:lang w:val="en-US" w:eastAsia="zh-CN" w:bidi="ar-SA"/>
        </w:rPr>
        <w:t>。</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rPr>
      </w:pPr>
      <w:r>
        <w:rPr>
          <w:rFonts w:hint="eastAsia" w:ascii="黑体" w:hAnsi="黑体" w:eastAsia="黑体" w:cs="黑体"/>
          <w:b w:val="0"/>
          <w:bCs w:val="0"/>
          <w:sz w:val="32"/>
          <w:szCs w:val="32"/>
          <w:lang w:val="en-US" w:eastAsia="zh-CN"/>
        </w:rPr>
        <w:t>三、其他要求</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黑体" w:hAnsi="黑体" w:eastAsia="黑体" w:cs="黑体"/>
          <w:sz w:val="32"/>
          <w:szCs w:val="32"/>
          <w:lang w:eastAsia="zh-CN"/>
        </w:rPr>
      </w:pPr>
      <w:r>
        <w:rPr>
          <w:rFonts w:hint="eastAsia" w:ascii="黑体" w:hAnsi="黑体" w:eastAsia="黑体" w:cs="黑体"/>
          <w:sz w:val="32"/>
          <w:szCs w:val="32"/>
          <w:lang w:eastAsia="zh-CN"/>
        </w:rPr>
        <w:t>（</w:t>
      </w:r>
      <w:r>
        <w:rPr>
          <w:rFonts w:hint="eastAsia" w:ascii="黑体" w:hAnsi="黑体" w:eastAsia="黑体" w:cs="黑体"/>
          <w:sz w:val="32"/>
          <w:szCs w:val="32"/>
          <w:lang w:val="en-US" w:eastAsia="zh-CN"/>
        </w:rPr>
        <w:t>一</w:t>
      </w:r>
      <w:r>
        <w:rPr>
          <w:rFonts w:hint="eastAsia" w:ascii="黑体" w:hAnsi="黑体" w:eastAsia="黑体" w:cs="黑体"/>
          <w:sz w:val="32"/>
          <w:szCs w:val="32"/>
          <w:lang w:eastAsia="zh-CN"/>
        </w:rPr>
        <w:t>）供应商商务及</w:t>
      </w:r>
      <w:r>
        <w:rPr>
          <w:rFonts w:hint="eastAsia" w:ascii="黑体" w:hAnsi="黑体" w:eastAsia="黑体" w:cs="黑体"/>
          <w:sz w:val="32"/>
          <w:szCs w:val="32"/>
          <w:lang w:val="en-US" w:eastAsia="zh-CN"/>
        </w:rPr>
        <w:t>其他</w:t>
      </w:r>
      <w:r>
        <w:rPr>
          <w:rFonts w:hint="eastAsia" w:ascii="黑体" w:hAnsi="黑体" w:eastAsia="黑体" w:cs="黑体"/>
          <w:sz w:val="32"/>
          <w:szCs w:val="32"/>
          <w:lang w:eastAsia="zh-CN"/>
        </w:rPr>
        <w:t>要求</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1.供应商须具备合法营业执照，具备独立履约能力。</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2.完成人员派驻、岗前培训、资料报备，提交司机身份证、A</w:t>
      </w:r>
      <w:r>
        <w:rPr>
          <w:rFonts w:hint="eastAsia" w:ascii="仿宋_GB2312" w:hAnsi="仿宋_GB2312" w:eastAsia="仿宋_GB2312" w:cs="仿宋_GB2312"/>
          <w:sz w:val="32"/>
          <w:szCs w:val="32"/>
          <w:lang w:val="en-US" w:eastAsia="zh-CN"/>
        </w:rPr>
        <w:t>证</w:t>
      </w:r>
      <w:r>
        <w:rPr>
          <w:rFonts w:hint="eastAsia" w:ascii="仿宋_GB2312" w:hAnsi="仿宋_GB2312" w:eastAsia="仿宋_GB2312" w:cs="仿宋_GB2312"/>
          <w:sz w:val="32"/>
          <w:szCs w:val="32"/>
        </w:rPr>
        <w:t>驾驶证、无犯罪记录、无事故证明、社保/劳务合同</w:t>
      </w:r>
      <w:r>
        <w:rPr>
          <w:rFonts w:hint="eastAsia" w:ascii="仿宋_GB2312" w:hAnsi="仿宋_GB2312" w:eastAsia="仿宋_GB2312" w:cs="仿宋_GB2312"/>
          <w:sz w:val="32"/>
          <w:szCs w:val="32"/>
          <w:lang w:val="en-US" w:eastAsia="zh-CN"/>
        </w:rPr>
        <w:t>等进行</w:t>
      </w:r>
      <w:r>
        <w:rPr>
          <w:rFonts w:hint="eastAsia" w:ascii="仿宋_GB2312" w:hAnsi="仿宋_GB2312" w:eastAsia="仿宋_GB2312" w:cs="仿宋_GB2312"/>
          <w:sz w:val="32"/>
          <w:szCs w:val="32"/>
        </w:rPr>
        <w:t>备案。</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3.服务期间不得随意更换驻场司机，确需更换须提前7个工作日书面报备，经采购人审核同意后方可更换，新入职人员须重新完成资质审核。</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w:t>
      </w:r>
      <w:r>
        <w:rPr>
          <w:rFonts w:hint="eastAsia" w:ascii="仿宋_GB2312" w:hAnsi="仿宋_GB2312" w:eastAsia="仿宋_GB2312" w:cs="仿宋_GB2312"/>
          <w:sz w:val="32"/>
          <w:szCs w:val="32"/>
          <w:lang w:val="en-US" w:eastAsia="zh-CN"/>
        </w:rPr>
        <w:t>司勤需严格遵守《中华人民共和国道路安全交通法》，</w:t>
      </w:r>
      <w:r>
        <w:rPr>
          <w:rFonts w:hint="eastAsia" w:ascii="仿宋_GB2312" w:hAnsi="仿宋_GB2312" w:eastAsia="仿宋_GB2312" w:cs="仿宋_GB2312"/>
          <w:sz w:val="32"/>
          <w:szCs w:val="32"/>
        </w:rPr>
        <w:t>严禁超速、闯红灯、疲劳驾驶、违规变道、违规停车等一切交通违法行为。</w:t>
      </w:r>
      <w:r>
        <w:rPr>
          <w:rFonts w:hint="eastAsia" w:ascii="仿宋_GB2312" w:hAnsi="仿宋_GB2312" w:eastAsia="仿宋_GB2312" w:cs="仿宋_GB2312"/>
          <w:sz w:val="32"/>
          <w:szCs w:val="32"/>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5.尊重同事、服从领导，热忱服务、团结协作，坚守岗位、爱岗敬业。</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6.遵守交通法规，确保行车安全，自觉杜绝一切影响交通安全的陋习。 </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7.保证车况良好、保持车辆外观和内饰卫生干净，保证各部机件安全有效，车内不存放私人物品。</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8.</w:t>
      </w:r>
      <w:r>
        <w:rPr>
          <w:rFonts w:hint="eastAsia" w:ascii="仿宋_GB2312" w:hAnsi="仿宋_GB2312" w:eastAsia="仿宋_GB2312" w:cs="仿宋_GB2312"/>
          <w:sz w:val="32"/>
          <w:szCs w:val="32"/>
        </w:rPr>
        <w:t>上岗仪容整洁、言行文明，出行全程礼仪规范，不闲聊、不私语、不泄露工作涉密信息。</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9</w:t>
      </w:r>
      <w:r>
        <w:rPr>
          <w:rFonts w:hint="eastAsia" w:ascii="仿宋_GB2312" w:hAnsi="仿宋_GB2312" w:eastAsia="仿宋_GB2312" w:cs="仿宋_GB2312"/>
          <w:sz w:val="32"/>
          <w:szCs w:val="32"/>
        </w:rPr>
        <w:t>.不得擅自离岗、脱岗、串岗，不得私自公车私用、私自驾车外出。</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sz w:val="32"/>
          <w:szCs w:val="32"/>
          <w:lang w:eastAsia="zh-CN"/>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3C81899"/>
    <w:rsid w:val="0BA57C01"/>
    <w:rsid w:val="21660C7C"/>
    <w:rsid w:val="339F3F1C"/>
    <w:rsid w:val="3E0E2B5B"/>
    <w:rsid w:val="3EE311E9"/>
    <w:rsid w:val="3F560A40"/>
    <w:rsid w:val="43C81899"/>
    <w:rsid w:val="4B98453D"/>
    <w:rsid w:val="56AF2236"/>
    <w:rsid w:val="5EEF48A7"/>
    <w:rsid w:val="6224268B"/>
    <w:rsid w:val="63744D3D"/>
    <w:rsid w:val="72247524"/>
    <w:rsid w:val="74A94DA8"/>
    <w:rsid w:val="7CA64E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99"/>
    <w:rPr>
      <w:rFonts w:ascii="Calibri" w:hAnsi="Calibri"/>
      <w:kern w:val="1"/>
    </w:rPr>
  </w:style>
  <w:style w:type="paragraph" w:styleId="3">
    <w:name w:val="Title"/>
    <w:basedOn w:val="1"/>
    <w:next w:val="1"/>
    <w:qFormat/>
    <w:uiPriority w:val="10"/>
    <w:pPr>
      <w:spacing w:before="240" w:after="60"/>
      <w:jc w:val="center"/>
      <w:outlineLvl w:val="0"/>
    </w:pPr>
    <w:rPr>
      <w:rFonts w:ascii="Cambria" w:hAnsi="Cambria" w:cs="Times New Roman"/>
      <w:b/>
      <w:bCs/>
      <w:sz w:val="32"/>
      <w:szCs w:val="32"/>
    </w:rPr>
  </w:style>
  <w:style w:type="paragraph" w:styleId="6">
    <w:name w:val="List Paragraph"/>
    <w:basedOn w:val="1"/>
    <w:qFormat/>
    <w:uiPriority w:val="34"/>
    <w:pPr>
      <w:ind w:firstLine="420" w:firstLineChars="200"/>
    </w:pPr>
    <w:rPr>
      <w:rFonts w:ascii="Calibri" w:hAnsi="Calibri" w:eastAsia="宋体" w:cs="Times New Roman"/>
      <w:szCs w:val="2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2916</Words>
  <Characters>3018</Characters>
  <Lines>0</Lines>
  <Paragraphs>0</Paragraphs>
  <TotalTime>15</TotalTime>
  <ScaleCrop>false</ScaleCrop>
  <LinksUpToDate>false</LinksUpToDate>
  <CharactersWithSpaces>3018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2026-05-29T11:59:00Z</dcterms:created>
  <dc:creator>童清雄</dc:creator>
  <cp:lastModifiedBy>童清雄</cp:lastModifiedBy>
  <dcterms:modified xsi:type="dcterms:W3CDTF">2026-06-01T07:13:07Z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E1FEC7E495344A9F81DE55B9C5DEFE59_13</vt:lpwstr>
  </property>
  <property fmtid="{D5CDD505-2E9C-101B-9397-08002B2CF9AE}" pid="4" name="KSOTemplateDocerSaveRecord">
    <vt:lpwstr>eyJoZGlkIjoiNjIwOGU0ZWEzNGY5NDc1ZDViYTgyNjhlZDVhMTUxNzMiLCJ1c2VySWQiOiI2MTAzMTc2ODEifQ==</vt:lpwstr>
  </property>
</Properties>
</file>