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10590">
      <w:pPr>
        <w:rPr>
          <w:rFonts w:hint="eastAsia"/>
        </w:rPr>
      </w:pPr>
      <w:r>
        <w:rPr>
          <w:rFonts w:hint="eastAsia"/>
        </w:rPr>
        <w:t>一种适用自动化终端增加太阳能供电的交流切换装置</w:t>
      </w:r>
    </w:p>
    <w:p w14:paraId="58A57C00"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技术要求：</w:t>
      </w:r>
      <w:r>
        <w:rPr>
          <w:rFonts w:hint="eastAsia" w:ascii="宋体" w:hAnsi="宋体" w:eastAsia="宋体" w:cs="宋体"/>
          <w:sz w:val="24"/>
          <w:shd w:val="clear" w:color="auto" w:fill="FFFFFF"/>
        </w:rPr>
        <w:t>基于太阳能光伏发电技术、MPPT（最大功率点跟踪）控制技术、储能管理技术及正弦逆变技术，构建双电源供电切换系统</w:t>
      </w:r>
      <w:r>
        <w:rPr>
          <w:rFonts w:hint="eastAsia"/>
          <w:lang w:val="en-US" w:eastAsia="zh-CN"/>
        </w:rPr>
        <w:t>。</w:t>
      </w:r>
    </w:p>
    <w:p w14:paraId="65C3B221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关键点：</w:t>
      </w:r>
    </w:p>
    <w:p w14:paraId="0FECFFF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集成化设计，将太阳能发电、储能管理、电源切换、电压检测功能一体化，结构紧凑，适配现有各类配电自动化终端</w:t>
      </w:r>
      <w:r>
        <w:rPr>
          <w:rFonts w:hint="default"/>
          <w:lang w:val="en-US" w:eastAsia="zh-CN"/>
        </w:rPr>
        <w:t>。</w:t>
      </w:r>
    </w:p>
    <w:p w14:paraId="57BCA2E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智能切换逻辑，可根据市电供电状态及储能电池电量自动调整供电模式，无需人工干预</w:t>
      </w:r>
      <w:r>
        <w:rPr>
          <w:rFonts w:hint="default"/>
          <w:lang w:val="en-US" w:eastAsia="zh-CN"/>
        </w:rPr>
        <w:t>。</w:t>
      </w:r>
    </w:p>
    <w:p w14:paraId="2C6253B3">
      <w:pPr>
        <w:rPr>
          <w:rFonts w:hint="eastAsia"/>
        </w:rPr>
      </w:pPr>
      <w:r>
        <w:rPr>
          <w:rFonts w:hint="eastAsia"/>
          <w:b/>
          <w:bCs/>
        </w:rPr>
        <w:t>特别说明：</w:t>
      </w:r>
      <w:r>
        <w:rPr>
          <w:rFonts w:hint="eastAsia"/>
        </w:rPr>
        <w:t>供应商如不能按质按时供货，供电局供应链服务中心将对供应商采取相应的处罚</w:t>
      </w:r>
    </w:p>
    <w:p w14:paraId="7A2D3AC4">
      <w:pPr>
        <w:rPr>
          <w:rFonts w:hint="eastAsia"/>
        </w:rPr>
      </w:pPr>
      <w:r>
        <w:rPr>
          <w:rFonts w:hint="eastAsia"/>
          <w:lang w:eastAsia="zh-CN"/>
        </w:rPr>
        <w:t>资格条件：</w:t>
      </w:r>
      <w:r>
        <w:rPr>
          <w:rFonts w:hint="eastAsia"/>
        </w:rPr>
        <w:t>1.投标人（供应商）为中华人民共和国境内注册合法运作的企业法人或其他组织，具有独立承担民事责任的能力和独立履行合同的能力，营业执照在有效期内；或具有企业法人授权，且具有独立履行合同的能力的其他组织。</w:t>
      </w:r>
    </w:p>
    <w:p w14:paraId="19EC5CE5">
      <w:pPr>
        <w:rPr>
          <w:rFonts w:hint="eastAsia"/>
        </w:rPr>
      </w:pPr>
      <w:r>
        <w:rPr>
          <w:rFonts w:hint="eastAsia"/>
        </w:rPr>
        <w:t>2.投标人（供应商）不在中国南方电网有限责任公司黑名单或预警名单内（处理措施为不接受投标或市场禁入，且未解除的）。</w:t>
      </w:r>
    </w:p>
    <w:p w14:paraId="2C9A238D">
      <w:pPr>
        <w:rPr>
          <w:rFonts w:hint="eastAsia"/>
        </w:rPr>
      </w:pPr>
      <w:r>
        <w:rPr>
          <w:rFonts w:hint="eastAsia"/>
        </w:rPr>
        <w:t>3.投标人（供应商）必须按照南方电网公司要求，在供应链统一服务平台（www.bidding.csg.cn）上完成供应商登记注册，并通过审核。</w:t>
      </w:r>
    </w:p>
    <w:p w14:paraId="14BB6E2D">
      <w:pPr>
        <w:rPr>
          <w:rFonts w:hint="eastAsia"/>
        </w:rPr>
      </w:pPr>
      <w:r>
        <w:rPr>
          <w:rFonts w:hint="eastAsia"/>
        </w:rPr>
        <w:t>供应商需提交的证明文件:</w:t>
      </w:r>
    </w:p>
    <w:p w14:paraId="11F16883"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 w14:paraId="256203A5"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 w14:paraId="581E55C2">
      <w:pPr>
        <w:rPr>
          <w:rFonts w:hint="eastAsia"/>
          <w:b/>
          <w:bCs/>
        </w:rPr>
      </w:pPr>
    </w:p>
    <w:p w14:paraId="2121C9C1">
      <w:pPr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其他</w:t>
      </w:r>
      <w:r>
        <w:rPr>
          <w:rFonts w:hint="eastAsia"/>
          <w:b/>
          <w:bCs/>
        </w:rPr>
        <w:t>配合需求</w:t>
      </w:r>
      <w:r>
        <w:rPr>
          <w:rFonts w:hint="eastAsia"/>
          <w:b/>
          <w:bCs/>
          <w:lang w:eastAsia="zh-CN"/>
        </w:rPr>
        <w:t>：</w:t>
      </w:r>
    </w:p>
    <w:p w14:paraId="67EB429E">
      <w:pPr>
        <w:numPr>
          <w:ilvl w:val="0"/>
          <w:numId w:val="1"/>
        </w:numPr>
        <w:rPr>
          <w:rFonts w:hint="eastAsia"/>
          <w:lang w:eastAsia="zh-CN"/>
        </w:rPr>
      </w:pPr>
      <w:r>
        <w:rPr>
          <w:rFonts w:hint="eastAsia"/>
        </w:rPr>
        <w:t>供应商须承诺至少安排一人专职与甲方对接跟进项目工作</w:t>
      </w:r>
      <w:r>
        <w:rPr>
          <w:rFonts w:hint="eastAsia"/>
          <w:lang w:eastAsia="zh-CN"/>
        </w:rPr>
        <w:t>。</w:t>
      </w:r>
    </w:p>
    <w:p w14:paraId="3FB9D6BF">
      <w:pPr>
        <w:numPr>
          <w:ilvl w:val="0"/>
          <w:numId w:val="1"/>
        </w:numPr>
      </w:pPr>
      <w:r>
        <w:rPr>
          <w:rFonts w:hint="eastAsia"/>
        </w:rPr>
        <w:t>供应商需配合完成项目相关</w:t>
      </w:r>
      <w:r>
        <w:rPr>
          <w:rFonts w:hint="eastAsia"/>
          <w:lang w:val="en-US" w:eastAsia="zh-CN"/>
        </w:rPr>
        <w:t>材料服务相关工作</w:t>
      </w:r>
      <w:bookmarkStart w:id="0" w:name="_GoBack"/>
      <w:bookmarkEnd w:id="0"/>
    </w:p>
    <w:p w14:paraId="0CED39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5B04FB"/>
    <w:multiLevelType w:val="singleLevel"/>
    <w:tmpl w:val="765B04F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D2776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7EB0E8D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0FE048AD"/>
    <w:rsid w:val="109700FC"/>
    <w:rsid w:val="113D2776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07511C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540DB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8D3C6E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132908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beforeLines="50" w:afterLines="50"/>
      <w:ind w:firstLine="480"/>
    </w:pPr>
    <w:rPr>
      <w:rFonts w:ascii="Segoe UI" w:hAnsi="宋体" w:cs="Latha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2024-08-29T07:35:00Z</dcterms:created>
  <dc:creator>林迪明</dc:creator>
  <cp:lastModifiedBy>NTKO</cp:lastModifiedBy>
  <dcterms:modified xsi:type="dcterms:W3CDTF">2026-06-01T02:43:46Z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193795FFE8084D9898F54563BCEF3994</vt:lpwstr>
  </property>
</Properties>
</file>