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szCs w:val="21"/>
          <w:highlight w:val="none"/>
        </w:rPr>
      </w:pPr>
    </w:p>
    <w:p>
      <w:pPr>
        <w:jc w:val="center"/>
        <w:rPr>
          <w:rFonts w:hint="eastAsia" w:ascii="宋体" w:hAnsi="宋体" w:cs="宋体"/>
          <w:szCs w:val="21"/>
          <w:highlight w:val="none"/>
        </w:rPr>
      </w:pPr>
      <w:bookmarkStart w:id="0" w:name="_Toc20964"/>
      <w:bookmarkStart w:id="1" w:name="_Toc25505"/>
    </w:p>
    <w:p>
      <w:pPr>
        <w:jc w:val="center"/>
        <w:rPr>
          <w:rFonts w:hint="eastAsia" w:ascii="宋体" w:hAnsi="宋体" w:cs="宋体"/>
          <w:szCs w:val="21"/>
          <w:highlight w:val="none"/>
        </w:rPr>
      </w:pPr>
    </w:p>
    <w:p>
      <w:pPr>
        <w:jc w:val="center"/>
        <w:rPr>
          <w:rFonts w:hint="eastAsia" w:ascii="宋体" w:hAnsi="宋体" w:cs="宋体"/>
          <w:szCs w:val="21"/>
          <w:highlight w:val="none"/>
        </w:rPr>
      </w:pPr>
    </w:p>
    <w:p>
      <w:pPr>
        <w:jc w:val="center"/>
        <w:rPr>
          <w:rFonts w:hint="eastAsia" w:ascii="宋体" w:hAnsi="宋体" w:cs="宋体"/>
          <w:szCs w:val="21"/>
          <w:highlight w:val="none"/>
        </w:rPr>
      </w:pPr>
    </w:p>
    <w:p>
      <w:pPr>
        <w:jc w:val="center"/>
        <w:rPr>
          <w:rFonts w:hint="eastAsia" w:ascii="宋体" w:hAnsi="宋体" w:cs="宋体"/>
          <w:szCs w:val="21"/>
          <w:highlight w:val="none"/>
        </w:rPr>
      </w:pPr>
    </w:p>
    <w:p>
      <w:pPr>
        <w:jc w:val="center"/>
        <w:rPr>
          <w:rFonts w:hint="eastAsia" w:ascii="宋体" w:hAnsi="宋体" w:cs="宋体"/>
          <w:szCs w:val="21"/>
          <w:highlight w:val="none"/>
        </w:rPr>
      </w:pPr>
    </w:p>
    <w:p>
      <w:pPr>
        <w:jc w:val="center"/>
        <w:rPr>
          <w:rFonts w:hint="eastAsia" w:ascii="宋体" w:hAnsi="宋体" w:cs="宋体"/>
          <w:szCs w:val="21"/>
          <w:highlight w:val="none"/>
        </w:rPr>
      </w:pPr>
    </w:p>
    <w:p>
      <w:pPr>
        <w:jc w:val="center"/>
        <w:rPr>
          <w:rFonts w:hint="eastAsia" w:ascii="宋体" w:hAnsi="宋体" w:cs="宋体"/>
          <w:szCs w:val="21"/>
          <w:highlight w:val="none"/>
        </w:rPr>
      </w:pPr>
    </w:p>
    <w:p>
      <w:pPr>
        <w:pStyle w:val="2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pStyle w:val="3"/>
        <w:spacing w:before="240" w:after="240"/>
        <w:rPr>
          <w:rFonts w:hint="eastAsia" w:ascii="宋体" w:hAnsi="宋体" w:eastAsia="宋体" w:cs="宋体"/>
          <w:highlight w:val="none"/>
        </w:rPr>
      </w:pPr>
    </w:p>
    <w:p>
      <w:pPr>
        <w:rPr>
          <w:rFonts w:hint="eastAsia" w:ascii="宋体" w:hAnsi="宋体" w:cs="宋体"/>
          <w:highlight w:val="none"/>
        </w:rPr>
      </w:pPr>
    </w:p>
    <w:p>
      <w:pPr>
        <w:pStyle w:val="2"/>
        <w:rPr>
          <w:rFonts w:hint="eastAsia" w:ascii="宋体" w:hAnsi="宋体" w:eastAsia="宋体" w:cs="宋体"/>
          <w:highlight w:val="none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sz w:val="52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/>
          <w:sz w:val="52"/>
          <w:szCs w:val="52"/>
          <w:highlight w:val="none"/>
        </w:rPr>
        <w:t>淋水箱</w:t>
      </w: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highlight w:val="none"/>
        </w:rPr>
        <w:t>技</w:t>
      </w:r>
      <w:r>
        <w:rPr>
          <w:rFonts w:hint="eastAsia" w:ascii="宋体" w:hAnsi="宋体" w:cs="宋体"/>
          <w:b/>
          <w:sz w:val="52"/>
          <w:highlight w:val="none"/>
        </w:rPr>
        <w:t>术规范书</w:t>
      </w:r>
    </w:p>
    <w:p>
      <w:pPr>
        <w:pStyle w:val="48"/>
        <w:widowControl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 xml:space="preserve"> </w:t>
      </w:r>
    </w:p>
    <w:p>
      <w:pPr>
        <w:pStyle w:val="48"/>
        <w:widowControl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 xml:space="preserve"> </w:t>
      </w:r>
    </w:p>
    <w:p>
      <w:pPr>
        <w:pStyle w:val="48"/>
        <w:widowControl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 xml:space="preserve"> </w:t>
      </w:r>
    </w:p>
    <w:p>
      <w:pPr>
        <w:pStyle w:val="48"/>
        <w:widowControl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 xml:space="preserve"> </w:t>
      </w:r>
    </w:p>
    <w:p>
      <w:pPr>
        <w:pStyle w:val="48"/>
        <w:widowControl/>
        <w:rPr>
          <w:rFonts w:hint="eastAsia" w:ascii="宋体" w:hAnsi="宋体" w:eastAsia="宋体" w:cs="宋体"/>
          <w:highlight w:val="none"/>
        </w:rPr>
      </w:pPr>
    </w:p>
    <w:p>
      <w:pPr>
        <w:pStyle w:val="48"/>
        <w:widowControl/>
        <w:rPr>
          <w:rFonts w:hint="eastAsia" w:ascii="宋体" w:hAnsi="宋体" w:eastAsia="宋体" w:cs="宋体"/>
          <w:highlight w:val="none"/>
        </w:rPr>
      </w:pPr>
    </w:p>
    <w:p>
      <w:pPr>
        <w:pStyle w:val="48"/>
        <w:widowControl/>
        <w:rPr>
          <w:rFonts w:hint="eastAsia" w:ascii="宋体" w:hAnsi="宋体" w:eastAsia="宋体" w:cs="宋体"/>
          <w:highlight w:val="none"/>
        </w:rPr>
      </w:pPr>
    </w:p>
    <w:p>
      <w:pPr>
        <w:pStyle w:val="48"/>
        <w:widowControl/>
        <w:rPr>
          <w:rFonts w:hint="eastAsia" w:ascii="宋体" w:hAnsi="宋体" w:eastAsia="宋体" w:cs="宋体"/>
          <w:highlight w:val="none"/>
        </w:rPr>
      </w:pPr>
    </w:p>
    <w:p>
      <w:pPr>
        <w:pStyle w:val="48"/>
        <w:widowControl/>
        <w:rPr>
          <w:rFonts w:hint="eastAsia" w:ascii="宋体" w:hAnsi="宋体" w:eastAsia="宋体" w:cs="宋体"/>
          <w:highlight w:val="none"/>
        </w:rPr>
      </w:pPr>
    </w:p>
    <w:p>
      <w:pPr>
        <w:pStyle w:val="48"/>
        <w:widowControl/>
        <w:rPr>
          <w:rFonts w:hint="eastAsia" w:ascii="宋体" w:hAnsi="宋体" w:eastAsia="宋体" w:cs="宋体"/>
          <w:highlight w:val="none"/>
        </w:rPr>
      </w:pPr>
    </w:p>
    <w:p>
      <w:pPr>
        <w:pStyle w:val="48"/>
        <w:widowControl/>
        <w:rPr>
          <w:rFonts w:hint="eastAsia" w:ascii="宋体" w:hAnsi="宋体" w:eastAsia="宋体" w:cs="宋体"/>
          <w:highlight w:val="none"/>
        </w:rPr>
      </w:pPr>
    </w:p>
    <w:p>
      <w:pPr>
        <w:pStyle w:val="48"/>
        <w:widowControl/>
        <w:rPr>
          <w:rFonts w:hint="eastAsia" w:ascii="宋体" w:hAnsi="宋体" w:eastAsia="宋体" w:cs="宋体"/>
          <w:highlight w:val="none"/>
        </w:rPr>
      </w:pPr>
    </w:p>
    <w:p>
      <w:pPr>
        <w:pStyle w:val="49"/>
        <w:spacing w:line="360" w:lineRule="auto"/>
        <w:rPr>
          <w:rFonts w:hint="eastAsia" w:ascii="宋体" w:hAnsi="宋体" w:eastAsia="宋体" w:cs="宋体"/>
          <w:b/>
          <w:szCs w:val="20"/>
          <w:highlight w:val="none"/>
        </w:rPr>
      </w:pPr>
      <w:r>
        <w:rPr>
          <w:rFonts w:hint="eastAsia" w:ascii="宋体" w:hAnsi="宋体" w:eastAsia="宋体" w:cs="宋体"/>
          <w:b/>
          <w:szCs w:val="20"/>
          <w:highlight w:val="none"/>
        </w:rPr>
        <w:t>2026年5月</w:t>
      </w:r>
    </w:p>
    <w:p>
      <w:pPr>
        <w:pStyle w:val="49"/>
        <w:spacing w:line="360" w:lineRule="auto"/>
        <w:rPr>
          <w:rFonts w:hint="eastAsia" w:ascii="宋体" w:hAnsi="宋体" w:eastAsia="宋体" w:cs="宋体"/>
          <w:b/>
          <w:szCs w:val="20"/>
          <w:highlight w:val="none"/>
        </w:rPr>
      </w:pPr>
    </w:p>
    <w:p>
      <w:pPr>
        <w:jc w:val="center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目录</w:t>
      </w:r>
    </w:p>
    <w:p>
      <w:pPr>
        <w:pStyle w:val="20"/>
        <w:tabs>
          <w:tab w:val="right" w:leader="dot" w:pos="9072"/>
        </w:tabs>
        <w:rPr>
          <w:highlight w:val="none"/>
        </w:rPr>
      </w:pPr>
      <w:r>
        <w:rPr>
          <w:rFonts w:hint="eastAsia" w:ascii="宋体" w:hAnsi="宋体" w:cs="宋体"/>
          <w:sz w:val="21"/>
          <w:szCs w:val="21"/>
          <w:highlight w:val="none"/>
        </w:rPr>
        <w:fldChar w:fldCharType="begin"/>
      </w:r>
      <w:r>
        <w:rPr>
          <w:rFonts w:hint="eastAsia" w:ascii="宋体" w:hAnsi="宋体" w:cs="宋体"/>
          <w:sz w:val="21"/>
          <w:szCs w:val="21"/>
          <w:highlight w:val="none"/>
        </w:rPr>
        <w:instrText xml:space="preserve">TOC \o "1-3" \h \u </w:instrText>
      </w:r>
      <w:r>
        <w:rPr>
          <w:rFonts w:hint="eastAsia" w:ascii="宋体" w:hAnsi="宋体" w:cs="宋体"/>
          <w:sz w:val="21"/>
          <w:szCs w:val="21"/>
          <w:highlight w:val="none"/>
        </w:rPr>
        <w:fldChar w:fldCharType="separate"/>
      </w:r>
      <w:r>
        <w:rPr>
          <w:rFonts w:hint="eastAsia" w:ascii="宋体" w:hAnsi="宋体" w:cs="宋体"/>
          <w:szCs w:val="21"/>
          <w:highlight w:val="none"/>
        </w:rPr>
        <w:fldChar w:fldCharType="begin"/>
      </w:r>
      <w:r>
        <w:rPr>
          <w:rFonts w:hint="eastAsia" w:ascii="宋体" w:hAnsi="宋体" w:cs="宋体"/>
          <w:szCs w:val="21"/>
          <w:highlight w:val="none"/>
        </w:rPr>
        <w:instrText xml:space="preserve"> HYPERLINK \l _Toc16696 </w:instrText>
      </w:r>
      <w:r>
        <w:rPr>
          <w:rFonts w:hint="eastAsia" w:ascii="宋体" w:hAnsi="宋体" w:cs="宋体"/>
          <w:szCs w:val="21"/>
          <w:highlight w:val="none"/>
        </w:rPr>
        <w:fldChar w:fldCharType="separate"/>
      </w:r>
      <w:r>
        <w:rPr>
          <w:rFonts w:hint="default" w:hAnsi="宋体" w:cs="宋体"/>
          <w:szCs w:val="28"/>
          <w:highlight w:val="none"/>
          <w:lang w:val="zh-CN"/>
        </w:rPr>
        <w:t xml:space="preserve">1. </w:t>
      </w:r>
      <w:r>
        <w:rPr>
          <w:rFonts w:hint="eastAsia" w:hAnsi="宋体" w:cs="宋体"/>
          <w:szCs w:val="28"/>
          <w:highlight w:val="none"/>
          <w:lang w:val="zh-CN"/>
        </w:rPr>
        <w:t>总则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_Toc16696 \h </w:instrText>
      </w:r>
      <w:r>
        <w:rPr>
          <w:highlight w:val="none"/>
        </w:rPr>
        <w:fldChar w:fldCharType="separate"/>
      </w:r>
      <w:r>
        <w:rPr>
          <w:highlight w:val="none"/>
        </w:rPr>
        <w:t>3</w:t>
      </w:r>
      <w:r>
        <w:rPr>
          <w:highlight w:val="none"/>
        </w:rPr>
        <w:fldChar w:fldCharType="end"/>
      </w:r>
      <w:r>
        <w:rPr>
          <w:rFonts w:hint="eastAsia" w:ascii="宋体" w:hAnsi="宋体" w:cs="宋体"/>
          <w:szCs w:val="21"/>
          <w:highlight w:val="none"/>
        </w:rPr>
        <w:fldChar w:fldCharType="end"/>
      </w:r>
    </w:p>
    <w:p>
      <w:pPr>
        <w:pStyle w:val="20"/>
        <w:tabs>
          <w:tab w:val="right" w:leader="dot" w:pos="9072"/>
        </w:tabs>
        <w:rPr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fldChar w:fldCharType="begin"/>
      </w:r>
      <w:r>
        <w:rPr>
          <w:rFonts w:hint="eastAsia" w:ascii="宋体" w:hAnsi="宋体" w:cs="宋体"/>
          <w:szCs w:val="21"/>
          <w:highlight w:val="none"/>
        </w:rPr>
        <w:instrText xml:space="preserve"> HYPERLINK \l _Toc32171 </w:instrText>
      </w:r>
      <w:r>
        <w:rPr>
          <w:rFonts w:hint="eastAsia" w:ascii="宋体" w:hAnsi="宋体" w:cs="宋体"/>
          <w:szCs w:val="21"/>
          <w:highlight w:val="none"/>
        </w:rPr>
        <w:fldChar w:fldCharType="separate"/>
      </w:r>
      <w:r>
        <w:rPr>
          <w:rFonts w:hint="default" w:hAnsi="宋体" w:cs="宋体"/>
          <w:szCs w:val="28"/>
          <w:highlight w:val="none"/>
          <w:lang w:val="zh-CN"/>
        </w:rPr>
        <w:t xml:space="preserve">2. </w:t>
      </w:r>
      <w:r>
        <w:rPr>
          <w:rFonts w:hint="eastAsia" w:hAnsi="宋体" w:cs="宋体"/>
          <w:szCs w:val="28"/>
          <w:highlight w:val="none"/>
          <w:lang w:val="zh-CN"/>
        </w:rPr>
        <w:t>使用环境条件</w:t>
      </w:r>
      <w:r>
        <w:rPr>
          <w:rFonts w:hint="eastAsia" w:hAnsi="宋体" w:cs="宋体"/>
          <w:szCs w:val="28"/>
          <w:highlight w:val="none"/>
        </w:rPr>
        <w:t>要求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_Toc32171 \h </w:instrText>
      </w:r>
      <w:r>
        <w:rPr>
          <w:highlight w:val="none"/>
        </w:rPr>
        <w:fldChar w:fldCharType="separate"/>
      </w:r>
      <w:r>
        <w:rPr>
          <w:highlight w:val="none"/>
        </w:rPr>
        <w:t>3</w:t>
      </w:r>
      <w:r>
        <w:rPr>
          <w:highlight w:val="none"/>
        </w:rPr>
        <w:fldChar w:fldCharType="end"/>
      </w:r>
      <w:r>
        <w:rPr>
          <w:rFonts w:hint="eastAsia" w:ascii="宋体" w:hAnsi="宋体" w:cs="宋体"/>
          <w:szCs w:val="21"/>
          <w:highlight w:val="none"/>
        </w:rPr>
        <w:fldChar w:fldCharType="end"/>
      </w:r>
    </w:p>
    <w:p>
      <w:pPr>
        <w:pStyle w:val="20"/>
        <w:tabs>
          <w:tab w:val="right" w:leader="dot" w:pos="9072"/>
        </w:tabs>
        <w:rPr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fldChar w:fldCharType="begin"/>
      </w:r>
      <w:r>
        <w:rPr>
          <w:rFonts w:hint="eastAsia" w:ascii="宋体" w:hAnsi="宋体" w:cs="宋体"/>
          <w:szCs w:val="21"/>
          <w:highlight w:val="none"/>
        </w:rPr>
        <w:instrText xml:space="preserve"> HYPERLINK \l _Toc12700 </w:instrText>
      </w:r>
      <w:r>
        <w:rPr>
          <w:rFonts w:hint="eastAsia" w:ascii="宋体" w:hAnsi="宋体" w:cs="宋体"/>
          <w:szCs w:val="21"/>
          <w:highlight w:val="none"/>
        </w:rPr>
        <w:fldChar w:fldCharType="separate"/>
      </w:r>
      <w:r>
        <w:rPr>
          <w:rFonts w:hint="default" w:hAnsi="宋体" w:cs="宋体"/>
          <w:szCs w:val="28"/>
          <w:highlight w:val="none"/>
        </w:rPr>
        <w:t xml:space="preserve">3. </w:t>
      </w:r>
      <w:r>
        <w:rPr>
          <w:rFonts w:hint="eastAsia" w:hAnsi="宋体" w:cs="宋体"/>
          <w:szCs w:val="28"/>
          <w:highlight w:val="none"/>
        </w:rPr>
        <w:t>安全环保规定要求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_Toc12700 \h </w:instrText>
      </w:r>
      <w:r>
        <w:rPr>
          <w:highlight w:val="none"/>
        </w:rPr>
        <w:fldChar w:fldCharType="separate"/>
      </w:r>
      <w:r>
        <w:rPr>
          <w:highlight w:val="none"/>
        </w:rPr>
        <w:t>3</w:t>
      </w:r>
      <w:r>
        <w:rPr>
          <w:highlight w:val="none"/>
        </w:rPr>
        <w:fldChar w:fldCharType="end"/>
      </w:r>
      <w:r>
        <w:rPr>
          <w:rFonts w:hint="eastAsia" w:ascii="宋体" w:hAnsi="宋体" w:cs="宋体"/>
          <w:szCs w:val="21"/>
          <w:highlight w:val="none"/>
        </w:rPr>
        <w:fldChar w:fldCharType="end"/>
      </w:r>
    </w:p>
    <w:p>
      <w:pPr>
        <w:pStyle w:val="20"/>
        <w:tabs>
          <w:tab w:val="right" w:leader="dot" w:pos="9072"/>
        </w:tabs>
        <w:rPr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fldChar w:fldCharType="begin"/>
      </w:r>
      <w:r>
        <w:rPr>
          <w:rFonts w:hint="eastAsia" w:ascii="宋体" w:hAnsi="宋体" w:cs="宋体"/>
          <w:szCs w:val="21"/>
          <w:highlight w:val="none"/>
        </w:rPr>
        <w:instrText xml:space="preserve"> HYPERLINK \l _Toc17882 </w:instrText>
      </w:r>
      <w:r>
        <w:rPr>
          <w:rFonts w:hint="eastAsia" w:ascii="宋体" w:hAnsi="宋体" w:cs="宋体"/>
          <w:szCs w:val="21"/>
          <w:highlight w:val="none"/>
        </w:rPr>
        <w:fldChar w:fldCharType="separate"/>
      </w:r>
      <w:r>
        <w:rPr>
          <w:rFonts w:hint="default" w:hAnsi="宋体" w:cs="宋体"/>
          <w:szCs w:val="28"/>
          <w:highlight w:val="none"/>
        </w:rPr>
        <w:t xml:space="preserve">4. </w:t>
      </w:r>
      <w:r>
        <w:rPr>
          <w:szCs w:val="28"/>
          <w:highlight w:val="none"/>
        </w:rPr>
        <w:t>产品总体性能及配置要求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_Toc17882 \h </w:instrText>
      </w:r>
      <w:r>
        <w:rPr>
          <w:highlight w:val="none"/>
        </w:rPr>
        <w:fldChar w:fldCharType="separate"/>
      </w:r>
      <w:r>
        <w:rPr>
          <w:highlight w:val="none"/>
        </w:rPr>
        <w:t>3</w:t>
      </w:r>
      <w:r>
        <w:rPr>
          <w:highlight w:val="none"/>
        </w:rPr>
        <w:fldChar w:fldCharType="end"/>
      </w:r>
      <w:r>
        <w:rPr>
          <w:rFonts w:hint="eastAsia" w:ascii="宋体" w:hAnsi="宋体" w:cs="宋体"/>
          <w:szCs w:val="21"/>
          <w:highlight w:val="none"/>
        </w:rPr>
        <w:fldChar w:fldCharType="end"/>
      </w:r>
    </w:p>
    <w:p>
      <w:pPr>
        <w:pStyle w:val="20"/>
        <w:tabs>
          <w:tab w:val="right" w:leader="dot" w:pos="9072"/>
        </w:tabs>
        <w:rPr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fldChar w:fldCharType="begin"/>
      </w:r>
      <w:r>
        <w:rPr>
          <w:rFonts w:hint="eastAsia" w:ascii="宋体" w:hAnsi="宋体" w:cs="宋体"/>
          <w:szCs w:val="21"/>
          <w:highlight w:val="none"/>
        </w:rPr>
        <w:instrText xml:space="preserve"> HYPERLINK \l _Toc29982 </w:instrText>
      </w:r>
      <w:r>
        <w:rPr>
          <w:rFonts w:hint="eastAsia" w:ascii="宋体" w:hAnsi="宋体" w:cs="宋体"/>
          <w:szCs w:val="21"/>
          <w:highlight w:val="none"/>
        </w:rPr>
        <w:fldChar w:fldCharType="separate"/>
      </w:r>
      <w:r>
        <w:rPr>
          <w:rFonts w:hint="default" w:hAnsi="宋体" w:cs="宋体"/>
          <w:szCs w:val="28"/>
          <w:highlight w:val="none"/>
        </w:rPr>
        <w:t xml:space="preserve">5. </w:t>
      </w:r>
      <w:r>
        <w:rPr>
          <w:rFonts w:hint="eastAsia" w:hAnsi="宋体" w:cs="宋体"/>
          <w:szCs w:val="28"/>
          <w:highlight w:val="none"/>
        </w:rPr>
        <w:t>质量保证要求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_Toc29982 \h </w:instrText>
      </w:r>
      <w:r>
        <w:rPr>
          <w:highlight w:val="none"/>
        </w:rPr>
        <w:fldChar w:fldCharType="separate"/>
      </w:r>
      <w:r>
        <w:rPr>
          <w:highlight w:val="none"/>
        </w:rPr>
        <w:t>4</w:t>
      </w:r>
      <w:r>
        <w:rPr>
          <w:highlight w:val="none"/>
        </w:rPr>
        <w:fldChar w:fldCharType="end"/>
      </w:r>
      <w:r>
        <w:rPr>
          <w:rFonts w:hint="eastAsia" w:ascii="宋体" w:hAnsi="宋体" w:cs="宋体"/>
          <w:szCs w:val="21"/>
          <w:highlight w:val="none"/>
        </w:rPr>
        <w:fldChar w:fldCharType="end"/>
      </w:r>
    </w:p>
    <w:p>
      <w:pPr>
        <w:pStyle w:val="20"/>
        <w:tabs>
          <w:tab w:val="right" w:leader="dot" w:pos="9072"/>
        </w:tabs>
        <w:rPr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fldChar w:fldCharType="begin"/>
      </w:r>
      <w:r>
        <w:rPr>
          <w:rFonts w:hint="eastAsia" w:ascii="宋体" w:hAnsi="宋体" w:cs="宋体"/>
          <w:szCs w:val="21"/>
          <w:highlight w:val="none"/>
        </w:rPr>
        <w:instrText xml:space="preserve"> HYPERLINK \l _Toc28364 </w:instrText>
      </w:r>
      <w:r>
        <w:rPr>
          <w:rFonts w:hint="eastAsia" w:ascii="宋体" w:hAnsi="宋体" w:cs="宋体"/>
          <w:szCs w:val="21"/>
          <w:highlight w:val="none"/>
        </w:rPr>
        <w:fldChar w:fldCharType="separate"/>
      </w:r>
      <w:r>
        <w:rPr>
          <w:rFonts w:hint="default" w:hAnsi="宋体" w:cs="宋体"/>
          <w:szCs w:val="28"/>
          <w:highlight w:val="none"/>
        </w:rPr>
        <w:t xml:space="preserve">6. </w:t>
      </w:r>
      <w:r>
        <w:rPr>
          <w:rFonts w:hint="eastAsia" w:hAnsi="宋体" w:cs="宋体"/>
          <w:szCs w:val="28"/>
          <w:highlight w:val="none"/>
        </w:rPr>
        <w:t>售后服务要求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_Toc28364 \h </w:instrText>
      </w:r>
      <w:r>
        <w:rPr>
          <w:highlight w:val="none"/>
        </w:rPr>
        <w:fldChar w:fldCharType="separate"/>
      </w:r>
      <w:r>
        <w:rPr>
          <w:highlight w:val="none"/>
        </w:rPr>
        <w:t>4</w:t>
      </w:r>
      <w:r>
        <w:rPr>
          <w:highlight w:val="none"/>
        </w:rPr>
        <w:fldChar w:fldCharType="end"/>
      </w:r>
      <w:r>
        <w:rPr>
          <w:rFonts w:hint="eastAsia" w:ascii="宋体" w:hAnsi="宋体" w:cs="宋体"/>
          <w:szCs w:val="21"/>
          <w:highlight w:val="none"/>
        </w:rPr>
        <w:fldChar w:fldCharType="end"/>
      </w:r>
    </w:p>
    <w:p>
      <w:pPr>
        <w:pStyle w:val="20"/>
        <w:tabs>
          <w:tab w:val="right" w:leader="dot" w:pos="9072"/>
        </w:tabs>
        <w:rPr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fldChar w:fldCharType="begin"/>
      </w:r>
      <w:r>
        <w:rPr>
          <w:rFonts w:hint="eastAsia" w:ascii="宋体" w:hAnsi="宋体" w:cs="宋体"/>
          <w:szCs w:val="21"/>
          <w:highlight w:val="none"/>
        </w:rPr>
        <w:instrText xml:space="preserve"> HYPERLINK \l _Toc18686 </w:instrText>
      </w:r>
      <w:r>
        <w:rPr>
          <w:rFonts w:hint="eastAsia" w:ascii="宋体" w:hAnsi="宋体" w:cs="宋体"/>
          <w:szCs w:val="21"/>
          <w:highlight w:val="none"/>
        </w:rPr>
        <w:fldChar w:fldCharType="separate"/>
      </w:r>
      <w:r>
        <w:rPr>
          <w:rFonts w:hint="default" w:hAnsi="宋体" w:cs="宋体"/>
          <w:szCs w:val="28"/>
          <w:highlight w:val="none"/>
        </w:rPr>
        <w:t xml:space="preserve">7. </w:t>
      </w:r>
      <w:r>
        <w:rPr>
          <w:szCs w:val="28"/>
          <w:highlight w:val="none"/>
        </w:rPr>
        <w:t>供货、运输及交货要求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_Toc18686 \h </w:instrText>
      </w:r>
      <w:r>
        <w:rPr>
          <w:highlight w:val="none"/>
        </w:rPr>
        <w:fldChar w:fldCharType="separate"/>
      </w:r>
      <w:r>
        <w:rPr>
          <w:highlight w:val="none"/>
        </w:rPr>
        <w:t>5</w:t>
      </w:r>
      <w:r>
        <w:rPr>
          <w:highlight w:val="none"/>
        </w:rPr>
        <w:fldChar w:fldCharType="end"/>
      </w:r>
      <w:r>
        <w:rPr>
          <w:rFonts w:hint="eastAsia" w:ascii="宋体" w:hAnsi="宋体" w:cs="宋体"/>
          <w:szCs w:val="21"/>
          <w:highlight w:val="none"/>
        </w:rPr>
        <w:fldChar w:fldCharType="end"/>
      </w:r>
    </w:p>
    <w:p>
      <w:pPr>
        <w:pStyle w:val="20"/>
        <w:tabs>
          <w:tab w:val="right" w:leader="dot" w:pos="9072"/>
        </w:tabs>
        <w:rPr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fldChar w:fldCharType="begin"/>
      </w:r>
      <w:r>
        <w:rPr>
          <w:rFonts w:hint="eastAsia" w:ascii="宋体" w:hAnsi="宋体" w:cs="宋体"/>
          <w:szCs w:val="21"/>
          <w:highlight w:val="none"/>
        </w:rPr>
        <w:instrText xml:space="preserve"> HYPERLINK \l _Toc2977 </w:instrText>
      </w:r>
      <w:r>
        <w:rPr>
          <w:rFonts w:hint="eastAsia" w:ascii="宋体" w:hAnsi="宋体" w:cs="宋体"/>
          <w:szCs w:val="21"/>
          <w:highlight w:val="none"/>
        </w:rPr>
        <w:fldChar w:fldCharType="separate"/>
      </w:r>
      <w:r>
        <w:rPr>
          <w:rFonts w:hint="default" w:hAnsi="宋体" w:cs="宋体"/>
          <w:szCs w:val="28"/>
          <w:highlight w:val="none"/>
        </w:rPr>
        <w:t xml:space="preserve">8. </w:t>
      </w:r>
      <w:r>
        <w:rPr>
          <w:rFonts w:hint="eastAsia" w:hAnsi="宋体" w:cs="宋体"/>
          <w:szCs w:val="28"/>
          <w:highlight w:val="none"/>
        </w:rPr>
        <w:t>产品验收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_Toc2977 \h </w:instrText>
      </w:r>
      <w:r>
        <w:rPr>
          <w:highlight w:val="none"/>
        </w:rPr>
        <w:fldChar w:fldCharType="separate"/>
      </w:r>
      <w:r>
        <w:rPr>
          <w:highlight w:val="none"/>
        </w:rPr>
        <w:t>5</w:t>
      </w:r>
      <w:r>
        <w:rPr>
          <w:highlight w:val="none"/>
        </w:rPr>
        <w:fldChar w:fldCharType="end"/>
      </w:r>
      <w:r>
        <w:rPr>
          <w:rFonts w:hint="eastAsia" w:ascii="宋体" w:hAnsi="宋体" w:cs="宋体"/>
          <w:szCs w:val="21"/>
          <w:highlight w:val="none"/>
        </w:rPr>
        <w:fldChar w:fldCharType="end"/>
      </w:r>
    </w:p>
    <w:p>
      <w:pPr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fldChar w:fldCharType="end"/>
      </w:r>
    </w:p>
    <w:p>
      <w:pPr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br w:type="page"/>
      </w:r>
      <w:r>
        <w:rPr>
          <w:rFonts w:hint="eastAsia"/>
          <w:highlight w:val="none"/>
          <w:lang w:val="en-US" w:eastAsia="zh-CN"/>
        </w:rPr>
        <w:t>+</w:t>
      </w:r>
    </w:p>
    <w:p>
      <w:pPr>
        <w:pStyle w:val="4"/>
        <w:spacing w:before="0" w:beforeLines="0" w:after="120" w:line="240" w:lineRule="auto"/>
        <w:rPr>
          <w:rFonts w:hint="eastAsia" w:hAnsi="宋体" w:cs="宋体"/>
          <w:sz w:val="28"/>
          <w:szCs w:val="28"/>
          <w:highlight w:val="none"/>
          <w:lang w:val="zh-CN"/>
        </w:rPr>
      </w:pPr>
      <w:bookmarkStart w:id="2" w:name="_Toc16696"/>
      <w:r>
        <w:rPr>
          <w:rFonts w:hint="eastAsia" w:hAnsi="宋体" w:cs="宋体"/>
          <w:sz w:val="28"/>
          <w:szCs w:val="28"/>
          <w:highlight w:val="none"/>
          <w:lang w:val="zh-CN"/>
        </w:rPr>
        <w:t>总则</w:t>
      </w:r>
      <w:bookmarkEnd w:id="0"/>
      <w:bookmarkEnd w:id="1"/>
      <w:bookmarkEnd w:id="2"/>
    </w:p>
    <w:p>
      <w:pPr>
        <w:bidi w:val="0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1.1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概述</w:t>
      </w:r>
    </w:p>
    <w:p>
      <w:pPr>
        <w:numPr>
          <w:ilvl w:val="0"/>
          <w:numId w:val="2"/>
        </w:numPr>
        <w:spacing w:after="120"/>
        <w:rPr>
          <w:rFonts w:hint="eastAsia" w:ascii="宋体" w:hAnsi="宋体" w:cs="宋体"/>
          <w:sz w:val="24"/>
          <w:highlight w:val="none"/>
          <w:lang w:val="zh-CN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本技术条件规定了淋水箱的使用条件、性能参数、结构尺寸、技术要求、出厂试验、标志等具体内容。</w:t>
      </w:r>
    </w:p>
    <w:p>
      <w:pPr>
        <w:numPr>
          <w:ilvl w:val="0"/>
          <w:numId w:val="2"/>
        </w:numPr>
        <w:spacing w:after="120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本技术规范书适用于淋水箱的招标采购。投标方应仔细阅读本技术条件所有条款，保证提供符合本规范及国家相关规程规范的成熟可靠产品。</w:t>
      </w:r>
    </w:p>
    <w:p>
      <w:pPr>
        <w:numPr>
          <w:ilvl w:val="0"/>
          <w:numId w:val="2"/>
        </w:numPr>
        <w:spacing w:after="120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若投标方未以书面形式对本规范条文提出异议，则视为提供产品完全符合要求。如有异议，应在投标文件 “技术偏差表” 中详细描述。</w:t>
      </w:r>
    </w:p>
    <w:p>
      <w:pPr>
        <w:numPr>
          <w:ilvl w:val="0"/>
          <w:numId w:val="2"/>
        </w:numPr>
        <w:spacing w:after="120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本规范所使用标准与投标方执行标准不一致时，按技术要求较高的标准执行。</w:t>
      </w:r>
    </w:p>
    <w:p>
      <w:pPr>
        <w:numPr>
          <w:ilvl w:val="0"/>
          <w:numId w:val="2"/>
        </w:numPr>
        <w:spacing w:after="120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本规范经双方确认后作为订货合同技术附件，与合同正文具有同等法律效力。本规范未尽事宜，由双方协商确定。</w:t>
      </w:r>
    </w:p>
    <w:p>
      <w:pPr>
        <w:numPr>
          <w:ilvl w:val="0"/>
          <w:numId w:val="2"/>
        </w:numPr>
        <w:spacing w:after="120"/>
        <w:rPr>
          <w:rFonts w:hint="eastAsia" w:ascii="宋体" w:hAnsi="宋体" w:cs="宋体"/>
          <w:b/>
          <w:bCs/>
          <w:sz w:val="24"/>
          <w:highlight w:val="none"/>
          <w:lang w:val="zh-CN"/>
        </w:rPr>
      </w:pPr>
      <w:r>
        <w:rPr>
          <w:rFonts w:hint="eastAsia" w:ascii="宋体" w:hAnsi="宋体" w:cs="宋体"/>
          <w:sz w:val="24"/>
          <w:highlight w:val="none"/>
        </w:rPr>
        <w:t>本技术规范书未尽事宜，由招标方、投标方双方协商确定。</w:t>
      </w:r>
      <w:bookmarkStart w:id="3" w:name="_Toc13430"/>
      <w:bookmarkStart w:id="4" w:name="_Toc1036"/>
    </w:p>
    <w:p>
      <w:pPr>
        <w:pStyle w:val="4"/>
        <w:spacing w:before="0" w:beforeLines="0" w:after="120" w:line="240" w:lineRule="auto"/>
        <w:rPr>
          <w:rFonts w:hint="eastAsia" w:hAnsi="宋体" w:cs="宋体"/>
          <w:sz w:val="28"/>
          <w:szCs w:val="28"/>
          <w:highlight w:val="none"/>
          <w:lang w:val="zh-CN"/>
        </w:rPr>
      </w:pPr>
      <w:bookmarkStart w:id="5" w:name="_Toc32171"/>
      <w:r>
        <w:rPr>
          <w:rFonts w:hint="eastAsia" w:hAnsi="宋体" w:cs="宋体"/>
          <w:sz w:val="28"/>
          <w:szCs w:val="28"/>
          <w:highlight w:val="none"/>
          <w:lang w:val="zh-CN"/>
        </w:rPr>
        <w:t>使用环境条件</w:t>
      </w:r>
      <w:bookmarkEnd w:id="3"/>
      <w:bookmarkEnd w:id="4"/>
      <w:r>
        <w:rPr>
          <w:rFonts w:hint="eastAsia" w:hAnsi="宋体" w:cs="宋体"/>
          <w:sz w:val="28"/>
          <w:szCs w:val="28"/>
          <w:highlight w:val="none"/>
        </w:rPr>
        <w:t>要求</w:t>
      </w:r>
      <w:bookmarkEnd w:id="5"/>
    </w:p>
    <w:p>
      <w:pPr>
        <w:numPr>
          <w:ilvl w:val="0"/>
          <w:numId w:val="3"/>
        </w:numPr>
        <w:spacing w:after="12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海拔高度：</w:t>
      </w: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≤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4</w:t>
      </w: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000 米</w:t>
      </w:r>
      <w:r>
        <w:rPr>
          <w:rFonts w:hint="eastAsia" w:ascii="宋体" w:hAnsi="宋体" w:cs="宋体"/>
          <w:sz w:val="24"/>
          <w:highlight w:val="none"/>
        </w:rPr>
        <w:t>；</w:t>
      </w:r>
    </w:p>
    <w:p>
      <w:pPr>
        <w:numPr>
          <w:ilvl w:val="0"/>
          <w:numId w:val="3"/>
        </w:numPr>
        <w:spacing w:after="12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环境温度：</w:t>
      </w: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-10℃～+40℃</w:t>
      </w:r>
      <w:r>
        <w:rPr>
          <w:rFonts w:hint="eastAsia" w:ascii="宋体" w:hAnsi="宋体" w:cs="宋体"/>
          <w:sz w:val="24"/>
          <w:highlight w:val="none"/>
        </w:rPr>
        <w:t>；</w:t>
      </w:r>
    </w:p>
    <w:p>
      <w:pPr>
        <w:numPr>
          <w:ilvl w:val="0"/>
          <w:numId w:val="3"/>
        </w:numPr>
        <w:spacing w:after="120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适用车型：12 吨、25 吨汽车起重机</w:t>
      </w:r>
      <w:r>
        <w:rPr>
          <w:rFonts w:hint="eastAsia" w:ascii="宋体" w:hAnsi="宋体" w:cs="宋体"/>
          <w:sz w:val="24"/>
          <w:highlight w:val="none"/>
        </w:rPr>
        <w:t>；</w:t>
      </w:r>
    </w:p>
    <w:p>
      <w:pPr>
        <w:numPr>
          <w:ilvl w:val="0"/>
          <w:numId w:val="3"/>
        </w:numPr>
        <w:spacing w:after="120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适应车辆行驶振动、制动冲击工况</w:t>
      </w:r>
    </w:p>
    <w:p>
      <w:pPr>
        <w:pStyle w:val="2"/>
        <w:rPr>
          <w:highlight w:val="none"/>
        </w:rPr>
      </w:pPr>
    </w:p>
    <w:p>
      <w:pPr>
        <w:pStyle w:val="4"/>
        <w:spacing w:before="0" w:beforeLines="0" w:after="120" w:line="240" w:lineRule="auto"/>
        <w:rPr>
          <w:rFonts w:hint="eastAsia" w:hAnsi="宋体" w:cs="宋体"/>
          <w:sz w:val="28"/>
          <w:szCs w:val="28"/>
          <w:highlight w:val="none"/>
        </w:rPr>
      </w:pPr>
      <w:bookmarkStart w:id="6" w:name="_Toc12700"/>
      <w:r>
        <w:rPr>
          <w:rFonts w:hint="eastAsia" w:hAnsi="宋体" w:cs="宋体"/>
          <w:sz w:val="28"/>
          <w:szCs w:val="28"/>
          <w:highlight w:val="none"/>
        </w:rPr>
        <w:t>安全环保规定要求</w:t>
      </w:r>
      <w:bookmarkEnd w:id="6"/>
    </w:p>
    <w:p>
      <w:pPr>
        <w:numPr>
          <w:ilvl w:val="0"/>
          <w:numId w:val="4"/>
        </w:numPr>
        <w:spacing w:after="12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产品材质环保无毒，安装后不得出现漏水、渗水、滴水现象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。</w:t>
      </w:r>
    </w:p>
    <w:p>
      <w:pPr>
        <w:numPr>
          <w:ilvl w:val="0"/>
          <w:numId w:val="4"/>
        </w:numPr>
        <w:spacing w:after="12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箱体结构强度满足车辆行驶、转向、制动冲击，不破裂、不变形</w:t>
      </w:r>
      <w:r>
        <w:rPr>
          <w:rFonts w:hint="eastAsia" w:ascii="宋体" w:hAnsi="宋体" w:cs="宋体"/>
          <w:sz w:val="24"/>
          <w:highlight w:val="none"/>
        </w:rPr>
        <w:t>。</w:t>
      </w:r>
    </w:p>
    <w:p>
      <w:pPr>
        <w:numPr>
          <w:ilvl w:val="0"/>
          <w:numId w:val="4"/>
        </w:numPr>
        <w:spacing w:after="12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接口、阀门密封可靠，操作维护方便</w:t>
      </w:r>
      <w:r>
        <w:rPr>
          <w:rFonts w:hint="eastAsia" w:ascii="宋体" w:hAnsi="宋体" w:cs="宋体"/>
          <w:sz w:val="24"/>
          <w:highlight w:val="none"/>
        </w:rPr>
        <w:t>。</w:t>
      </w:r>
    </w:p>
    <w:p>
      <w:pPr>
        <w:numPr>
          <w:ilvl w:val="0"/>
          <w:numId w:val="4"/>
        </w:numPr>
        <w:spacing w:after="12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表面防腐防锈处理，使用寿命满足使用要求</w:t>
      </w:r>
      <w:r>
        <w:rPr>
          <w:rFonts w:hint="eastAsia" w:ascii="宋体" w:hAnsi="宋体" w:cs="宋体"/>
          <w:sz w:val="24"/>
          <w:highlight w:val="none"/>
        </w:rPr>
        <w:t>。</w:t>
      </w:r>
    </w:p>
    <w:p>
      <w:pPr>
        <w:numPr>
          <w:ilvl w:val="0"/>
          <w:numId w:val="4"/>
        </w:numPr>
        <w:spacing w:after="12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安装支架牢固可靠，无松动、脱落、异响风险</w:t>
      </w:r>
      <w:r>
        <w:rPr>
          <w:rFonts w:hint="eastAsia" w:ascii="宋体" w:hAnsi="宋体" w:cs="宋体"/>
          <w:sz w:val="24"/>
          <w:highlight w:val="none"/>
        </w:rPr>
        <w:t>。</w:t>
      </w:r>
    </w:p>
    <w:p>
      <w:pPr>
        <w:pStyle w:val="4"/>
        <w:spacing w:before="0" w:beforeLines="0" w:after="120" w:line="240" w:lineRule="auto"/>
        <w:rPr>
          <w:rFonts w:hint="eastAsia" w:hAnsi="宋体" w:cs="宋体"/>
          <w:sz w:val="28"/>
          <w:szCs w:val="28"/>
          <w:highlight w:val="none"/>
        </w:rPr>
      </w:pPr>
      <w:bookmarkStart w:id="7" w:name="_Toc22449"/>
      <w:bookmarkStart w:id="8" w:name="_Toc17882"/>
      <w:r>
        <w:rPr>
          <w:color w:val="000000"/>
          <w:sz w:val="28"/>
          <w:szCs w:val="28"/>
          <w:highlight w:val="none"/>
        </w:rPr>
        <w:t>产品总体性能及配置要求</w:t>
      </w:r>
      <w:bookmarkEnd w:id="7"/>
      <w:bookmarkEnd w:id="8"/>
    </w:p>
    <w:p>
      <w:pPr>
        <w:spacing w:after="120" w:line="360" w:lineRule="auto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本章节规定淋水箱的整体性能、结构、配置、技术参数、标识、原材料及装箱清单等要求。产品应满足 12 吨、25 吨汽车起重机配套使用需求，结构可靠、密封良好、安装方便，符合安全使用与车载运行工况。</w:t>
      </w:r>
    </w:p>
    <w:p>
      <w:pPr>
        <w:bidi w:val="0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bookmarkStart w:id="9" w:name="_Toc16656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4.1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产品基本要求</w:t>
      </w:r>
      <w:bookmarkEnd w:id="9"/>
    </w:p>
    <w:p>
      <w:pPr>
        <w:numPr>
          <w:ilvl w:val="0"/>
          <w:numId w:val="5"/>
        </w:numPr>
        <w:spacing w:after="120"/>
        <w:jc w:val="left"/>
        <w:rPr>
          <w:rFonts w:hint="eastAsia" w:ascii="宋体" w:hAnsi="宋体" w:cs="宋体"/>
          <w:sz w:val="24"/>
          <w:highlight w:val="none"/>
        </w:rPr>
      </w:pPr>
      <w:bookmarkStart w:id="10" w:name="_Toc8623"/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产品为成熟标准产品，结构合理、安装便捷，适配对应吨位起重机</w:t>
      </w:r>
      <w:r>
        <w:rPr>
          <w:rFonts w:hint="eastAsia" w:ascii="宋体" w:hAnsi="宋体" w:cs="宋体"/>
          <w:sz w:val="24"/>
          <w:highlight w:val="none"/>
        </w:rPr>
        <w:t>。</w:t>
      </w:r>
    </w:p>
    <w:p>
      <w:pPr>
        <w:numPr>
          <w:ilvl w:val="0"/>
          <w:numId w:val="5"/>
        </w:numPr>
        <w:spacing w:after="12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焊缝均匀整洁，无漏焊、裂纹、夹渣、烧穿等缺陷</w:t>
      </w:r>
      <w:r>
        <w:rPr>
          <w:rFonts w:hint="eastAsia" w:ascii="宋体" w:hAnsi="宋体" w:cs="宋体"/>
          <w:sz w:val="24"/>
          <w:highlight w:val="none"/>
        </w:rPr>
        <w:t>。</w:t>
      </w:r>
    </w:p>
    <w:p>
      <w:pPr>
        <w:numPr>
          <w:ilvl w:val="0"/>
          <w:numId w:val="5"/>
        </w:numPr>
        <w:adjustRightInd w:val="0"/>
        <w:snapToGrid w:val="0"/>
        <w:spacing w:after="120"/>
        <w:jc w:val="left"/>
        <w:rPr>
          <w:rFonts w:hint="eastAsia" w:ascii="宋体" w:hAnsi="宋体" w:cs="宋体"/>
          <w:kern w:val="0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表面防腐处理均匀，无起皮、脱落、锈蚀</w:t>
      </w:r>
      <w:r>
        <w:rPr>
          <w:rFonts w:hint="eastAsia" w:ascii="宋体" w:hAnsi="宋体" w:cs="宋体"/>
          <w:kern w:val="0"/>
          <w:sz w:val="24"/>
          <w:highlight w:val="none"/>
        </w:rPr>
        <w:t>。</w:t>
      </w:r>
    </w:p>
    <w:p>
      <w:pPr>
        <w:numPr>
          <w:ilvl w:val="0"/>
          <w:numId w:val="5"/>
        </w:numPr>
        <w:adjustRightInd w:val="0"/>
        <w:snapToGrid w:val="0"/>
        <w:spacing w:after="12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标配进水口、出水口、排污口，布局合理</w:t>
      </w:r>
      <w:r>
        <w:rPr>
          <w:rFonts w:hint="eastAsia" w:ascii="宋体" w:hAnsi="宋体" w:cs="宋体"/>
          <w:kern w:val="0"/>
          <w:sz w:val="24"/>
          <w:highlight w:val="none"/>
          <w:lang w:val="zh-CN"/>
        </w:rPr>
        <w:t>。</w:t>
      </w:r>
    </w:p>
    <w:p>
      <w:pPr>
        <w:numPr>
          <w:ilvl w:val="0"/>
          <w:numId w:val="5"/>
        </w:numPr>
        <w:adjustRightInd w:val="0"/>
        <w:snapToGrid w:val="0"/>
        <w:spacing w:after="12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配套安装支架、紧固件、密封件等全套配件</w:t>
      </w:r>
      <w:r>
        <w:rPr>
          <w:rFonts w:hint="eastAsia" w:ascii="宋体" w:hAnsi="宋体" w:cs="宋体"/>
          <w:kern w:val="0"/>
          <w:sz w:val="24"/>
          <w:highlight w:val="none"/>
          <w:lang w:val="zh-CN"/>
        </w:rPr>
        <w:t>。</w:t>
      </w:r>
    </w:p>
    <w:p>
      <w:pPr>
        <w:bidi w:val="0"/>
        <w:rPr>
          <w:rFonts w:hint="eastAsia"/>
          <w:b/>
          <w:bCs/>
          <w:sz w:val="24"/>
          <w:szCs w:val="24"/>
          <w:highlight w:val="none"/>
          <w:lang w:val="en-US" w:eastAsia="zh-CN"/>
        </w:rPr>
      </w:pPr>
      <w:bookmarkStart w:id="11" w:name="_Toc25596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4.2</w:t>
      </w:r>
      <w:r>
        <w:rPr>
          <w:rFonts w:hint="eastAsia"/>
          <w:b/>
          <w:bCs/>
          <w:sz w:val="24"/>
          <w:szCs w:val="24"/>
          <w:highlight w:val="none"/>
          <w:lang w:val="en-US" w:eastAsia="zh-CN"/>
        </w:rPr>
        <w:t>主要技术参数要求</w:t>
      </w:r>
      <w:bookmarkEnd w:id="11"/>
    </w:p>
    <w:p>
      <w:pPr>
        <w:widowControl/>
        <w:spacing w:line="288" w:lineRule="atLeast"/>
        <w:jc w:val="center"/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 xml:space="preserve">表 1 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：</w:t>
      </w: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主要技术参数要求</w:t>
      </w:r>
    </w:p>
    <w:tbl>
      <w:tblPr>
        <w:tblStyle w:val="24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7"/>
        <w:gridCol w:w="797"/>
        <w:gridCol w:w="555"/>
        <w:gridCol w:w="2977"/>
        <w:gridCol w:w="2977"/>
        <w:gridCol w:w="116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b/>
                <w:bCs/>
                <w:highlight w:val="none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  <w:t>类别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b/>
                <w:bCs/>
                <w:highlight w:val="none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  <w:t>项目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b/>
                <w:bCs/>
                <w:highlight w:val="none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  <w:t>单位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b/>
                <w:bCs/>
                <w:highlight w:val="none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  <w:t>12 吨型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b/>
                <w:bCs/>
                <w:highlight w:val="none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  <w:t>25 吨型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b/>
                <w:bCs/>
                <w:highlight w:val="none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highlight w:val="none"/>
                <w:lang w:bidi="ar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核心参数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适配吨位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—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12 吨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25 吨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汽车起重机专用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形状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—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highlight w:val="none"/>
                <w:lang w:val="en-US" w:eastAsia="zh-CN" w:bidi="ar"/>
              </w:rPr>
              <w:t>圆柱体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highlight w:val="none"/>
                <w:lang w:val="en-US" w:eastAsia="zh-CN" w:bidi="ar"/>
              </w:rPr>
              <w:t>圆柱体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尺寸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cm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Φ60，长 160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Φ60，长 230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材质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—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镀锌板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镀锌板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参考容积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L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 xml:space="preserve">约 </w:t>
            </w:r>
            <w:r>
              <w:rPr>
                <w:rFonts w:hint="eastAsia" w:ascii="宋体" w:hAnsi="宋体" w:cs="宋体"/>
                <w:kern w:val="0"/>
                <w:sz w:val="24"/>
                <w:highlight w:val="none"/>
                <w:lang w:val="en-US" w:eastAsia="zh-CN" w:bidi="ar"/>
              </w:rPr>
              <w:t>45</w:t>
            </w: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0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约 650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密封性能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—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不渗漏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不渗漏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安装配置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固定方式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—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支架紧固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支架紧固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标准配件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—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支架、密封垫、螺丝</w:t>
            </w:r>
            <w:r>
              <w:rPr>
                <w:rFonts w:hint="eastAsia" w:ascii="宋体" w:hAnsi="宋体" w:cs="宋体"/>
                <w:kern w:val="0"/>
                <w:sz w:val="24"/>
                <w:highlight w:val="none"/>
                <w:lang w:bidi="ar"/>
              </w:rPr>
              <w:t>、水管、阀门、水龙头等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widowControl/>
              <w:jc w:val="left"/>
              <w:rPr>
                <w:highlight w:val="none"/>
              </w:rPr>
            </w:pPr>
            <w:r>
              <w:rPr>
                <w:rFonts w:ascii="宋体" w:hAnsi="宋体" w:cs="宋体"/>
                <w:kern w:val="0"/>
                <w:sz w:val="24"/>
                <w:highlight w:val="none"/>
                <w:lang w:bidi="ar"/>
              </w:rPr>
              <w:t>支架、密封垫、螺丝</w:t>
            </w:r>
            <w:r>
              <w:rPr>
                <w:rFonts w:hint="eastAsia" w:ascii="宋体" w:hAnsi="宋体" w:cs="宋体"/>
                <w:kern w:val="0"/>
                <w:sz w:val="24"/>
                <w:highlight w:val="none"/>
                <w:lang w:bidi="ar"/>
              </w:rPr>
              <w:t>、水管、阀门、水龙头等</w:t>
            </w:r>
          </w:p>
        </w:tc>
        <w:tc>
          <w:tcPr>
            <w:tcW w:w="0" w:type="auto"/>
            <w:tcBorders>
              <w:top w:val="single" w:color="CCCCCC" w:sz="4" w:space="0"/>
              <w:left w:val="single" w:color="CCCCCC" w:sz="4" w:space="0"/>
              <w:bottom w:val="single" w:color="CCCCCC" w:sz="4" w:space="0"/>
              <w:right w:val="single" w:color="CCCCCC" w:sz="4" w:space="0"/>
            </w:tcBorders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>
            <w:pPr>
              <w:jc w:val="left"/>
              <w:rPr>
                <w:rFonts w:ascii="宋体"/>
                <w:sz w:val="24"/>
                <w:highlight w:val="none"/>
              </w:rPr>
            </w:pPr>
          </w:p>
        </w:tc>
      </w:tr>
    </w:tbl>
    <w:p>
      <w:pPr>
        <w:bidi w:val="0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</w:p>
    <w:p>
      <w:pPr>
        <w:bidi w:val="0"/>
        <w:rPr>
          <w:rFonts w:hint="eastAsia"/>
          <w:highlight w:val="none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4.3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标识与配件</w:t>
      </w:r>
    </w:p>
    <w:p>
      <w:pPr>
        <w:tabs>
          <w:tab w:val="left" w:pos="1560"/>
        </w:tabs>
        <w:spacing w:after="120"/>
        <w:ind w:firstLine="480" w:firstLineChars="200"/>
        <w:rPr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 xml:space="preserve">4.3.1 </w:t>
      </w: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产品标识清晰标注：规格、容积、材质、适配车型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。</w:t>
      </w:r>
    </w:p>
    <w:p>
      <w:pPr>
        <w:tabs>
          <w:tab w:val="left" w:pos="1560"/>
        </w:tabs>
        <w:spacing w:after="120"/>
        <w:ind w:firstLine="480" w:firstLineChars="200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 xml:space="preserve">4.3.2 </w:t>
      </w: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所有接口、阀门标识清晰易懂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。</w:t>
      </w:r>
    </w:p>
    <w:p>
      <w:pPr>
        <w:bidi w:val="0"/>
        <w:rPr>
          <w:rFonts w:hint="eastAsia"/>
          <w:highlight w:val="none"/>
        </w:rPr>
      </w:pPr>
      <w:bookmarkStart w:id="12" w:name="_Toc18313"/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4.4装箱清单</w:t>
      </w:r>
      <w:bookmarkEnd w:id="12"/>
    </w:p>
    <w:p>
      <w:pPr>
        <w:tabs>
          <w:tab w:val="left" w:pos="1560"/>
        </w:tabs>
        <w:spacing w:after="120"/>
        <w:ind w:firstLine="480" w:firstLineChars="200"/>
        <w:rPr>
          <w:sz w:val="24"/>
          <w:highlight w:val="none"/>
        </w:rPr>
      </w:pPr>
      <w:bookmarkStart w:id="13" w:name="_Toc29551"/>
      <w:r>
        <w:rPr>
          <w:rFonts w:hint="eastAsia" w:ascii="宋体" w:hAnsi="宋体" w:cs="宋体"/>
          <w:sz w:val="24"/>
          <w:highlight w:val="none"/>
        </w:rPr>
        <w:t xml:space="preserve">4.4.1 </w:t>
      </w: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主机：淋水箱总成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。</w:t>
      </w:r>
    </w:p>
    <w:p>
      <w:pPr>
        <w:tabs>
          <w:tab w:val="left" w:pos="1560"/>
        </w:tabs>
        <w:spacing w:after="120"/>
        <w:ind w:firstLine="480" w:firstLineChars="200"/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</w:pPr>
      <w:r>
        <w:rPr>
          <w:rFonts w:hint="eastAsia" w:ascii="宋体" w:hAnsi="宋体" w:cs="宋体"/>
          <w:sz w:val="24"/>
          <w:highlight w:val="none"/>
        </w:rPr>
        <w:t xml:space="preserve">4.4.2 </w:t>
      </w: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随机配件：安装支架、紧固件、密封垫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。</w:t>
      </w:r>
    </w:p>
    <w:p>
      <w:pPr>
        <w:pStyle w:val="2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 xml:space="preserve">4.4.3 </w:t>
      </w:r>
      <w:r>
        <w:rPr>
          <w:rFonts w:ascii="宋体" w:hAnsi="宋体" w:eastAsia="宋体" w:cs="宋体"/>
          <w:color w:val="000000"/>
          <w:kern w:val="0"/>
          <w:sz w:val="24"/>
          <w:highlight w:val="none"/>
          <w:lang w:bidi="ar"/>
        </w:rPr>
        <w:t>随机文件：产品合格证、安装说明书</w:t>
      </w:r>
      <w:bookmarkEnd w:id="13"/>
    </w:p>
    <w:p>
      <w:pPr>
        <w:pStyle w:val="4"/>
        <w:spacing w:before="0" w:beforeLines="0" w:after="120" w:line="240" w:lineRule="auto"/>
        <w:rPr>
          <w:rFonts w:hint="eastAsia" w:hAnsi="宋体" w:cs="宋体"/>
          <w:sz w:val="28"/>
          <w:szCs w:val="28"/>
          <w:highlight w:val="none"/>
        </w:rPr>
      </w:pPr>
      <w:bookmarkStart w:id="14" w:name="_Toc29982"/>
      <w:r>
        <w:rPr>
          <w:rFonts w:hint="eastAsia" w:hAnsi="宋体" w:cs="宋体"/>
          <w:sz w:val="28"/>
          <w:szCs w:val="28"/>
          <w:highlight w:val="none"/>
        </w:rPr>
        <w:t>质量保证要求</w:t>
      </w:r>
      <w:bookmarkEnd w:id="14"/>
    </w:p>
    <w:p>
      <w:pPr>
        <w:bidi w:val="0"/>
        <w:spacing w:line="360" w:lineRule="auto"/>
        <w:ind w:left="0" w:leftChars="0" w:firstLine="420" w:firstLineChars="175"/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5.1.产品质保期6 个月，自验收合格交付之日起计算。</w:t>
      </w:r>
    </w:p>
    <w:p>
      <w:pPr>
        <w:bidi w:val="0"/>
        <w:spacing w:line="360" w:lineRule="auto"/>
        <w:ind w:left="0" w:leftChars="0" w:firstLine="420" w:firstLineChars="175"/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5.2.质保期内出现质量问题，供方无偿维修或更换。</w:t>
      </w:r>
    </w:p>
    <w:p>
      <w:pPr>
        <w:bidi w:val="0"/>
        <w:spacing w:line="360" w:lineRule="auto"/>
        <w:ind w:left="0" w:leftChars="0" w:firstLine="420" w:firstLineChars="175"/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5.3供方提供质量保证承诺书。</w:t>
      </w:r>
    </w:p>
    <w:p>
      <w:pPr>
        <w:pStyle w:val="4"/>
        <w:spacing w:before="240" w:after="120" w:line="240" w:lineRule="auto"/>
        <w:ind w:left="431" w:hanging="431"/>
        <w:rPr>
          <w:rFonts w:hint="eastAsia" w:hAnsi="宋体" w:cs="宋体"/>
          <w:sz w:val="28"/>
          <w:szCs w:val="28"/>
          <w:highlight w:val="none"/>
        </w:rPr>
      </w:pPr>
      <w:bookmarkStart w:id="15" w:name="_Toc28364"/>
      <w:r>
        <w:rPr>
          <w:rFonts w:hint="eastAsia" w:hAnsi="宋体" w:cs="宋体"/>
          <w:sz w:val="28"/>
          <w:szCs w:val="28"/>
          <w:highlight w:val="none"/>
        </w:rPr>
        <w:t>售后服务要求</w:t>
      </w:r>
      <w:bookmarkEnd w:id="15"/>
    </w:p>
    <w:p>
      <w:pPr>
        <w:numPr>
          <w:ilvl w:val="0"/>
          <w:numId w:val="6"/>
        </w:numPr>
        <w:spacing w:after="12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 xml:space="preserve">接到需方通知后 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30分钟</w:t>
      </w: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内响应，一般故障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24</w:t>
      </w: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小时内处理完毕</w:t>
      </w:r>
      <w:r>
        <w:rPr>
          <w:rFonts w:hint="eastAsia" w:ascii="宋体" w:hAnsi="宋体" w:cs="宋体"/>
          <w:sz w:val="24"/>
          <w:highlight w:val="none"/>
        </w:rPr>
        <w:t>。</w:t>
      </w:r>
    </w:p>
    <w:p>
      <w:pPr>
        <w:numPr>
          <w:ilvl w:val="0"/>
          <w:numId w:val="6"/>
        </w:numPr>
        <w:spacing w:after="12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质保期后长期提供配件供应与技术支持</w:t>
      </w:r>
      <w:r>
        <w:rPr>
          <w:rFonts w:hint="eastAsia" w:ascii="宋体" w:hAnsi="宋体" w:cs="宋体"/>
          <w:sz w:val="24"/>
          <w:highlight w:val="none"/>
        </w:rPr>
        <w:t>。</w:t>
      </w:r>
    </w:p>
    <w:p>
      <w:pPr>
        <w:numPr>
          <w:ilvl w:val="0"/>
          <w:numId w:val="6"/>
        </w:numPr>
        <w:spacing w:after="12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免费提供现场安装指导服务</w:t>
      </w:r>
      <w:r>
        <w:rPr>
          <w:rFonts w:hint="eastAsia" w:ascii="宋体" w:hAnsi="宋体" w:cs="宋体"/>
          <w:kern w:val="0"/>
          <w:sz w:val="24"/>
          <w:highlight w:val="none"/>
          <w:lang w:val="zh-CN"/>
        </w:rPr>
        <w:t>。</w:t>
      </w:r>
    </w:p>
    <w:p>
      <w:pPr>
        <w:numPr>
          <w:ilvl w:val="0"/>
          <w:numId w:val="6"/>
        </w:numPr>
        <w:spacing w:after="120"/>
        <w:jc w:val="left"/>
        <w:rPr>
          <w:rFonts w:hint="eastAsia" w:ascii="宋体" w:hAnsi="宋体" w:cs="宋体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供方提供售后服务承诺书</w:t>
      </w:r>
      <w:r>
        <w:rPr>
          <w:rFonts w:hint="eastAsia" w:ascii="宋体" w:hAnsi="宋体" w:cs="宋体"/>
          <w:kern w:val="0"/>
          <w:sz w:val="24"/>
          <w:highlight w:val="none"/>
        </w:rPr>
        <w:t>。</w:t>
      </w:r>
    </w:p>
    <w:p>
      <w:pPr>
        <w:pStyle w:val="4"/>
        <w:spacing w:before="0" w:beforeLines="0" w:after="120" w:line="240" w:lineRule="auto"/>
        <w:rPr>
          <w:rFonts w:hint="eastAsia" w:hAnsi="宋体" w:cs="宋体"/>
          <w:sz w:val="28"/>
          <w:szCs w:val="28"/>
          <w:highlight w:val="none"/>
        </w:rPr>
      </w:pPr>
      <w:bookmarkStart w:id="16" w:name="_Toc28059"/>
      <w:bookmarkStart w:id="17" w:name="_Toc18686"/>
      <w:r>
        <w:rPr>
          <w:color w:val="000000"/>
          <w:sz w:val="28"/>
          <w:szCs w:val="28"/>
          <w:highlight w:val="none"/>
        </w:rPr>
        <w:t>供货、运输及交货要求</w:t>
      </w:r>
      <w:bookmarkEnd w:id="16"/>
      <w:bookmarkEnd w:id="17"/>
    </w:p>
    <w:p>
      <w:pPr>
        <w:numPr>
          <w:ilvl w:val="0"/>
          <w:numId w:val="7"/>
        </w:numPr>
        <w:spacing w:after="120"/>
        <w:rPr>
          <w:rFonts w:hint="eastAsia" w:ascii="宋体" w:hAnsi="宋体" w:cs="宋体"/>
          <w:kern w:val="0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交货期：合同签订之日起 7 日内</w:t>
      </w:r>
      <w:r>
        <w:rPr>
          <w:rFonts w:hint="eastAsia" w:ascii="宋体" w:hAnsi="宋体" w:cs="宋体"/>
          <w:kern w:val="0"/>
          <w:sz w:val="24"/>
          <w:highlight w:val="none"/>
        </w:rPr>
        <w:t>。</w:t>
      </w:r>
      <w:bookmarkStart w:id="19" w:name="_GoBack"/>
      <w:bookmarkEnd w:id="19"/>
    </w:p>
    <w:p>
      <w:pPr>
        <w:numPr>
          <w:ilvl w:val="0"/>
          <w:numId w:val="7"/>
        </w:numPr>
        <w:spacing w:after="120"/>
        <w:rPr>
          <w:rFonts w:hint="eastAsia" w:ascii="宋体" w:hAnsi="宋体" w:cs="宋体"/>
          <w:kern w:val="0"/>
          <w:sz w:val="24"/>
          <w:highlight w:val="none"/>
          <w:lang w:val="zh-CN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运输方式：公路运输</w:t>
      </w:r>
      <w:r>
        <w:rPr>
          <w:rFonts w:hint="eastAsia" w:ascii="宋体" w:hAnsi="宋体" w:cs="宋体"/>
          <w:sz w:val="24"/>
          <w:highlight w:val="none"/>
        </w:rPr>
        <w:t>。</w:t>
      </w:r>
    </w:p>
    <w:p>
      <w:pPr>
        <w:numPr>
          <w:ilvl w:val="0"/>
          <w:numId w:val="7"/>
        </w:numPr>
        <w:spacing w:after="120"/>
        <w:rPr>
          <w:rFonts w:hint="eastAsia" w:ascii="宋体" w:hAnsi="宋体" w:cs="宋体"/>
          <w:kern w:val="0"/>
          <w:sz w:val="24"/>
          <w:highlight w:val="none"/>
          <w:lang w:val="zh-CN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交货地点：</w:t>
      </w: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昆明市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呈贡区春漫大道2号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。</w:t>
      </w:r>
    </w:p>
    <w:p>
      <w:pPr>
        <w:pStyle w:val="4"/>
        <w:spacing w:before="0" w:beforeLines="0" w:after="120" w:line="240" w:lineRule="auto"/>
        <w:rPr>
          <w:rFonts w:hint="eastAsia" w:hAnsi="宋体" w:cs="宋体"/>
          <w:sz w:val="28"/>
          <w:szCs w:val="28"/>
          <w:highlight w:val="none"/>
        </w:rPr>
      </w:pPr>
      <w:bookmarkStart w:id="18" w:name="_Toc2977"/>
      <w:r>
        <w:rPr>
          <w:rFonts w:hint="eastAsia" w:hAnsi="宋体" w:cs="宋体"/>
          <w:sz w:val="28"/>
          <w:szCs w:val="28"/>
          <w:highlight w:val="none"/>
        </w:rPr>
        <w:t>产品验收</w:t>
      </w:r>
      <w:bookmarkEnd w:id="18"/>
    </w:p>
    <w:p>
      <w:pPr>
        <w:numPr>
          <w:ilvl w:val="0"/>
          <w:numId w:val="8"/>
        </w:numPr>
        <w:spacing w:after="120"/>
        <w:jc w:val="left"/>
        <w:rPr>
          <w:rFonts w:hint="eastAsia" w:ascii="宋体" w:hAnsi="宋体" w:cs="宋体"/>
          <w:kern w:val="0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产品送达交货地点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val="en-US" w:eastAsia="zh-CN" w:bidi="ar"/>
        </w:rPr>
        <w:t>安装完成</w:t>
      </w: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后，双方现场共同验收</w:t>
      </w:r>
      <w:r>
        <w:rPr>
          <w:rFonts w:hint="eastAsia" w:ascii="宋体" w:hAnsi="宋体" w:cs="宋体"/>
          <w:kern w:val="0"/>
          <w:sz w:val="24"/>
          <w:highlight w:val="none"/>
        </w:rPr>
        <w:t>。</w:t>
      </w:r>
    </w:p>
    <w:p>
      <w:pPr>
        <w:numPr>
          <w:ilvl w:val="0"/>
          <w:numId w:val="8"/>
        </w:numPr>
        <w:spacing w:after="120"/>
        <w:jc w:val="left"/>
        <w:rPr>
          <w:rFonts w:hint="eastAsia" w:ascii="宋体" w:hAnsi="宋体" w:cs="宋体"/>
          <w:kern w:val="0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验收内容：外观、尺寸、密封性、配件完整性、文件资料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。</w:t>
      </w:r>
    </w:p>
    <w:p>
      <w:pPr>
        <w:numPr>
          <w:ilvl w:val="0"/>
          <w:numId w:val="8"/>
        </w:numPr>
        <w:spacing w:after="120"/>
        <w:jc w:val="left"/>
        <w:rPr>
          <w:rFonts w:hint="eastAsia" w:ascii="宋体" w:hAnsi="宋体" w:cs="宋体"/>
          <w:kern w:val="44"/>
          <w:sz w:val="24"/>
          <w:highlight w:val="none"/>
        </w:rPr>
      </w:pPr>
      <w:r>
        <w:rPr>
          <w:rFonts w:ascii="宋体" w:hAnsi="宋体" w:cs="宋体"/>
          <w:color w:val="000000"/>
          <w:kern w:val="0"/>
          <w:sz w:val="24"/>
          <w:highlight w:val="none"/>
          <w:lang w:bidi="ar"/>
        </w:rPr>
        <w:t>验收合格后签署验收记录</w:t>
      </w:r>
      <w:r>
        <w:rPr>
          <w:rFonts w:hint="eastAsia" w:ascii="宋体" w:hAnsi="宋体" w:cs="宋体"/>
          <w:color w:val="000000"/>
          <w:kern w:val="0"/>
          <w:sz w:val="24"/>
          <w:highlight w:val="none"/>
          <w:lang w:bidi="ar"/>
        </w:rPr>
        <w:t>。</w:t>
      </w:r>
    </w:p>
    <w:bookmarkEnd w:id="10"/>
    <w:p>
      <w:pPr>
        <w:spacing w:after="120"/>
        <w:rPr>
          <w:rFonts w:hint="eastAsia" w:ascii="宋体" w:hAnsi="宋体" w:cs="宋体"/>
          <w:sz w:val="24"/>
          <w:highlight w:val="none"/>
        </w:rPr>
      </w:pPr>
    </w:p>
    <w:sectPr>
      <w:headerReference r:id="rId3" w:type="default"/>
      <w:footerReference r:id="rId4" w:type="default"/>
      <w:pgSz w:w="11906" w:h="16838"/>
      <w:pgMar w:top="1134" w:right="1417" w:bottom="1417" w:left="1417" w:header="851" w:footer="635" w:gutter="0"/>
      <w:pgNumType w:start="1"/>
      <w:cols w:space="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116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3091" o:spid="_x0000_s3091" o:spt="136" type="#_x0000_t136" style="position:absolute;left:0pt;margin-left:-200pt;margin-top:1200pt;height:20pt;width:450pt;rotation:-2621440f;z-index:25165926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0/23 14:40 shenzongyun@hh.js.yn.csg.cn " style="font-family:仿宋;font-size:36pt;v-text-align:center;"/>
        </v:shape>
      </w:pict>
    </w:r>
    <w:r>
      <w:pict>
        <v:shape id="_x0000_s3092" o:spid="_x0000_s3092" o:spt="136" type="#_x0000_t136" style="position:absolute;left:0pt;margin-left:-200pt;margin-top:1500pt;height:20pt;width:450pt;rotation:-2621440f;z-index:25166028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0/23 14:40 shenzongyun@hh.js.yn.csg.cn " style="font-family:仿宋;font-size:36pt;v-text-align:center;"/>
        </v:shape>
      </w:pict>
    </w:r>
    <w:r>
      <w:pict>
        <v:shape id="_x0000_s3093" o:spid="_x0000_s3093" o:spt="136" type="#_x0000_t136" style="position:absolute;left:0pt;margin-left:0pt;margin-top:1200pt;height:20pt;width:450pt;rotation:-2621440f;z-index:251661312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0/23 14:40 shenzongyun@hh.js.yn.csg.cn " style="font-family:仿宋;font-size:36pt;v-text-align:center;"/>
        </v:shape>
      </w:pict>
    </w:r>
    <w:r>
      <w:pict>
        <v:shape id="_x0000_s3094" o:spid="_x0000_s3094" o:spt="136" type="#_x0000_t136" style="position:absolute;left:0pt;margin-left:0pt;margin-top:1500pt;height:20pt;width:450pt;rotation:-2621440f;z-index:251662336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0/23 14:40 shenzongyun@hh.js.yn.csg.cn " style="font-family:仿宋;font-size:36pt;v-text-align:center;"/>
        </v:shape>
      </w:pict>
    </w:r>
    <w:r>
      <w:pict>
        <v:shape id="_x0000_s3095" o:spid="_x0000_s3095" o:spt="136" type="#_x0000_t136" style="position:absolute;left:0pt;margin-left:200pt;margin-top:900pt;height:20pt;width:450pt;rotation:-2621440f;z-index:251663360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0/23 14:40 shenzongyun@hh.js.yn.csg.cn " style="font-family:仿宋;font-size:36pt;v-text-align:center;"/>
        </v:shape>
      </w:pict>
    </w:r>
    <w:r>
      <w:pict>
        <v:shape id="_x0000_s3096" o:spid="_x0000_s3096" o:spt="136" type="#_x0000_t136" style="position:absolute;left:0pt;margin-left:200pt;margin-top:1200pt;height:20pt;width:450pt;rotation:-2621440f;z-index:251664384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0/23 14:40 shenzongyun@hh.js.yn.csg.cn " style="font-family:仿宋;font-size:36pt;v-text-align:center;"/>
        </v:shape>
      </w:pict>
    </w:r>
    <w:r>
      <w:pict>
        <v:shape id="_x0000_s3097" o:spid="_x0000_s3097" o:spt="136" type="#_x0000_t136" style="position:absolute;left:0pt;margin-left:200pt;margin-top:1500pt;height:20pt;width:450pt;rotation:-2621440f;z-index:251665408;mso-width-relative:page;mso-height-relative:page;" fillcolor="#C0C0C0" filled="t" stroked="t" coordsize="21600,21600">
          <v:path/>
          <v:fill on="t" focussize="0,0"/>
          <v:stroke color="#D2D2D2"/>
          <v:imagedata o:title=""/>
          <o:lock v:ext="edit"/>
          <v:textpath on="t" fitshape="t" fitpath="t" trim="f" xscale="f" string="2024/10/23 14:40 shenzongyun@hh.js.yn.csg.cn " style="font-family:仿宋;font-size:36pt;v-text-align:center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FBA40A"/>
    <w:multiLevelType w:val="singleLevel"/>
    <w:tmpl w:val="9CFBA40A"/>
    <w:lvl w:ilvl="0" w:tentative="0">
      <w:start w:val="1"/>
      <w:numFmt w:val="decimal"/>
      <w:suff w:val="nothing"/>
      <w:lvlText w:val="7.%1．"/>
      <w:lvlJc w:val="left"/>
      <w:pPr>
        <w:ind w:left="0" w:firstLine="403"/>
      </w:pPr>
      <w:rPr>
        <w:rFonts w:hint="default"/>
      </w:rPr>
    </w:lvl>
  </w:abstractNum>
  <w:abstractNum w:abstractNumId="1">
    <w:nsid w:val="D8C6FCB7"/>
    <w:multiLevelType w:val="singleLevel"/>
    <w:tmpl w:val="D8C6FCB7"/>
    <w:lvl w:ilvl="0" w:tentative="0">
      <w:start w:val="1"/>
      <w:numFmt w:val="decimal"/>
      <w:suff w:val="nothing"/>
      <w:lvlText w:val="4.1.%1．"/>
      <w:lvlJc w:val="left"/>
      <w:pPr>
        <w:tabs>
          <w:tab w:val="left" w:pos="0"/>
        </w:tabs>
        <w:ind w:left="17" w:firstLine="403"/>
      </w:pPr>
      <w:rPr>
        <w:rFonts w:hint="default"/>
      </w:rPr>
    </w:lvl>
  </w:abstractNum>
  <w:abstractNum w:abstractNumId="2">
    <w:nsid w:val="E1026D96"/>
    <w:multiLevelType w:val="singleLevel"/>
    <w:tmpl w:val="E1026D96"/>
    <w:lvl w:ilvl="0" w:tentative="0">
      <w:start w:val="1"/>
      <w:numFmt w:val="decimal"/>
      <w:suff w:val="nothing"/>
      <w:lvlText w:val="8.%1．"/>
      <w:lvlJc w:val="left"/>
      <w:pPr>
        <w:tabs>
          <w:tab w:val="left" w:pos="0"/>
        </w:tabs>
        <w:ind w:left="0" w:firstLine="403"/>
      </w:pPr>
      <w:rPr>
        <w:rFonts w:hint="default"/>
      </w:rPr>
    </w:lvl>
  </w:abstractNum>
  <w:abstractNum w:abstractNumId="3">
    <w:nsid w:val="EE6FBAFE"/>
    <w:multiLevelType w:val="singleLevel"/>
    <w:tmpl w:val="EE6FBAFE"/>
    <w:lvl w:ilvl="0" w:tentative="0">
      <w:start w:val="1"/>
      <w:numFmt w:val="decimal"/>
      <w:suff w:val="nothing"/>
      <w:lvlText w:val="6.%1．"/>
      <w:lvlJc w:val="left"/>
      <w:pPr>
        <w:ind w:left="0" w:firstLine="403"/>
      </w:pPr>
      <w:rPr>
        <w:rFonts w:hint="default"/>
      </w:rPr>
    </w:lvl>
  </w:abstractNum>
  <w:abstractNum w:abstractNumId="4">
    <w:nsid w:val="FCDF33ED"/>
    <w:multiLevelType w:val="multilevel"/>
    <w:tmpl w:val="FCDF33ED"/>
    <w:lvl w:ilvl="0" w:tentative="0">
      <w:start w:val="1"/>
      <w:numFmt w:val="decimal"/>
      <w:pStyle w:val="4"/>
      <w:suff w:val="space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5"/>
      <w:suff w:val="space"/>
      <w:lvlText w:val="%1.%2."/>
      <w:lvlJc w:val="left"/>
      <w:pPr>
        <w:ind w:left="575" w:hanging="575"/>
      </w:pPr>
      <w:rPr>
        <w:rFonts w:hint="default"/>
        <w:b/>
        <w:bCs/>
        <w:sz w:val="24"/>
        <w:szCs w:val="24"/>
      </w:rPr>
    </w:lvl>
    <w:lvl w:ilvl="2" w:tentative="0">
      <w:start w:val="1"/>
      <w:numFmt w:val="decimal"/>
      <w:pStyle w:val="6"/>
      <w:suff w:val="space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7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8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9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10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1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2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5">
    <w:nsid w:val="16358A16"/>
    <w:multiLevelType w:val="singleLevel"/>
    <w:tmpl w:val="16358A16"/>
    <w:lvl w:ilvl="0" w:tentative="0">
      <w:start w:val="1"/>
      <w:numFmt w:val="decimal"/>
      <w:suff w:val="nothing"/>
      <w:lvlText w:val="2.%1．"/>
      <w:lvlJc w:val="left"/>
      <w:pPr>
        <w:ind w:left="0" w:firstLine="403"/>
      </w:pPr>
      <w:rPr>
        <w:rFonts w:hint="default"/>
      </w:rPr>
    </w:lvl>
  </w:abstractNum>
  <w:abstractNum w:abstractNumId="6">
    <w:nsid w:val="5C4B0D15"/>
    <w:multiLevelType w:val="singleLevel"/>
    <w:tmpl w:val="5C4B0D15"/>
    <w:lvl w:ilvl="0" w:tentative="0">
      <w:start w:val="1"/>
      <w:numFmt w:val="decimal"/>
      <w:suff w:val="nothing"/>
      <w:lvlText w:val="3.%1．"/>
      <w:lvlJc w:val="left"/>
      <w:pPr>
        <w:tabs>
          <w:tab w:val="left" w:pos="0"/>
        </w:tabs>
        <w:ind w:left="0" w:firstLine="403"/>
      </w:pPr>
      <w:rPr>
        <w:rFonts w:hint="default"/>
      </w:rPr>
    </w:lvl>
  </w:abstractNum>
  <w:abstractNum w:abstractNumId="7">
    <w:nsid w:val="6C97C74A"/>
    <w:multiLevelType w:val="singleLevel"/>
    <w:tmpl w:val="6C97C74A"/>
    <w:lvl w:ilvl="0" w:tentative="0">
      <w:start w:val="1"/>
      <w:numFmt w:val="decimal"/>
      <w:suff w:val="nothing"/>
      <w:lvlText w:val="1.1.%1．"/>
      <w:lvlJc w:val="left"/>
      <w:pPr>
        <w:ind w:left="0" w:firstLine="403"/>
      </w:pPr>
      <w:rPr>
        <w:rFonts w:hint="default"/>
        <w:b w:val="0"/>
        <w:bCs w:val="0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,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BlMzFiNTQ4MDRkNDkxMjk0MzBiNWU3Y2Y0ZjZlNGMifQ=="/>
  </w:docVars>
  <w:rsids>
    <w:rsidRoot w:val="1F9631DE"/>
    <w:rsid w:val="00071DBF"/>
    <w:rsid w:val="00117CB8"/>
    <w:rsid w:val="00201856"/>
    <w:rsid w:val="00384B75"/>
    <w:rsid w:val="003A5596"/>
    <w:rsid w:val="004A53E8"/>
    <w:rsid w:val="00811BDC"/>
    <w:rsid w:val="008953F8"/>
    <w:rsid w:val="00BC2D44"/>
    <w:rsid w:val="00D37727"/>
    <w:rsid w:val="01345E86"/>
    <w:rsid w:val="01567D8D"/>
    <w:rsid w:val="01630F53"/>
    <w:rsid w:val="016639AF"/>
    <w:rsid w:val="0172559E"/>
    <w:rsid w:val="01F75976"/>
    <w:rsid w:val="02913BC4"/>
    <w:rsid w:val="02A76CB0"/>
    <w:rsid w:val="02BA4ACB"/>
    <w:rsid w:val="02BF340E"/>
    <w:rsid w:val="0395395C"/>
    <w:rsid w:val="0422161D"/>
    <w:rsid w:val="04980A96"/>
    <w:rsid w:val="04F73D6A"/>
    <w:rsid w:val="05014EDA"/>
    <w:rsid w:val="05087E50"/>
    <w:rsid w:val="051F15AE"/>
    <w:rsid w:val="0531627E"/>
    <w:rsid w:val="05677228"/>
    <w:rsid w:val="0587049D"/>
    <w:rsid w:val="05FB31A1"/>
    <w:rsid w:val="06610D8F"/>
    <w:rsid w:val="06737F6D"/>
    <w:rsid w:val="06B331EF"/>
    <w:rsid w:val="07406054"/>
    <w:rsid w:val="075F7A60"/>
    <w:rsid w:val="076F6FCE"/>
    <w:rsid w:val="07E05353"/>
    <w:rsid w:val="083B668E"/>
    <w:rsid w:val="087A695B"/>
    <w:rsid w:val="08D3272D"/>
    <w:rsid w:val="08F533AA"/>
    <w:rsid w:val="0926101B"/>
    <w:rsid w:val="093973DB"/>
    <w:rsid w:val="0983586A"/>
    <w:rsid w:val="098D4377"/>
    <w:rsid w:val="09A11EBB"/>
    <w:rsid w:val="09AF7FB0"/>
    <w:rsid w:val="0A314183"/>
    <w:rsid w:val="0A550002"/>
    <w:rsid w:val="0A9425D5"/>
    <w:rsid w:val="0AA2487E"/>
    <w:rsid w:val="0B7532B5"/>
    <w:rsid w:val="0B7D7398"/>
    <w:rsid w:val="0B91240A"/>
    <w:rsid w:val="0BCD6513"/>
    <w:rsid w:val="0BD73920"/>
    <w:rsid w:val="0C1F50CD"/>
    <w:rsid w:val="0CAB05C6"/>
    <w:rsid w:val="0CD27978"/>
    <w:rsid w:val="0D305579"/>
    <w:rsid w:val="0D345539"/>
    <w:rsid w:val="0D5A034F"/>
    <w:rsid w:val="0D65790F"/>
    <w:rsid w:val="0D96224B"/>
    <w:rsid w:val="0D9A3283"/>
    <w:rsid w:val="0DEB2699"/>
    <w:rsid w:val="0E110C50"/>
    <w:rsid w:val="0E394465"/>
    <w:rsid w:val="0E901164"/>
    <w:rsid w:val="0EC51ACA"/>
    <w:rsid w:val="0F0D0EA4"/>
    <w:rsid w:val="0FAF7314"/>
    <w:rsid w:val="0FC7596C"/>
    <w:rsid w:val="0FDA17CC"/>
    <w:rsid w:val="0FDC7094"/>
    <w:rsid w:val="100C6962"/>
    <w:rsid w:val="107F1D03"/>
    <w:rsid w:val="118F66DA"/>
    <w:rsid w:val="11B63EDC"/>
    <w:rsid w:val="11C60F64"/>
    <w:rsid w:val="11F912B0"/>
    <w:rsid w:val="124C6891"/>
    <w:rsid w:val="126976C2"/>
    <w:rsid w:val="12D82448"/>
    <w:rsid w:val="13102D35"/>
    <w:rsid w:val="139462F7"/>
    <w:rsid w:val="13E40D6F"/>
    <w:rsid w:val="13F3677F"/>
    <w:rsid w:val="14174C8C"/>
    <w:rsid w:val="144846D5"/>
    <w:rsid w:val="149C52C7"/>
    <w:rsid w:val="14D902A4"/>
    <w:rsid w:val="14DB278B"/>
    <w:rsid w:val="1557419E"/>
    <w:rsid w:val="156416E5"/>
    <w:rsid w:val="16046493"/>
    <w:rsid w:val="161B5B2D"/>
    <w:rsid w:val="163854B0"/>
    <w:rsid w:val="16C84A74"/>
    <w:rsid w:val="16F66ED9"/>
    <w:rsid w:val="171731EE"/>
    <w:rsid w:val="173E1559"/>
    <w:rsid w:val="17676A81"/>
    <w:rsid w:val="17B46833"/>
    <w:rsid w:val="17B80644"/>
    <w:rsid w:val="180F3E23"/>
    <w:rsid w:val="18484087"/>
    <w:rsid w:val="185479FD"/>
    <w:rsid w:val="18C3455F"/>
    <w:rsid w:val="18C965C0"/>
    <w:rsid w:val="19A54822"/>
    <w:rsid w:val="19C5529B"/>
    <w:rsid w:val="19C80E64"/>
    <w:rsid w:val="1A7E14EF"/>
    <w:rsid w:val="1AAB26E2"/>
    <w:rsid w:val="1AF32D96"/>
    <w:rsid w:val="1AFA79D1"/>
    <w:rsid w:val="1B316A26"/>
    <w:rsid w:val="1B3A483D"/>
    <w:rsid w:val="1B3E267E"/>
    <w:rsid w:val="1B527DAC"/>
    <w:rsid w:val="1BA62396"/>
    <w:rsid w:val="1BAB1E1C"/>
    <w:rsid w:val="1BB5233D"/>
    <w:rsid w:val="1BED7871"/>
    <w:rsid w:val="1BF32EF7"/>
    <w:rsid w:val="1C43374E"/>
    <w:rsid w:val="1C531CF5"/>
    <w:rsid w:val="1C7F260C"/>
    <w:rsid w:val="1CDC33EA"/>
    <w:rsid w:val="1D051303"/>
    <w:rsid w:val="1D153F0B"/>
    <w:rsid w:val="1D5D1A9D"/>
    <w:rsid w:val="1D973A2D"/>
    <w:rsid w:val="1DAE3138"/>
    <w:rsid w:val="1DC0145E"/>
    <w:rsid w:val="1E1F1E7D"/>
    <w:rsid w:val="1E21497B"/>
    <w:rsid w:val="1E63521D"/>
    <w:rsid w:val="1E6C793B"/>
    <w:rsid w:val="1EA529D6"/>
    <w:rsid w:val="1EFF2B63"/>
    <w:rsid w:val="1F020689"/>
    <w:rsid w:val="1F0A017C"/>
    <w:rsid w:val="1F284442"/>
    <w:rsid w:val="1F4B7FF0"/>
    <w:rsid w:val="1F4D21A9"/>
    <w:rsid w:val="1F7C541E"/>
    <w:rsid w:val="1F9631DE"/>
    <w:rsid w:val="20140B5D"/>
    <w:rsid w:val="20370574"/>
    <w:rsid w:val="20FF555E"/>
    <w:rsid w:val="212705E9"/>
    <w:rsid w:val="21452025"/>
    <w:rsid w:val="21A74B95"/>
    <w:rsid w:val="21A842C7"/>
    <w:rsid w:val="21DA4716"/>
    <w:rsid w:val="21EB6844"/>
    <w:rsid w:val="22474B56"/>
    <w:rsid w:val="22564504"/>
    <w:rsid w:val="226F628F"/>
    <w:rsid w:val="228502FF"/>
    <w:rsid w:val="22C407E5"/>
    <w:rsid w:val="22DB558F"/>
    <w:rsid w:val="230311B6"/>
    <w:rsid w:val="237C76C6"/>
    <w:rsid w:val="23C32D81"/>
    <w:rsid w:val="23DB7C27"/>
    <w:rsid w:val="243008C8"/>
    <w:rsid w:val="24F8133F"/>
    <w:rsid w:val="253A0920"/>
    <w:rsid w:val="255A0F8D"/>
    <w:rsid w:val="25BA4F7E"/>
    <w:rsid w:val="25D95E4E"/>
    <w:rsid w:val="25F04551"/>
    <w:rsid w:val="26190DAF"/>
    <w:rsid w:val="26665E8F"/>
    <w:rsid w:val="26750735"/>
    <w:rsid w:val="26B61111"/>
    <w:rsid w:val="26EF03A8"/>
    <w:rsid w:val="274C37E8"/>
    <w:rsid w:val="27620B73"/>
    <w:rsid w:val="27922CD5"/>
    <w:rsid w:val="279F7AE6"/>
    <w:rsid w:val="27B16E5E"/>
    <w:rsid w:val="27BC42DC"/>
    <w:rsid w:val="27CF398B"/>
    <w:rsid w:val="28C17A0B"/>
    <w:rsid w:val="28DA5593"/>
    <w:rsid w:val="28F43F3F"/>
    <w:rsid w:val="2923223D"/>
    <w:rsid w:val="29544D70"/>
    <w:rsid w:val="295F1C12"/>
    <w:rsid w:val="29970001"/>
    <w:rsid w:val="299B1B74"/>
    <w:rsid w:val="29BE3751"/>
    <w:rsid w:val="29FB5401"/>
    <w:rsid w:val="2A283BFB"/>
    <w:rsid w:val="2A475207"/>
    <w:rsid w:val="2A4C32F6"/>
    <w:rsid w:val="2A8E2593"/>
    <w:rsid w:val="2AB1285D"/>
    <w:rsid w:val="2AE90B77"/>
    <w:rsid w:val="2B552EE2"/>
    <w:rsid w:val="2B9F4048"/>
    <w:rsid w:val="2BB82F4C"/>
    <w:rsid w:val="2BFE405F"/>
    <w:rsid w:val="2C32442F"/>
    <w:rsid w:val="2C327874"/>
    <w:rsid w:val="2C496CF0"/>
    <w:rsid w:val="2C9772D6"/>
    <w:rsid w:val="2CD50769"/>
    <w:rsid w:val="2CE67783"/>
    <w:rsid w:val="2D4E3445"/>
    <w:rsid w:val="2DB17FE3"/>
    <w:rsid w:val="2DCF101A"/>
    <w:rsid w:val="2E4A3250"/>
    <w:rsid w:val="2EA66014"/>
    <w:rsid w:val="2F157D62"/>
    <w:rsid w:val="2F215723"/>
    <w:rsid w:val="2F3D5396"/>
    <w:rsid w:val="2F6C5DA1"/>
    <w:rsid w:val="2FA24C8A"/>
    <w:rsid w:val="2FBE2F0B"/>
    <w:rsid w:val="308B5944"/>
    <w:rsid w:val="30A17F04"/>
    <w:rsid w:val="30AB06B3"/>
    <w:rsid w:val="30D45338"/>
    <w:rsid w:val="30DF67EA"/>
    <w:rsid w:val="31130DF2"/>
    <w:rsid w:val="31175323"/>
    <w:rsid w:val="316F5F9B"/>
    <w:rsid w:val="3174253C"/>
    <w:rsid w:val="320038C3"/>
    <w:rsid w:val="32892923"/>
    <w:rsid w:val="32BD1B56"/>
    <w:rsid w:val="32F62FAF"/>
    <w:rsid w:val="331B1AFA"/>
    <w:rsid w:val="33604A58"/>
    <w:rsid w:val="3408177C"/>
    <w:rsid w:val="346E7BE4"/>
    <w:rsid w:val="34AF3004"/>
    <w:rsid w:val="34BF3D6D"/>
    <w:rsid w:val="35305B63"/>
    <w:rsid w:val="3544294B"/>
    <w:rsid w:val="35556E02"/>
    <w:rsid w:val="35927C44"/>
    <w:rsid w:val="35A26AC9"/>
    <w:rsid w:val="35A4255A"/>
    <w:rsid w:val="35D41FC3"/>
    <w:rsid w:val="35E656FC"/>
    <w:rsid w:val="360062A6"/>
    <w:rsid w:val="36147D97"/>
    <w:rsid w:val="361A445C"/>
    <w:rsid w:val="364B5360"/>
    <w:rsid w:val="366421CF"/>
    <w:rsid w:val="36857DF5"/>
    <w:rsid w:val="36931AA3"/>
    <w:rsid w:val="36A97C20"/>
    <w:rsid w:val="36AC01E4"/>
    <w:rsid w:val="36FB0966"/>
    <w:rsid w:val="37517CBD"/>
    <w:rsid w:val="37A60968"/>
    <w:rsid w:val="37D3197E"/>
    <w:rsid w:val="37DF32B8"/>
    <w:rsid w:val="382B4FF5"/>
    <w:rsid w:val="384D672F"/>
    <w:rsid w:val="387827D6"/>
    <w:rsid w:val="389F04F0"/>
    <w:rsid w:val="39045619"/>
    <w:rsid w:val="394D4739"/>
    <w:rsid w:val="399C6A91"/>
    <w:rsid w:val="39CE4CE2"/>
    <w:rsid w:val="3A042A2B"/>
    <w:rsid w:val="3A2C41B9"/>
    <w:rsid w:val="3AED09BD"/>
    <w:rsid w:val="3B195413"/>
    <w:rsid w:val="3B2E7162"/>
    <w:rsid w:val="3BE61534"/>
    <w:rsid w:val="3C7D1582"/>
    <w:rsid w:val="3C9011A6"/>
    <w:rsid w:val="3C9F4B00"/>
    <w:rsid w:val="3CDE360A"/>
    <w:rsid w:val="3D4939DA"/>
    <w:rsid w:val="3D65532F"/>
    <w:rsid w:val="3D6A2930"/>
    <w:rsid w:val="3D9B6FCE"/>
    <w:rsid w:val="3D9C6FA1"/>
    <w:rsid w:val="3DA45043"/>
    <w:rsid w:val="3DA71BA6"/>
    <w:rsid w:val="3DE770C2"/>
    <w:rsid w:val="3E0C6C22"/>
    <w:rsid w:val="3E143768"/>
    <w:rsid w:val="3E344619"/>
    <w:rsid w:val="3E5157CB"/>
    <w:rsid w:val="3E646581"/>
    <w:rsid w:val="3E8632EA"/>
    <w:rsid w:val="3E9735A8"/>
    <w:rsid w:val="3EA17CA0"/>
    <w:rsid w:val="3EA6303D"/>
    <w:rsid w:val="3FCB4E13"/>
    <w:rsid w:val="3FD16F2B"/>
    <w:rsid w:val="40BE0BF5"/>
    <w:rsid w:val="40C5630E"/>
    <w:rsid w:val="41517D2D"/>
    <w:rsid w:val="425876D0"/>
    <w:rsid w:val="42BD1DE8"/>
    <w:rsid w:val="42F475E3"/>
    <w:rsid w:val="42F52F66"/>
    <w:rsid w:val="43032E66"/>
    <w:rsid w:val="43160791"/>
    <w:rsid w:val="432D0A95"/>
    <w:rsid w:val="4333201D"/>
    <w:rsid w:val="43613271"/>
    <w:rsid w:val="43A24C20"/>
    <w:rsid w:val="441668C0"/>
    <w:rsid w:val="44272F1B"/>
    <w:rsid w:val="44295FC2"/>
    <w:rsid w:val="44313911"/>
    <w:rsid w:val="44847257"/>
    <w:rsid w:val="44C3065C"/>
    <w:rsid w:val="44C77294"/>
    <w:rsid w:val="45155348"/>
    <w:rsid w:val="45250417"/>
    <w:rsid w:val="45290D07"/>
    <w:rsid w:val="45C706DC"/>
    <w:rsid w:val="45E71147"/>
    <w:rsid w:val="45E736E3"/>
    <w:rsid w:val="460A713B"/>
    <w:rsid w:val="462E6F30"/>
    <w:rsid w:val="4644385E"/>
    <w:rsid w:val="46844B39"/>
    <w:rsid w:val="47264161"/>
    <w:rsid w:val="477D4753"/>
    <w:rsid w:val="47990732"/>
    <w:rsid w:val="47DB5727"/>
    <w:rsid w:val="47E27432"/>
    <w:rsid w:val="47EA4DA5"/>
    <w:rsid w:val="484B0C46"/>
    <w:rsid w:val="484D15A3"/>
    <w:rsid w:val="48B701A6"/>
    <w:rsid w:val="48BB0BE3"/>
    <w:rsid w:val="48CC7CF6"/>
    <w:rsid w:val="48EC33DE"/>
    <w:rsid w:val="49BC3715"/>
    <w:rsid w:val="49E70012"/>
    <w:rsid w:val="49F40639"/>
    <w:rsid w:val="4A2B55B2"/>
    <w:rsid w:val="4A591740"/>
    <w:rsid w:val="4A5B700A"/>
    <w:rsid w:val="4A924F66"/>
    <w:rsid w:val="4AC85E7C"/>
    <w:rsid w:val="4ADB5850"/>
    <w:rsid w:val="4AFE6784"/>
    <w:rsid w:val="4B247E30"/>
    <w:rsid w:val="4B2772B4"/>
    <w:rsid w:val="4BE016B6"/>
    <w:rsid w:val="4C15599C"/>
    <w:rsid w:val="4C213795"/>
    <w:rsid w:val="4C25163E"/>
    <w:rsid w:val="4C2B35EC"/>
    <w:rsid w:val="4C9A3C7F"/>
    <w:rsid w:val="4CA45C4B"/>
    <w:rsid w:val="4CEA2239"/>
    <w:rsid w:val="4D2E756B"/>
    <w:rsid w:val="4D3F15A1"/>
    <w:rsid w:val="4D555311"/>
    <w:rsid w:val="4D8E53C8"/>
    <w:rsid w:val="4DF2336E"/>
    <w:rsid w:val="4E0F5F71"/>
    <w:rsid w:val="4E8428DD"/>
    <w:rsid w:val="4E8B5AEB"/>
    <w:rsid w:val="4EB976FC"/>
    <w:rsid w:val="4FE1410F"/>
    <w:rsid w:val="4FE800E5"/>
    <w:rsid w:val="50224BAA"/>
    <w:rsid w:val="50646524"/>
    <w:rsid w:val="507458C4"/>
    <w:rsid w:val="507E7976"/>
    <w:rsid w:val="50801547"/>
    <w:rsid w:val="51824902"/>
    <w:rsid w:val="51B54640"/>
    <w:rsid w:val="51D82CD4"/>
    <w:rsid w:val="524F2291"/>
    <w:rsid w:val="528B356E"/>
    <w:rsid w:val="52990003"/>
    <w:rsid w:val="52A64626"/>
    <w:rsid w:val="52BC07CA"/>
    <w:rsid w:val="531A5FD7"/>
    <w:rsid w:val="53497985"/>
    <w:rsid w:val="53714644"/>
    <w:rsid w:val="54455743"/>
    <w:rsid w:val="55467DAC"/>
    <w:rsid w:val="5576247A"/>
    <w:rsid w:val="55A45210"/>
    <w:rsid w:val="55AB71A1"/>
    <w:rsid w:val="55DA3AE3"/>
    <w:rsid w:val="56556031"/>
    <w:rsid w:val="568B425E"/>
    <w:rsid w:val="57CC1C25"/>
    <w:rsid w:val="57D92F03"/>
    <w:rsid w:val="57F51813"/>
    <w:rsid w:val="587A5F8A"/>
    <w:rsid w:val="593A5F3F"/>
    <w:rsid w:val="59422BB8"/>
    <w:rsid w:val="5970760C"/>
    <w:rsid w:val="59C45F96"/>
    <w:rsid w:val="5A440640"/>
    <w:rsid w:val="5A44578C"/>
    <w:rsid w:val="5A596DF4"/>
    <w:rsid w:val="5A8C4599"/>
    <w:rsid w:val="5B0704B6"/>
    <w:rsid w:val="5B0B192B"/>
    <w:rsid w:val="5B0E3771"/>
    <w:rsid w:val="5B6C2D6A"/>
    <w:rsid w:val="5BD1549F"/>
    <w:rsid w:val="5C110D95"/>
    <w:rsid w:val="5C444964"/>
    <w:rsid w:val="5C7907C5"/>
    <w:rsid w:val="5C9D50AD"/>
    <w:rsid w:val="5CEC6862"/>
    <w:rsid w:val="5D2673CB"/>
    <w:rsid w:val="5D38142B"/>
    <w:rsid w:val="5D4C079D"/>
    <w:rsid w:val="5DEB1B86"/>
    <w:rsid w:val="5E867220"/>
    <w:rsid w:val="5EAD57D5"/>
    <w:rsid w:val="5EF37A2E"/>
    <w:rsid w:val="5F074FDA"/>
    <w:rsid w:val="5F201E07"/>
    <w:rsid w:val="5F3B1C1B"/>
    <w:rsid w:val="5F465B03"/>
    <w:rsid w:val="5F677827"/>
    <w:rsid w:val="5F771775"/>
    <w:rsid w:val="5F7A39FE"/>
    <w:rsid w:val="5F81356A"/>
    <w:rsid w:val="5F8867FD"/>
    <w:rsid w:val="5FA805FC"/>
    <w:rsid w:val="5FE26D38"/>
    <w:rsid w:val="601E5392"/>
    <w:rsid w:val="60310698"/>
    <w:rsid w:val="603328C9"/>
    <w:rsid w:val="605E48A8"/>
    <w:rsid w:val="605F40E2"/>
    <w:rsid w:val="60924109"/>
    <w:rsid w:val="60BD49A6"/>
    <w:rsid w:val="6183370F"/>
    <w:rsid w:val="61AA0DC6"/>
    <w:rsid w:val="61BD4FAF"/>
    <w:rsid w:val="61F42949"/>
    <w:rsid w:val="61F970CE"/>
    <w:rsid w:val="621E10A1"/>
    <w:rsid w:val="621E4B15"/>
    <w:rsid w:val="62D928A4"/>
    <w:rsid w:val="63FF3B85"/>
    <w:rsid w:val="643144E7"/>
    <w:rsid w:val="643B7B92"/>
    <w:rsid w:val="64475192"/>
    <w:rsid w:val="645B7D45"/>
    <w:rsid w:val="64706357"/>
    <w:rsid w:val="649B3D55"/>
    <w:rsid w:val="65B84D79"/>
    <w:rsid w:val="65BF216B"/>
    <w:rsid w:val="65C80E91"/>
    <w:rsid w:val="65DA24C5"/>
    <w:rsid w:val="660628A7"/>
    <w:rsid w:val="66717E23"/>
    <w:rsid w:val="66862C89"/>
    <w:rsid w:val="66BC2FBF"/>
    <w:rsid w:val="66D075FF"/>
    <w:rsid w:val="67480665"/>
    <w:rsid w:val="6787315C"/>
    <w:rsid w:val="68800896"/>
    <w:rsid w:val="689E15D9"/>
    <w:rsid w:val="68BC6214"/>
    <w:rsid w:val="68EF11CB"/>
    <w:rsid w:val="69870499"/>
    <w:rsid w:val="69D90C9C"/>
    <w:rsid w:val="69F15909"/>
    <w:rsid w:val="6A3053E5"/>
    <w:rsid w:val="6A4447EB"/>
    <w:rsid w:val="6AA270E2"/>
    <w:rsid w:val="6AA33289"/>
    <w:rsid w:val="6AE67270"/>
    <w:rsid w:val="6B15773A"/>
    <w:rsid w:val="6B6736A1"/>
    <w:rsid w:val="6B881A78"/>
    <w:rsid w:val="6C2F0D7C"/>
    <w:rsid w:val="6CA06F8E"/>
    <w:rsid w:val="6CBF0490"/>
    <w:rsid w:val="6CD27D15"/>
    <w:rsid w:val="6CFA7F2C"/>
    <w:rsid w:val="6D156BB3"/>
    <w:rsid w:val="6D4270ED"/>
    <w:rsid w:val="6D5F52C2"/>
    <w:rsid w:val="6DF27571"/>
    <w:rsid w:val="6E0E0A62"/>
    <w:rsid w:val="6EA2408C"/>
    <w:rsid w:val="6EEA6C34"/>
    <w:rsid w:val="6F761177"/>
    <w:rsid w:val="6F810D2B"/>
    <w:rsid w:val="6FAD1747"/>
    <w:rsid w:val="6FE50A60"/>
    <w:rsid w:val="708B7F7F"/>
    <w:rsid w:val="709E7BAE"/>
    <w:rsid w:val="70D4160F"/>
    <w:rsid w:val="714814E8"/>
    <w:rsid w:val="718304F0"/>
    <w:rsid w:val="71834D06"/>
    <w:rsid w:val="71867FE1"/>
    <w:rsid w:val="71BB412E"/>
    <w:rsid w:val="71C06157"/>
    <w:rsid w:val="722D5FF8"/>
    <w:rsid w:val="72884900"/>
    <w:rsid w:val="729E7038"/>
    <w:rsid w:val="734D34AF"/>
    <w:rsid w:val="738D290B"/>
    <w:rsid w:val="73E7745D"/>
    <w:rsid w:val="743B0D2A"/>
    <w:rsid w:val="74815C3B"/>
    <w:rsid w:val="75026D05"/>
    <w:rsid w:val="75152ED3"/>
    <w:rsid w:val="763E11B8"/>
    <w:rsid w:val="76741165"/>
    <w:rsid w:val="768B4D5B"/>
    <w:rsid w:val="768F56DA"/>
    <w:rsid w:val="76982FF6"/>
    <w:rsid w:val="76E1124B"/>
    <w:rsid w:val="76FF32C8"/>
    <w:rsid w:val="77010DC7"/>
    <w:rsid w:val="770B18F6"/>
    <w:rsid w:val="77280495"/>
    <w:rsid w:val="780E4F77"/>
    <w:rsid w:val="78140887"/>
    <w:rsid w:val="7944277E"/>
    <w:rsid w:val="79AE2EB5"/>
    <w:rsid w:val="79BC07BF"/>
    <w:rsid w:val="7A36337B"/>
    <w:rsid w:val="7A3A5144"/>
    <w:rsid w:val="7ABA5711"/>
    <w:rsid w:val="7BCB2CD2"/>
    <w:rsid w:val="7BD5166F"/>
    <w:rsid w:val="7C3A57E5"/>
    <w:rsid w:val="7C4F2043"/>
    <w:rsid w:val="7C4F2109"/>
    <w:rsid w:val="7D187538"/>
    <w:rsid w:val="7D41717D"/>
    <w:rsid w:val="7D750E04"/>
    <w:rsid w:val="7DA463AA"/>
    <w:rsid w:val="7DAC1DDD"/>
    <w:rsid w:val="7E1A113D"/>
    <w:rsid w:val="7E2C7CF9"/>
    <w:rsid w:val="7F005876"/>
    <w:rsid w:val="7F0442E7"/>
    <w:rsid w:val="7F66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napToGrid w:val="0"/>
      <w:spacing w:before="312" w:beforeLines="100" w:line="360" w:lineRule="auto"/>
      <w:outlineLvl w:val="0"/>
    </w:pPr>
    <w:rPr>
      <w:rFonts w:ascii="宋体" w:hAnsi="Calibri"/>
      <w:b/>
      <w:bCs/>
      <w:kern w:val="44"/>
      <w:szCs w:val="21"/>
    </w:rPr>
  </w:style>
  <w:style w:type="paragraph" w:styleId="5">
    <w:name w:val="heading 2"/>
    <w:basedOn w:val="1"/>
    <w:next w:val="1"/>
    <w:qFormat/>
    <w:uiPriority w:val="0"/>
    <w:pPr>
      <w:keepLines/>
      <w:numPr>
        <w:ilvl w:val="1"/>
        <w:numId w:val="1"/>
      </w:numPr>
      <w:adjustRightInd w:val="0"/>
      <w:snapToGrid w:val="0"/>
      <w:spacing w:line="360" w:lineRule="auto"/>
      <w:outlineLvl w:val="1"/>
    </w:pPr>
    <w:rPr>
      <w:rFonts w:ascii="宋体"/>
      <w:bCs/>
      <w:szCs w:val="21"/>
    </w:rPr>
  </w:style>
  <w:style w:type="paragraph" w:styleId="6">
    <w:name w:val="heading 3"/>
    <w:basedOn w:val="1"/>
    <w:next w:val="1"/>
    <w:qFormat/>
    <w:uiPriority w:val="0"/>
    <w:pPr>
      <w:numPr>
        <w:ilvl w:val="2"/>
        <w:numId w:val="1"/>
      </w:numPr>
      <w:tabs>
        <w:tab w:val="left" w:pos="1560"/>
      </w:tabs>
      <w:snapToGrid w:val="0"/>
      <w:spacing w:line="360" w:lineRule="auto"/>
      <w:outlineLvl w:val="2"/>
    </w:pPr>
    <w:rPr>
      <w:rFonts w:ascii="宋体" w:hAnsi="Calibri"/>
      <w:bCs/>
      <w:szCs w:val="21"/>
    </w:rPr>
  </w:style>
  <w:style w:type="paragraph" w:styleId="7">
    <w:name w:val="heading 4"/>
    <w:basedOn w:val="1"/>
    <w:next w:val="1"/>
    <w:qFormat/>
    <w:uiPriority w:val="9"/>
    <w:pPr>
      <w:numPr>
        <w:ilvl w:val="3"/>
        <w:numId w:val="1"/>
      </w:numPr>
      <w:spacing w:line="360" w:lineRule="auto"/>
      <w:outlineLvl w:val="3"/>
    </w:pPr>
    <w:rPr>
      <w:rFonts w:ascii="宋体"/>
      <w:bCs/>
      <w:kern w:val="0"/>
      <w:sz w:val="20"/>
      <w:szCs w:val="21"/>
    </w:rPr>
  </w:style>
  <w:style w:type="paragraph" w:styleId="8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9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黑体"/>
      <w:b/>
      <w:sz w:val="24"/>
    </w:rPr>
  </w:style>
  <w:style w:type="paragraph" w:styleId="10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11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26">
    <w:name w:val="Default Paragraph Font"/>
    <w:semiHidden/>
    <w:unhideWhenUsed/>
    <w:uiPriority w:val="1"/>
  </w:style>
  <w:style w:type="table" w:default="1" w:styleId="2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Calibri" w:hAnsi="Calibri" w:eastAsia="仿宋_GB2312"/>
      <w:sz w:val="28"/>
    </w:rPr>
  </w:style>
  <w:style w:type="paragraph" w:styleId="3">
    <w:name w:val="Title"/>
    <w:basedOn w:val="1"/>
    <w:next w:val="1"/>
    <w:qFormat/>
    <w:uiPriority w:val="1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13">
    <w:name w:val="caption"/>
    <w:basedOn w:val="1"/>
    <w:next w:val="1"/>
    <w:qFormat/>
    <w:uiPriority w:val="0"/>
    <w:rPr>
      <w:rFonts w:ascii="Cambria" w:hAnsi="Cambria" w:eastAsia="黑体"/>
      <w:sz w:val="20"/>
      <w:szCs w:val="20"/>
    </w:rPr>
  </w:style>
  <w:style w:type="paragraph" w:styleId="14">
    <w:name w:val="annotation text"/>
    <w:basedOn w:val="1"/>
    <w:qFormat/>
    <w:uiPriority w:val="0"/>
    <w:pPr>
      <w:jc w:val="left"/>
    </w:pPr>
  </w:style>
  <w:style w:type="paragraph" w:styleId="15">
    <w:name w:val="Body Text Indent"/>
    <w:basedOn w:val="1"/>
    <w:qFormat/>
    <w:uiPriority w:val="0"/>
    <w:pPr>
      <w:spacing w:line="460" w:lineRule="exact"/>
      <w:ind w:firstLine="510"/>
    </w:pPr>
  </w:style>
  <w:style w:type="paragraph" w:styleId="16">
    <w:name w:val="toc 3"/>
    <w:basedOn w:val="1"/>
    <w:next w:val="1"/>
    <w:qFormat/>
    <w:uiPriority w:val="0"/>
    <w:pPr>
      <w:ind w:left="840" w:leftChars="400"/>
    </w:pPr>
  </w:style>
  <w:style w:type="paragraph" w:styleId="17">
    <w:name w:val="Plain Text"/>
    <w:basedOn w:val="1"/>
    <w:qFormat/>
    <w:uiPriority w:val="0"/>
    <w:rPr>
      <w:rFonts w:ascii="宋体" w:hAnsi="Courier New"/>
      <w:kern w:val="0"/>
      <w:sz w:val="20"/>
    </w:rPr>
  </w:style>
  <w:style w:type="paragraph" w:styleId="1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20">
    <w:name w:val="toc 1"/>
    <w:basedOn w:val="1"/>
    <w:next w:val="1"/>
    <w:qFormat/>
    <w:uiPriority w:val="39"/>
    <w:pPr>
      <w:spacing w:line="312" w:lineRule="auto"/>
      <w:jc w:val="left"/>
    </w:pPr>
    <w:rPr>
      <w:rFonts w:ascii="Calibri" w:hAnsi="Calibri" w:cs="Calibri"/>
      <w:b/>
      <w:bCs/>
      <w:caps/>
      <w:sz w:val="18"/>
      <w:szCs w:val="20"/>
    </w:rPr>
  </w:style>
  <w:style w:type="paragraph" w:styleId="21">
    <w:name w:val="Body Text Indent 3"/>
    <w:basedOn w:val="1"/>
    <w:qFormat/>
    <w:uiPriority w:val="0"/>
    <w:pPr>
      <w:spacing w:after="120"/>
      <w:ind w:left="420" w:leftChars="200"/>
    </w:pPr>
    <w:rPr>
      <w:kern w:val="0"/>
      <w:sz w:val="16"/>
      <w:szCs w:val="16"/>
    </w:rPr>
  </w:style>
  <w:style w:type="paragraph" w:styleId="22">
    <w:name w:val="toc 2"/>
    <w:basedOn w:val="1"/>
    <w:next w:val="1"/>
    <w:qFormat/>
    <w:uiPriority w:val="39"/>
    <w:pPr>
      <w:spacing w:line="312" w:lineRule="auto"/>
      <w:ind w:left="200" w:leftChars="200"/>
      <w:jc w:val="left"/>
    </w:pPr>
    <w:rPr>
      <w:rFonts w:ascii="Calibri" w:hAnsi="Calibri" w:cs="Calibri"/>
      <w:smallCaps/>
      <w:sz w:val="18"/>
      <w:szCs w:val="20"/>
    </w:rPr>
  </w:style>
  <w:style w:type="paragraph" w:styleId="23">
    <w:name w:val="Body Text First Indent 2"/>
    <w:basedOn w:val="15"/>
    <w:qFormat/>
    <w:uiPriority w:val="0"/>
    <w:pPr>
      <w:spacing w:after="120" w:line="240" w:lineRule="auto"/>
      <w:ind w:left="420" w:firstLine="420"/>
    </w:pPr>
  </w:style>
  <w:style w:type="table" w:styleId="25">
    <w:name w:val="Table Grid"/>
    <w:basedOn w:val="24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Hyperlink"/>
    <w:qFormat/>
    <w:uiPriority w:val="99"/>
    <w:rPr>
      <w:color w:val="0000FF"/>
      <w:u w:val="single"/>
    </w:rPr>
  </w:style>
  <w:style w:type="paragraph" w:customStyle="1" w:styleId="28">
    <w:name w:val="标准正文"/>
    <w:basedOn w:val="1"/>
    <w:qFormat/>
    <w:uiPriority w:val="0"/>
    <w:pPr>
      <w:spacing w:line="320" w:lineRule="exact"/>
      <w:ind w:firstLine="420" w:firstLineChars="200"/>
    </w:pPr>
  </w:style>
  <w:style w:type="paragraph" w:customStyle="1" w:styleId="29">
    <w:name w:val="标准1级标题"/>
    <w:basedOn w:val="1"/>
    <w:qFormat/>
    <w:uiPriority w:val="0"/>
    <w:pPr>
      <w:keepNext/>
      <w:keepLines/>
      <w:widowControl/>
      <w:spacing w:line="360" w:lineRule="auto"/>
      <w:jc w:val="left"/>
      <w:outlineLvl w:val="0"/>
    </w:pPr>
    <w:rPr>
      <w:rFonts w:ascii="黑体" w:eastAsia="黑体"/>
      <w:b/>
      <w:kern w:val="0"/>
      <w:szCs w:val="20"/>
    </w:rPr>
  </w:style>
  <w:style w:type="paragraph" w:customStyle="1" w:styleId="30">
    <w:name w:val="标准2级标题"/>
    <w:basedOn w:val="1"/>
    <w:qFormat/>
    <w:uiPriority w:val="0"/>
    <w:pPr>
      <w:widowControl/>
      <w:spacing w:before="120" w:after="120"/>
      <w:jc w:val="left"/>
      <w:outlineLvl w:val="1"/>
    </w:pPr>
    <w:rPr>
      <w:rFonts w:eastAsia="黑体"/>
      <w:b/>
      <w:kern w:val="0"/>
      <w:szCs w:val="20"/>
    </w:rPr>
  </w:style>
  <w:style w:type="paragraph" w:customStyle="1" w:styleId="31">
    <w:name w:val="表格名称"/>
    <w:basedOn w:val="1"/>
    <w:qFormat/>
    <w:uiPriority w:val="0"/>
    <w:pPr>
      <w:widowControl/>
      <w:jc w:val="center"/>
    </w:pPr>
    <w:rPr>
      <w:rFonts w:eastAsia="黑体"/>
      <w:kern w:val="0"/>
      <w:sz w:val="18"/>
      <w:szCs w:val="20"/>
    </w:rPr>
  </w:style>
  <w:style w:type="paragraph" w:customStyle="1" w:styleId="32">
    <w:name w:val="列表段落1"/>
    <w:basedOn w:val="1"/>
    <w:qFormat/>
    <w:uiPriority w:val="34"/>
    <w:pPr>
      <w:spacing w:line="580" w:lineRule="exact"/>
      <w:ind w:left="142" w:firstLine="420"/>
    </w:pPr>
  </w:style>
  <w:style w:type="paragraph" w:customStyle="1" w:styleId="33">
    <w:name w:val="首行缩进"/>
    <w:basedOn w:val="1"/>
    <w:qFormat/>
    <w:uiPriority w:val="0"/>
    <w:pPr>
      <w:spacing w:line="300" w:lineRule="auto"/>
      <w:ind w:firstLine="420" w:firstLineChars="200"/>
    </w:pPr>
    <w:rPr>
      <w:rFonts w:ascii="Calibri" w:hAnsi="Calibri" w:eastAsia="方正书宋简体"/>
      <w:kern w:val="0"/>
      <w:sz w:val="20"/>
      <w:szCs w:val="20"/>
    </w:rPr>
  </w:style>
  <w:style w:type="paragraph" w:customStyle="1" w:styleId="34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5">
    <w:name w:val="三级条标题"/>
    <w:basedOn w:val="36"/>
    <w:next w:val="34"/>
    <w:qFormat/>
    <w:uiPriority w:val="0"/>
    <w:pPr>
      <w:tabs>
        <w:tab w:val="left" w:pos="360"/>
      </w:tabs>
      <w:ind w:left="-180"/>
      <w:outlineLvl w:val="4"/>
    </w:pPr>
  </w:style>
  <w:style w:type="paragraph" w:customStyle="1" w:styleId="36">
    <w:name w:val="二级条标题"/>
    <w:basedOn w:val="1"/>
    <w:next w:val="34"/>
    <w:qFormat/>
    <w:uiPriority w:val="0"/>
    <w:pPr>
      <w:widowControl/>
      <w:outlineLvl w:val="3"/>
    </w:pPr>
    <w:rPr>
      <w:rFonts w:ascii="黑体" w:eastAsia="黑体"/>
      <w:kern w:val="0"/>
      <w:sz w:val="20"/>
      <w:szCs w:val="20"/>
    </w:rPr>
  </w:style>
  <w:style w:type="character" w:customStyle="1" w:styleId="37">
    <w:name w:val="font11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paragraph" w:styleId="38">
    <w:name w:val="List Paragraph"/>
    <w:basedOn w:val="1"/>
    <w:unhideWhenUsed/>
    <w:qFormat/>
    <w:uiPriority w:val="0"/>
    <w:pPr>
      <w:ind w:firstLine="420" w:firstLineChars="200"/>
    </w:pPr>
  </w:style>
  <w:style w:type="paragraph" w:customStyle="1" w:styleId="39">
    <w:name w:val="三级无标题条"/>
    <w:basedOn w:val="1"/>
    <w:qFormat/>
    <w:uiPriority w:val="0"/>
  </w:style>
  <w:style w:type="paragraph" w:customStyle="1" w:styleId="40">
    <w:name w:val="注×："/>
    <w:qFormat/>
    <w:uiPriority w:val="0"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41">
    <w:name w:val="列出段落1"/>
    <w:basedOn w:val="1"/>
    <w:qFormat/>
    <w:uiPriority w:val="34"/>
    <w:pPr>
      <w:ind w:firstLine="420" w:firstLineChars="200"/>
    </w:pPr>
  </w:style>
  <w:style w:type="paragraph" w:customStyle="1" w:styleId="42">
    <w:name w:val="表格"/>
    <w:basedOn w:val="1"/>
    <w:qFormat/>
    <w:uiPriority w:val="0"/>
    <w:pPr>
      <w:spacing w:line="360" w:lineRule="auto"/>
      <w:jc w:val="center"/>
    </w:pPr>
    <w:rPr>
      <w:rFonts w:ascii="宋体" w:hAnsi="宋体"/>
      <w:color w:val="000000"/>
      <w:sz w:val="24"/>
      <w:szCs w:val="18"/>
    </w:rPr>
  </w:style>
  <w:style w:type="character" w:customStyle="1" w:styleId="43">
    <w:name w:val="标题 2 字符1"/>
    <w:qFormat/>
    <w:uiPriority w:val="0"/>
    <w:rPr>
      <w:rFonts w:ascii="宋体" w:hAnsi="Times New Roman" w:eastAsia="宋体" w:cs="Times New Roman"/>
      <w:bCs/>
      <w:kern w:val="2"/>
      <w:sz w:val="21"/>
      <w:szCs w:val="21"/>
    </w:rPr>
  </w:style>
  <w:style w:type="paragraph" w:customStyle="1" w:styleId="44">
    <w:name w:val="正文(表格)"/>
    <w:qFormat/>
    <w:uiPriority w:val="0"/>
    <w:pPr>
      <w:widowControl w:val="0"/>
      <w:snapToGrid w:val="0"/>
      <w:jc w:val="center"/>
    </w:pPr>
    <w:rPr>
      <w:rFonts w:ascii="Times New Roman" w:hAnsi="Times New Roman" w:eastAsia="宋体" w:cs="Arial"/>
      <w:spacing w:val="8"/>
      <w:sz w:val="18"/>
      <w:szCs w:val="18"/>
      <w:lang w:val="en-GB" w:eastAsia="zh-CN" w:bidi="ar-SA"/>
    </w:rPr>
  </w:style>
  <w:style w:type="character" w:customStyle="1" w:styleId="45">
    <w:name w:val="标题 2 Char2"/>
    <w:qFormat/>
    <w:uiPriority w:val="0"/>
    <w:rPr>
      <w:rFonts w:ascii="Cambria" w:hAnsi="Cambria"/>
      <w:b/>
      <w:bCs/>
      <w:kern w:val="2"/>
      <w:sz w:val="32"/>
      <w:szCs w:val="32"/>
    </w:rPr>
  </w:style>
  <w:style w:type="character" w:customStyle="1" w:styleId="46">
    <w:name w:val="font31"/>
    <w:basedOn w:val="2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47">
    <w:name w:val="内容正文"/>
    <w:basedOn w:val="1"/>
    <w:qFormat/>
    <w:uiPriority w:val="0"/>
    <w:pPr>
      <w:spacing w:beforeLines="50" w:line="360" w:lineRule="auto"/>
      <w:ind w:firstLine="420" w:firstLineChars="200"/>
    </w:pPr>
    <w:rPr>
      <w:rFonts w:ascii="Arial" w:hAnsi="Arial" w:eastAsia="Times New Roman"/>
      <w:szCs w:val="21"/>
    </w:rPr>
  </w:style>
  <w:style w:type="paragraph" w:customStyle="1" w:styleId="48">
    <w:name w:val="封面标题"/>
    <w:basedOn w:val="1"/>
    <w:qFormat/>
    <w:uiPriority w:val="0"/>
    <w:pPr>
      <w:jc w:val="center"/>
    </w:pPr>
    <w:rPr>
      <w:rFonts w:eastAsia="黑体"/>
      <w:sz w:val="48"/>
      <w:szCs w:val="48"/>
    </w:rPr>
  </w:style>
  <w:style w:type="paragraph" w:customStyle="1" w:styleId="49">
    <w:name w:val="封面落款"/>
    <w:basedOn w:val="48"/>
    <w:qFormat/>
    <w:uiPriority w:val="0"/>
    <w:rPr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91"/>
    <customShpInfo spid="_x0000_s3092"/>
    <customShpInfo spid="_x0000_s3093"/>
    <customShpInfo spid="_x0000_s3094"/>
    <customShpInfo spid="_x0000_s3095"/>
    <customShpInfo spid="_x0000_s3096"/>
    <customShpInfo spid="_x0000_s3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1093</Words>
  <Characters>1247</Characters>
  <Lines>178</Lines>
  <Paragraphs>179</Paragraphs>
  <TotalTime>1</TotalTime>
  <ScaleCrop>false</ScaleCrop>
  <LinksUpToDate>false</LinksUpToDate>
  <CharactersWithSpaces>2161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2024-03-26T02:11:00Z</dcterms:created>
  <dc:creator>2016-7</dc:creator>
  <cp:lastModifiedBy>62F2E22168344CEC9410AD6065E309D5</cp:lastModifiedBy>
  <dcterms:modified xsi:type="dcterms:W3CDTF">2026-05-15T01:41:42Z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564AEDDD27FA4E1EA0A248452DCB54A0_13</vt:lpwstr>
  </property>
  <property fmtid="{D5CDD505-2E9C-101B-9397-08002B2CF9AE}" pid="3" name="KSOProductBuildVer">
    <vt:lpwstr>2052-11.8.2.12309</vt:lpwstr>
  </property>
  <property fmtid="{D5CDD505-2E9C-101B-9397-08002B2CF9AE}" pid="4" name="KSOTemplateDocerSaveRecord">
    <vt:lpwstr>eyJoZGlkIjoiM2E4ODI4NTAxYTQxYjJlNGQ4ZjcxMzIwNGJjNDIzNWMiLCJ1c2VySWQiOiI0Mjg2NTEzNjEifQ==</vt:lpwstr>
  </property>
</Properties>
</file>