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475696">
      <w:pPr>
        <w:pStyle w:val="2"/>
        <w:adjustRightInd w:val="0"/>
        <w:snapToGrid w:val="0"/>
        <w:spacing w:before="0" w:after="0" w:line="560" w:lineRule="exact"/>
        <w:jc w:val="center"/>
      </w:pPr>
      <w:r>
        <w:rPr>
          <w:rFonts w:hint="eastAsia" w:ascii="方正小标宋_GBK" w:hAnsi="方正小标宋_GBK" w:eastAsia="方正小标宋_GBK" w:cs="方正小标宋_GBK"/>
          <w:b w:val="0"/>
          <w:bCs/>
          <w:snapToGrid w:val="0"/>
          <w:kern w:val="0"/>
          <w:szCs w:val="44"/>
          <w:lang w:val="en-US" w:eastAsia="zh-CN"/>
        </w:rPr>
        <w:t>2026年南网数研院技术研发中心办公场地搬迁服务零星采购</w:t>
      </w:r>
      <w:bookmarkStart w:id="0" w:name="_GoBack"/>
      <w:bookmarkEnd w:id="0"/>
      <w:r>
        <w:rPr>
          <w:rFonts w:hint="eastAsia" w:ascii="方正小标宋_GBK" w:hAnsi="方正小标宋_GBK" w:eastAsia="方正小标宋_GBK" w:cs="方正小标宋_GBK"/>
          <w:b w:val="0"/>
          <w:bCs/>
          <w:snapToGrid w:val="0"/>
          <w:kern w:val="0"/>
          <w:szCs w:val="44"/>
        </w:rPr>
        <w:t>委托单</w:t>
      </w:r>
    </w:p>
    <w:tbl>
      <w:tblPr>
        <w:tblStyle w:val="8"/>
        <w:tblW w:w="8925"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1908"/>
        <w:gridCol w:w="2535"/>
        <w:gridCol w:w="601"/>
        <w:gridCol w:w="1230"/>
        <w:gridCol w:w="2651"/>
      </w:tblGrid>
      <w:tr w14:paraId="177CF83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8925" w:type="dxa"/>
            <w:gridSpan w:val="5"/>
            <w:tcBorders>
              <w:tl2br w:val="nil"/>
              <w:tr2bl w:val="nil"/>
            </w:tcBorders>
            <w:shd w:val="clear" w:color="000000" w:fill="E0E0E0"/>
            <w:vAlign w:val="center"/>
          </w:tcPr>
          <w:p w14:paraId="58988493">
            <w:pPr>
              <w:spacing w:line="360" w:lineRule="auto"/>
              <w:jc w:val="center"/>
              <w:rPr>
                <w:rFonts w:ascii="仿宋_GB2312" w:hAnsi="仿宋_GB2312" w:eastAsia="仿宋_GB2312" w:cs="仿宋_GB2312"/>
                <w:b/>
                <w:bCs/>
                <w:color w:val="000000"/>
                <w:kern w:val="0"/>
                <w:sz w:val="24"/>
              </w:rPr>
            </w:pPr>
            <w:r>
              <w:rPr>
                <w:rFonts w:hint="eastAsia" w:ascii="仿宋_GB2312" w:hAnsi="仿宋_GB2312" w:eastAsia="仿宋_GB2312" w:cs="仿宋_GB2312"/>
                <w:b/>
                <w:bCs/>
                <w:color w:val="000000"/>
                <w:kern w:val="0"/>
                <w:sz w:val="24"/>
              </w:rPr>
              <w:t>委托</w:t>
            </w:r>
            <w:r>
              <w:rPr>
                <w:rFonts w:hint="eastAsia" w:ascii="仿宋_GB2312" w:hAnsi="仿宋_GB2312" w:eastAsia="仿宋_GB2312" w:cs="仿宋_GB2312"/>
                <w:b/>
                <w:bCs/>
                <w:color w:val="000000"/>
                <w:kern w:val="0"/>
                <w:sz w:val="24"/>
                <w:lang w:val="en-US" w:eastAsia="zh-CN"/>
              </w:rPr>
              <w:t>方</w:t>
            </w:r>
            <w:r>
              <w:rPr>
                <w:rFonts w:hint="eastAsia" w:ascii="仿宋_GB2312" w:hAnsi="仿宋_GB2312" w:eastAsia="仿宋_GB2312" w:cs="仿宋_GB2312"/>
                <w:b/>
                <w:bCs/>
                <w:color w:val="000000"/>
                <w:kern w:val="0"/>
                <w:sz w:val="24"/>
              </w:rPr>
              <w:t>信息</w:t>
            </w:r>
          </w:p>
        </w:tc>
      </w:tr>
      <w:tr w14:paraId="197B4E9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jc w:val="center"/>
        </w:trPr>
        <w:tc>
          <w:tcPr>
            <w:tcW w:w="1908" w:type="dxa"/>
            <w:tcBorders>
              <w:top w:val="single" w:color="auto" w:sz="8" w:space="0"/>
              <w:left w:val="single" w:color="auto" w:sz="8" w:space="0"/>
              <w:bottom w:val="single" w:color="auto" w:sz="8" w:space="0"/>
              <w:right w:val="single" w:color="000000" w:sz="8" w:space="0"/>
              <w:tl2br w:val="nil"/>
              <w:tr2bl w:val="nil"/>
            </w:tcBorders>
            <w:vAlign w:val="center"/>
          </w:tcPr>
          <w:p w14:paraId="429B86A5">
            <w:pPr>
              <w:widowControl/>
              <w:adjustRightInd w:val="0"/>
              <w:snapToGrid w:val="0"/>
              <w:jc w:val="center"/>
              <w:rPr>
                <w:rFonts w:ascii="仿宋_GB2312" w:hAnsi="仿宋_GB2312" w:eastAsia="仿宋_GB2312" w:cs="仿宋_GB2312"/>
                <w:b/>
                <w:bCs/>
                <w:color w:val="000000"/>
                <w:kern w:val="0"/>
                <w:sz w:val="24"/>
              </w:rPr>
            </w:pPr>
            <w:r>
              <w:rPr>
                <w:rFonts w:hint="eastAsia" w:ascii="仿宋_GB2312" w:hAnsi="仿宋_GB2312" w:eastAsia="仿宋_GB2312" w:cs="仿宋_GB2312"/>
                <w:b/>
                <w:bCs/>
                <w:color w:val="000000"/>
                <w:kern w:val="0"/>
                <w:sz w:val="24"/>
              </w:rPr>
              <w:t>委托方</w:t>
            </w:r>
          </w:p>
        </w:tc>
        <w:tc>
          <w:tcPr>
            <w:tcW w:w="3136" w:type="dxa"/>
            <w:gridSpan w:val="2"/>
            <w:tcBorders>
              <w:top w:val="single" w:color="auto" w:sz="8" w:space="0"/>
              <w:left w:val="nil"/>
              <w:bottom w:val="single" w:color="auto" w:sz="8" w:space="0"/>
              <w:right w:val="single" w:color="000000" w:sz="8" w:space="0"/>
              <w:tl2br w:val="nil"/>
              <w:tr2bl w:val="nil"/>
            </w:tcBorders>
            <w:vAlign w:val="center"/>
          </w:tcPr>
          <w:p w14:paraId="4B8F6E34">
            <w:pPr>
              <w:widowControl/>
              <w:spacing w:line="360" w:lineRule="auto"/>
              <w:jc w:val="center"/>
              <w:rPr>
                <w:rFonts w:ascii="仿宋_GB2312" w:hAnsi="仿宋_GB2312" w:cs="仿宋_GB2312"/>
                <w:bCs/>
                <w:i/>
                <w:color w:val="000000"/>
                <w:kern w:val="0"/>
                <w:sz w:val="24"/>
              </w:rPr>
            </w:pPr>
            <w:r>
              <w:rPr>
                <w:rFonts w:hint="eastAsia" w:ascii="宋体" w:hAnsi="宋体" w:cs="宋体"/>
                <w:bCs/>
                <w:color w:val="000000"/>
                <w:kern w:val="0"/>
                <w:sz w:val="24"/>
                <w:lang w:eastAsia="zh-CN"/>
              </w:rPr>
              <w:t>技术</w:t>
            </w:r>
            <w:r>
              <w:rPr>
                <w:rFonts w:hint="eastAsia" w:ascii="宋体" w:hAnsi="宋体" w:cs="宋体"/>
                <w:bCs/>
                <w:color w:val="000000"/>
                <w:kern w:val="0"/>
                <w:sz w:val="24"/>
              </w:rPr>
              <w:t>研发中心（新型电力系统研究所）</w:t>
            </w:r>
          </w:p>
        </w:tc>
        <w:tc>
          <w:tcPr>
            <w:tcW w:w="1230" w:type="dxa"/>
            <w:tcBorders>
              <w:top w:val="nil"/>
              <w:left w:val="nil"/>
              <w:bottom w:val="single" w:color="auto" w:sz="8" w:space="0"/>
              <w:right w:val="single" w:color="auto" w:sz="8" w:space="0"/>
              <w:tl2br w:val="nil"/>
              <w:tr2bl w:val="nil"/>
            </w:tcBorders>
            <w:vAlign w:val="center"/>
          </w:tcPr>
          <w:p w14:paraId="6DDBAE38">
            <w:pPr>
              <w:widowControl/>
              <w:adjustRightInd w:val="0"/>
              <w:snapToGrid w:val="0"/>
              <w:jc w:val="center"/>
              <w:rPr>
                <w:rFonts w:ascii="仿宋_GB2312" w:hAnsi="仿宋_GB2312" w:eastAsia="仿宋_GB2312" w:cs="仿宋_GB2312"/>
                <w:b/>
                <w:bCs/>
                <w:color w:val="000000"/>
                <w:kern w:val="0"/>
                <w:sz w:val="24"/>
              </w:rPr>
            </w:pPr>
            <w:r>
              <w:rPr>
                <w:rFonts w:hint="eastAsia" w:ascii="仿宋_GB2312" w:hAnsi="仿宋_GB2312" w:eastAsia="仿宋_GB2312" w:cs="仿宋_GB2312"/>
                <w:b/>
                <w:bCs/>
                <w:color w:val="000000"/>
                <w:kern w:val="0"/>
                <w:sz w:val="24"/>
              </w:rPr>
              <w:t>委托日期</w:t>
            </w:r>
          </w:p>
        </w:tc>
        <w:tc>
          <w:tcPr>
            <w:tcW w:w="2651" w:type="dxa"/>
            <w:tcBorders>
              <w:top w:val="nil"/>
              <w:left w:val="nil"/>
              <w:bottom w:val="single" w:color="auto" w:sz="8" w:space="0"/>
              <w:right w:val="single" w:color="auto" w:sz="8" w:space="0"/>
              <w:tl2br w:val="nil"/>
              <w:tr2bl w:val="nil"/>
            </w:tcBorders>
            <w:vAlign w:val="center"/>
          </w:tcPr>
          <w:p w14:paraId="46AD3EC3">
            <w:pPr>
              <w:widowControl/>
              <w:spacing w:line="360" w:lineRule="auto"/>
              <w:jc w:val="center"/>
              <w:rPr>
                <w:rFonts w:hint="default" w:ascii="宋体" w:hAnsi="宋体" w:eastAsia="仿宋" w:cs="宋体"/>
                <w:bCs/>
                <w:color w:val="000000"/>
                <w:kern w:val="0"/>
                <w:sz w:val="24"/>
                <w:lang w:val="en-US" w:eastAsia="zh-CN"/>
              </w:rPr>
            </w:pPr>
            <w:r>
              <w:rPr>
                <w:rFonts w:ascii="宋体" w:hAnsi="宋体" w:cs="宋体"/>
                <w:bCs/>
                <w:color w:val="000000"/>
                <w:kern w:val="0"/>
                <w:sz w:val="24"/>
                <w:highlight w:val="none"/>
              </w:rPr>
              <w:t>202</w:t>
            </w:r>
            <w:r>
              <w:rPr>
                <w:rFonts w:hint="eastAsia" w:ascii="宋体" w:hAnsi="宋体" w:cs="宋体"/>
                <w:bCs/>
                <w:color w:val="000000"/>
                <w:kern w:val="0"/>
                <w:sz w:val="24"/>
                <w:highlight w:val="none"/>
                <w:lang w:val="en-US" w:eastAsia="zh-CN"/>
              </w:rPr>
              <w:t>6</w:t>
            </w:r>
            <w:r>
              <w:rPr>
                <w:rFonts w:ascii="宋体" w:hAnsi="宋体" w:cs="宋体"/>
                <w:bCs/>
                <w:color w:val="000000"/>
                <w:kern w:val="0"/>
                <w:sz w:val="24"/>
                <w:highlight w:val="none"/>
              </w:rPr>
              <w:t>/</w:t>
            </w:r>
            <w:r>
              <w:rPr>
                <w:rFonts w:hint="eastAsia" w:ascii="宋体" w:hAnsi="宋体" w:cs="宋体"/>
                <w:bCs/>
                <w:color w:val="000000"/>
                <w:kern w:val="0"/>
                <w:sz w:val="24"/>
                <w:highlight w:val="none"/>
                <w:lang w:val="en-US" w:eastAsia="zh-CN"/>
              </w:rPr>
              <w:t>6</w:t>
            </w:r>
            <w:r>
              <w:rPr>
                <w:rFonts w:ascii="宋体" w:hAnsi="宋体" w:cs="宋体"/>
                <w:bCs/>
                <w:color w:val="000000"/>
                <w:kern w:val="0"/>
                <w:sz w:val="24"/>
                <w:highlight w:val="none"/>
              </w:rPr>
              <w:t>/</w:t>
            </w:r>
            <w:r>
              <w:rPr>
                <w:rFonts w:hint="eastAsia" w:ascii="宋体" w:hAnsi="宋体" w:cs="宋体"/>
                <w:bCs/>
                <w:color w:val="000000"/>
                <w:kern w:val="0"/>
                <w:sz w:val="24"/>
                <w:highlight w:val="none"/>
                <w:lang w:val="en-US" w:eastAsia="zh-CN"/>
              </w:rPr>
              <w:t>1</w:t>
            </w:r>
          </w:p>
        </w:tc>
      </w:tr>
      <w:tr w14:paraId="1A6687D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jc w:val="center"/>
        </w:trPr>
        <w:tc>
          <w:tcPr>
            <w:tcW w:w="1908" w:type="dxa"/>
            <w:tcBorders>
              <w:top w:val="single" w:color="auto" w:sz="8" w:space="0"/>
              <w:left w:val="single" w:color="auto" w:sz="8" w:space="0"/>
              <w:bottom w:val="single" w:color="auto" w:sz="8" w:space="0"/>
              <w:right w:val="single" w:color="000000" w:sz="8" w:space="0"/>
              <w:tl2br w:val="nil"/>
              <w:tr2bl w:val="nil"/>
            </w:tcBorders>
            <w:vAlign w:val="center"/>
          </w:tcPr>
          <w:p w14:paraId="2E0F75CF">
            <w:pPr>
              <w:widowControl/>
              <w:spacing w:line="560" w:lineRule="exact"/>
              <w:jc w:val="center"/>
              <w:rPr>
                <w:rFonts w:hint="eastAsia" w:ascii="仿宋_GB2312" w:hAnsi="仿宋_GB2312" w:eastAsia="仿宋_GB2312" w:cs="仿宋_GB2312"/>
                <w:b/>
                <w:bCs/>
                <w:color w:val="000000"/>
                <w:kern w:val="0"/>
                <w:sz w:val="24"/>
                <w:szCs w:val="24"/>
                <w:lang w:val="en-US" w:eastAsia="zh-CN" w:bidi="ar-SA"/>
              </w:rPr>
            </w:pPr>
            <w:r>
              <w:rPr>
                <w:rFonts w:hint="eastAsia" w:ascii="仿宋_GB2312" w:hAnsi="仿宋_GB2312" w:eastAsia="仿宋_GB2312" w:cs="仿宋_GB2312"/>
                <w:b/>
                <w:bCs/>
                <w:color w:val="000000"/>
                <w:kern w:val="0"/>
                <w:sz w:val="24"/>
              </w:rPr>
              <w:t>联系地址</w:t>
            </w:r>
          </w:p>
        </w:tc>
        <w:tc>
          <w:tcPr>
            <w:tcW w:w="7017" w:type="dxa"/>
            <w:gridSpan w:val="4"/>
            <w:tcBorders>
              <w:top w:val="single" w:color="auto" w:sz="8" w:space="0"/>
              <w:left w:val="nil"/>
              <w:bottom w:val="single" w:color="auto" w:sz="8" w:space="0"/>
              <w:right w:val="single" w:color="auto" w:sz="8" w:space="0"/>
              <w:tl2br w:val="nil"/>
              <w:tr2bl w:val="nil"/>
            </w:tcBorders>
            <w:vAlign w:val="center"/>
          </w:tcPr>
          <w:p w14:paraId="1113E277">
            <w:pPr>
              <w:widowControl/>
              <w:spacing w:line="560" w:lineRule="exact"/>
              <w:jc w:val="center"/>
              <w:rPr>
                <w:rFonts w:ascii="仿宋_GB2312" w:hAnsi="仿宋_GB2312" w:eastAsia="仿宋_GB2312" w:cs="仿宋_GB2312"/>
                <w:bCs/>
                <w:color w:val="000000"/>
                <w:kern w:val="0"/>
                <w:sz w:val="24"/>
                <w:szCs w:val="24"/>
                <w:lang w:val="en-US" w:eastAsia="zh-CN" w:bidi="ar-SA"/>
              </w:rPr>
            </w:pPr>
            <w:r>
              <w:rPr>
                <w:rFonts w:hint="eastAsia" w:ascii="宋体" w:hAnsi="宋体" w:cs="宋体"/>
                <w:bCs/>
                <w:color w:val="000000"/>
                <w:kern w:val="0"/>
                <w:sz w:val="24"/>
              </w:rPr>
              <w:t>广州市黄埔区光谱中路11号云升科技园C栋</w:t>
            </w:r>
          </w:p>
        </w:tc>
      </w:tr>
      <w:tr w14:paraId="075659F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06" w:hRule="atLeast"/>
          <w:jc w:val="center"/>
        </w:trPr>
        <w:tc>
          <w:tcPr>
            <w:tcW w:w="1908" w:type="dxa"/>
            <w:tcBorders>
              <w:top w:val="single" w:color="auto" w:sz="8" w:space="0"/>
              <w:left w:val="single" w:color="auto" w:sz="8" w:space="0"/>
              <w:bottom w:val="single" w:color="auto" w:sz="8" w:space="0"/>
              <w:right w:val="single" w:color="000000" w:sz="8" w:space="0"/>
              <w:tl2br w:val="nil"/>
              <w:tr2bl w:val="nil"/>
            </w:tcBorders>
            <w:vAlign w:val="center"/>
          </w:tcPr>
          <w:p w14:paraId="2478A158">
            <w:pPr>
              <w:widowControl/>
              <w:adjustRightInd w:val="0"/>
              <w:snapToGrid w:val="0"/>
              <w:jc w:val="center"/>
              <w:rPr>
                <w:rFonts w:ascii="仿宋_GB2312" w:hAnsi="仿宋_GB2312" w:eastAsia="仿宋_GB2312" w:cs="仿宋_GB2312"/>
                <w:b/>
                <w:bCs/>
                <w:color w:val="000000"/>
                <w:kern w:val="0"/>
                <w:sz w:val="24"/>
              </w:rPr>
            </w:pPr>
            <w:r>
              <w:rPr>
                <w:rFonts w:hint="eastAsia" w:ascii="仿宋_GB2312" w:hAnsi="仿宋_GB2312" w:eastAsia="仿宋_GB2312" w:cs="仿宋_GB2312"/>
                <w:b/>
                <w:bCs/>
                <w:color w:val="000000"/>
                <w:kern w:val="0"/>
                <w:sz w:val="24"/>
                <w:lang w:val="en-US" w:eastAsia="zh-CN"/>
              </w:rPr>
              <w:t>采购</w:t>
            </w:r>
            <w:r>
              <w:rPr>
                <w:rFonts w:hint="eastAsia" w:ascii="仿宋_GB2312" w:hAnsi="仿宋_GB2312" w:eastAsia="仿宋_GB2312" w:cs="仿宋_GB2312"/>
                <w:b/>
                <w:bCs/>
                <w:color w:val="000000"/>
                <w:kern w:val="0"/>
                <w:sz w:val="24"/>
              </w:rPr>
              <w:t>限价</w:t>
            </w:r>
          </w:p>
        </w:tc>
        <w:tc>
          <w:tcPr>
            <w:tcW w:w="7017" w:type="dxa"/>
            <w:gridSpan w:val="4"/>
            <w:tcBorders>
              <w:top w:val="nil"/>
              <w:left w:val="nil"/>
              <w:bottom w:val="single" w:color="auto" w:sz="8" w:space="0"/>
              <w:right w:val="single" w:color="000000" w:sz="8" w:space="0"/>
              <w:tl2br w:val="nil"/>
              <w:tr2bl w:val="nil"/>
            </w:tcBorders>
            <w:vAlign w:val="center"/>
          </w:tcPr>
          <w:p w14:paraId="5AC14E65">
            <w:pPr>
              <w:widowControl/>
              <w:spacing w:line="360" w:lineRule="auto"/>
              <w:jc w:val="center"/>
              <w:rPr>
                <w:rFonts w:hint="default" w:ascii="仿宋_GB2312" w:hAnsi="仿宋_GB2312" w:eastAsia="仿宋" w:cs="仿宋_GB2312"/>
                <w:color w:val="000000"/>
                <w:kern w:val="0"/>
                <w:sz w:val="24"/>
                <w:lang w:val="en-US" w:eastAsia="zh-CN"/>
              </w:rPr>
            </w:pPr>
            <w:r>
              <w:rPr>
                <w:rFonts w:hint="eastAsia" w:ascii="宋体" w:hAnsi="宋体" w:cs="宋体"/>
                <w:bCs/>
                <w:color w:val="000000"/>
                <w:kern w:val="0"/>
                <w:sz w:val="24"/>
              </w:rPr>
              <w:t>小写</w:t>
            </w:r>
            <w:r>
              <w:rPr>
                <w:rFonts w:hint="eastAsia" w:ascii="宋体" w:hAnsi="宋体" w:cs="宋体"/>
                <w:bCs/>
                <w:color w:val="000000"/>
                <w:kern w:val="0"/>
                <w:sz w:val="24"/>
                <w:highlight w:val="none"/>
              </w:rPr>
              <w:t>：</w:t>
            </w:r>
            <w:r>
              <w:rPr>
                <w:rFonts w:hint="eastAsia" w:ascii="宋体" w:hAnsi="宋体" w:cs="宋体"/>
                <w:bCs/>
                <w:color w:val="000000"/>
                <w:kern w:val="0"/>
                <w:sz w:val="24"/>
                <w:highlight w:val="none"/>
                <w:lang w:val="en-US" w:eastAsia="zh-CN"/>
              </w:rPr>
              <w:t>35000.00</w:t>
            </w:r>
            <w:r>
              <w:rPr>
                <w:rFonts w:hint="eastAsia" w:ascii="宋体" w:hAnsi="宋体" w:cs="宋体"/>
                <w:bCs/>
                <w:color w:val="000000"/>
                <w:kern w:val="0"/>
                <w:sz w:val="24"/>
                <w:highlight w:val="none"/>
              </w:rPr>
              <w:t xml:space="preserve">元  </w:t>
            </w:r>
            <w:r>
              <w:rPr>
                <w:rFonts w:hint="eastAsia" w:ascii="宋体" w:hAnsi="宋体" w:cs="宋体"/>
                <w:bCs/>
                <w:color w:val="000000"/>
                <w:kern w:val="0"/>
                <w:sz w:val="24"/>
              </w:rPr>
              <w:t xml:space="preserve">    大写：</w:t>
            </w:r>
            <w:r>
              <w:rPr>
                <w:rFonts w:hint="eastAsia" w:ascii="宋体" w:hAnsi="宋体" w:cs="宋体"/>
                <w:bCs/>
                <w:color w:val="000000"/>
                <w:kern w:val="0"/>
                <w:sz w:val="24"/>
                <w:lang w:val="en-US" w:eastAsia="zh-CN"/>
              </w:rPr>
              <w:t>叁万伍仟元整</w:t>
            </w:r>
          </w:p>
        </w:tc>
      </w:tr>
      <w:tr w14:paraId="0F5FCB8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jc w:val="center"/>
        </w:trPr>
        <w:tc>
          <w:tcPr>
            <w:tcW w:w="8925" w:type="dxa"/>
            <w:gridSpan w:val="5"/>
            <w:tcBorders>
              <w:top w:val="single" w:color="auto" w:sz="8" w:space="0"/>
              <w:left w:val="single" w:color="auto" w:sz="8" w:space="0"/>
              <w:bottom w:val="single" w:color="auto" w:sz="8" w:space="0"/>
              <w:right w:val="single" w:color="auto" w:sz="8" w:space="0"/>
            </w:tcBorders>
            <w:shd w:val="clear" w:color="000000" w:fill="E0E0E0"/>
            <w:vAlign w:val="center"/>
          </w:tcPr>
          <w:p w14:paraId="7786D19C">
            <w:pPr>
              <w:widowControl/>
              <w:spacing w:line="360" w:lineRule="auto"/>
              <w:jc w:val="center"/>
              <w:rPr>
                <w:rFonts w:ascii="仿宋_GB2312" w:hAnsi="仿宋_GB2312" w:eastAsia="仿宋_GB2312" w:cs="仿宋_GB2312"/>
                <w:b/>
                <w:bCs/>
                <w:color w:val="000000"/>
                <w:kern w:val="0"/>
                <w:sz w:val="24"/>
              </w:rPr>
            </w:pPr>
            <w:r>
              <w:rPr>
                <w:rFonts w:hint="eastAsia" w:ascii="仿宋_GB2312" w:hAnsi="仿宋_GB2312" w:eastAsia="仿宋_GB2312" w:cs="仿宋_GB2312"/>
                <w:b/>
                <w:bCs/>
                <w:color w:val="000000"/>
                <w:kern w:val="0"/>
                <w:sz w:val="24"/>
              </w:rPr>
              <w:t>受托方要求</w:t>
            </w:r>
          </w:p>
        </w:tc>
      </w:tr>
      <w:tr w14:paraId="7B7862C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215" w:hRule="atLeast"/>
          <w:jc w:val="center"/>
        </w:trPr>
        <w:tc>
          <w:tcPr>
            <w:tcW w:w="1908" w:type="dxa"/>
            <w:tcBorders>
              <w:top w:val="single" w:color="auto" w:sz="4" w:space="0"/>
              <w:left w:val="single" w:color="auto" w:sz="8" w:space="0"/>
              <w:bottom w:val="single" w:color="auto" w:sz="4" w:space="0"/>
              <w:right w:val="single" w:color="auto" w:sz="8" w:space="0"/>
              <w:tl2br w:val="nil"/>
              <w:tr2bl w:val="nil"/>
            </w:tcBorders>
            <w:vAlign w:val="center"/>
          </w:tcPr>
          <w:p w14:paraId="48EADF87">
            <w:pPr>
              <w:widowControl/>
              <w:adjustRightInd w:val="0"/>
              <w:snapToGrid w:val="0"/>
              <w:jc w:val="center"/>
              <w:rPr>
                <w:rFonts w:ascii="仿宋_GB2312" w:hAnsi="仿宋_GB2312" w:eastAsia="仿宋_GB2312" w:cs="仿宋_GB2312"/>
                <w:b/>
                <w:bCs/>
                <w:color w:val="000000"/>
                <w:kern w:val="0"/>
                <w:sz w:val="24"/>
              </w:rPr>
            </w:pPr>
            <w:r>
              <w:rPr>
                <w:rFonts w:hint="eastAsia" w:ascii="仿宋_GB2312" w:hAnsi="仿宋_GB2312" w:eastAsia="仿宋_GB2312" w:cs="仿宋_GB2312"/>
                <w:b/>
                <w:bCs/>
                <w:color w:val="000000"/>
                <w:kern w:val="0"/>
                <w:sz w:val="24"/>
              </w:rPr>
              <w:t>资质要求</w:t>
            </w:r>
          </w:p>
        </w:tc>
        <w:tc>
          <w:tcPr>
            <w:tcW w:w="7017" w:type="dxa"/>
            <w:gridSpan w:val="4"/>
            <w:tcBorders>
              <w:top w:val="single" w:color="auto" w:sz="8" w:space="0"/>
              <w:left w:val="nil"/>
              <w:bottom w:val="single" w:color="auto" w:sz="4" w:space="0"/>
              <w:right w:val="single" w:color="000000" w:sz="8" w:space="0"/>
              <w:tl2br w:val="nil"/>
              <w:tr2bl w:val="nil"/>
            </w:tcBorders>
            <w:vAlign w:val="center"/>
          </w:tcPr>
          <w:p w14:paraId="72E99355">
            <w:pPr>
              <w:widowControl/>
              <w:numPr>
                <w:ilvl w:val="0"/>
                <w:numId w:val="1"/>
              </w:numPr>
              <w:spacing w:line="360" w:lineRule="auto"/>
              <w:rPr>
                <w:rFonts w:ascii="宋体" w:hAnsi="宋体" w:cs="宋体"/>
                <w:bCs/>
                <w:color w:val="000000"/>
                <w:kern w:val="0"/>
                <w:sz w:val="24"/>
              </w:rPr>
            </w:pPr>
            <w:r>
              <w:rPr>
                <w:rFonts w:hint="eastAsia" w:ascii="宋体" w:hAnsi="宋体" w:cs="宋体"/>
                <w:bCs/>
                <w:color w:val="000000"/>
                <w:kern w:val="0"/>
                <w:sz w:val="24"/>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不接受自然人参与。</w:t>
            </w:r>
          </w:p>
          <w:p w14:paraId="2F01F21E">
            <w:pPr>
              <w:widowControl/>
              <w:numPr>
                <w:ilvl w:val="0"/>
                <w:numId w:val="1"/>
              </w:numPr>
              <w:spacing w:line="360" w:lineRule="auto"/>
              <w:ind w:left="0" w:leftChars="0" w:firstLine="0" w:firstLineChars="0"/>
              <w:rPr>
                <w:rFonts w:hint="eastAsia" w:ascii="宋体" w:hAnsi="宋体" w:cs="宋体"/>
                <w:bCs/>
                <w:color w:val="000000"/>
                <w:kern w:val="0"/>
                <w:sz w:val="24"/>
              </w:rPr>
            </w:pPr>
            <w:r>
              <w:rPr>
                <w:rFonts w:hint="eastAsia" w:ascii="宋体" w:hAnsi="宋体" w:cs="宋体"/>
                <w:bCs/>
                <w:color w:val="000000"/>
                <w:kern w:val="0"/>
                <w:sz w:val="24"/>
              </w:rPr>
              <w:t>在经营活动中无重大违法失信记录，没有被市场监督管理机关在国家企业信用信息公示系统（www.gsxt.gov.cn）中列入严重违法失信企业名单，没有被最高人民法院在“信用中国”网站（www.creditchina.gov.cn）列入失信被执行人名单，应提供上述两个网站的相应截图；在中国南方电网有限责任公司范围内没有处于限制投标资格的处罚期内。</w:t>
            </w:r>
          </w:p>
          <w:p w14:paraId="5A06A3E2">
            <w:pPr>
              <w:widowControl/>
              <w:numPr>
                <w:ilvl w:val="0"/>
                <w:numId w:val="1"/>
              </w:numPr>
              <w:spacing w:line="360" w:lineRule="auto"/>
              <w:ind w:left="0" w:leftChars="0" w:firstLine="0" w:firstLineChars="0"/>
              <w:rPr>
                <w:rFonts w:hint="eastAsia" w:ascii="宋体" w:hAnsi="宋体" w:cs="宋体"/>
                <w:bCs/>
                <w:color w:val="000000"/>
                <w:kern w:val="0"/>
                <w:sz w:val="24"/>
              </w:rPr>
            </w:pPr>
            <w:r>
              <w:rPr>
                <w:rFonts w:hint="eastAsia" w:ascii="宋体" w:hAnsi="宋体" w:cs="宋体"/>
                <w:bCs/>
                <w:color w:val="000000"/>
                <w:kern w:val="0"/>
                <w:sz w:val="24"/>
              </w:rPr>
              <w:t>不接受联合体参与。</w:t>
            </w:r>
          </w:p>
          <w:p w14:paraId="177B371C">
            <w:pPr>
              <w:widowControl/>
              <w:numPr>
                <w:ilvl w:val="0"/>
                <w:numId w:val="1"/>
              </w:numPr>
              <w:spacing w:line="360" w:lineRule="auto"/>
              <w:ind w:left="0" w:leftChars="0" w:firstLine="0" w:firstLineChars="0"/>
              <w:rPr>
                <w:rFonts w:hint="eastAsia" w:ascii="宋体" w:hAnsi="宋体" w:cs="宋体"/>
                <w:bCs/>
                <w:color w:val="000000"/>
                <w:kern w:val="0"/>
                <w:sz w:val="24"/>
              </w:rPr>
            </w:pPr>
            <w:r>
              <w:rPr>
                <w:rFonts w:hint="eastAsia" w:ascii="宋体" w:hAnsi="宋体" w:cs="宋体"/>
                <w:bCs/>
                <w:color w:val="000000"/>
                <w:kern w:val="0"/>
                <w:sz w:val="24"/>
                <w:lang w:val="en-US" w:eastAsia="zh-CN"/>
              </w:rPr>
              <w:t>具备道路运输经营许可证、质量管理证书等相关资质证明。</w:t>
            </w:r>
          </w:p>
        </w:tc>
      </w:tr>
      <w:tr w14:paraId="0BC6A2C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215" w:hRule="atLeast"/>
          <w:jc w:val="center"/>
        </w:trPr>
        <w:tc>
          <w:tcPr>
            <w:tcW w:w="1908" w:type="dxa"/>
            <w:tcBorders>
              <w:top w:val="single" w:color="auto" w:sz="4" w:space="0"/>
              <w:left w:val="single" w:color="auto" w:sz="8" w:space="0"/>
              <w:bottom w:val="single" w:color="auto" w:sz="4" w:space="0"/>
              <w:right w:val="single" w:color="auto" w:sz="8" w:space="0"/>
              <w:tl2br w:val="nil"/>
              <w:tr2bl w:val="nil"/>
            </w:tcBorders>
            <w:vAlign w:val="center"/>
          </w:tcPr>
          <w:p w14:paraId="63506294">
            <w:pPr>
              <w:widowControl/>
              <w:adjustRightInd w:val="0"/>
              <w:snapToGrid w:val="0"/>
              <w:jc w:val="center"/>
              <w:rPr>
                <w:rFonts w:ascii="仿宋_GB2312" w:hAnsi="仿宋_GB2312" w:eastAsia="仿宋_GB2312" w:cs="仿宋_GB2312"/>
                <w:b/>
                <w:bCs/>
                <w:color w:val="000000"/>
                <w:kern w:val="0"/>
                <w:sz w:val="24"/>
              </w:rPr>
            </w:pPr>
            <w:r>
              <w:rPr>
                <w:rFonts w:hint="eastAsia" w:ascii="仿宋_GB2312" w:hAnsi="仿宋_GB2312" w:eastAsia="仿宋_GB2312" w:cs="仿宋_GB2312"/>
                <w:b/>
                <w:bCs/>
                <w:color w:val="000000"/>
                <w:kern w:val="0"/>
                <w:sz w:val="24"/>
              </w:rPr>
              <w:t>交付要求</w:t>
            </w:r>
          </w:p>
        </w:tc>
        <w:tc>
          <w:tcPr>
            <w:tcW w:w="7017" w:type="dxa"/>
            <w:gridSpan w:val="4"/>
            <w:tcBorders>
              <w:top w:val="single" w:color="auto" w:sz="8" w:space="0"/>
              <w:left w:val="nil"/>
              <w:bottom w:val="single" w:color="auto" w:sz="4" w:space="0"/>
              <w:right w:val="single" w:color="000000" w:sz="8" w:space="0"/>
              <w:tl2br w:val="nil"/>
              <w:tr2bl w:val="nil"/>
            </w:tcBorders>
            <w:vAlign w:val="center"/>
          </w:tcPr>
          <w:p w14:paraId="539B92EE">
            <w:pPr>
              <w:widowControl/>
              <w:spacing w:line="360" w:lineRule="auto"/>
              <w:rPr>
                <w:rFonts w:hint="default" w:ascii="宋体" w:hAnsi="宋体" w:eastAsia="仿宋" w:cs="宋体"/>
                <w:bCs/>
                <w:color w:val="000000"/>
                <w:kern w:val="0"/>
                <w:sz w:val="24"/>
                <w:szCs w:val="24"/>
                <w:highlight w:val="none"/>
                <w:lang w:val="en-US" w:eastAsia="zh-CN" w:bidi="ar-SA"/>
              </w:rPr>
            </w:pPr>
            <w:r>
              <w:rPr>
                <w:rFonts w:hint="eastAsia" w:ascii="宋体" w:hAnsi="宋体" w:cs="宋体"/>
                <w:bCs/>
                <w:color w:val="000000"/>
                <w:kern w:val="0"/>
                <w:sz w:val="24"/>
                <w:szCs w:val="24"/>
                <w:highlight w:val="none"/>
                <w:lang w:val="en-US" w:eastAsia="zh-CN" w:bidi="ar-SA"/>
              </w:rPr>
              <w:t>受托方提供点到点搬迁服务，具体服务要求及物资数量详见《附件1：搬迁服务要求》、《附件2：搬迁物资清单》。</w:t>
            </w:r>
          </w:p>
        </w:tc>
      </w:tr>
      <w:tr w14:paraId="2DE2AD1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853" w:hRule="atLeast"/>
          <w:jc w:val="center"/>
        </w:trPr>
        <w:tc>
          <w:tcPr>
            <w:tcW w:w="1908" w:type="dxa"/>
            <w:tcBorders>
              <w:top w:val="single" w:color="auto" w:sz="4" w:space="0"/>
              <w:left w:val="single" w:color="auto" w:sz="8" w:space="0"/>
              <w:bottom w:val="single" w:color="auto" w:sz="4" w:space="0"/>
              <w:right w:val="single" w:color="auto" w:sz="8" w:space="0"/>
              <w:tl2br w:val="nil"/>
              <w:tr2bl w:val="nil"/>
            </w:tcBorders>
            <w:vAlign w:val="center"/>
          </w:tcPr>
          <w:p w14:paraId="1083EECE">
            <w:pPr>
              <w:widowControl/>
              <w:adjustRightInd w:val="0"/>
              <w:snapToGrid w:val="0"/>
              <w:jc w:val="center"/>
              <w:rPr>
                <w:rFonts w:ascii="仿宋_GB2312" w:hAnsi="仿宋_GB2312" w:eastAsia="仿宋_GB2312" w:cs="仿宋_GB2312"/>
                <w:b/>
                <w:bCs/>
                <w:color w:val="000000"/>
                <w:kern w:val="0"/>
                <w:sz w:val="24"/>
              </w:rPr>
            </w:pPr>
            <w:r>
              <w:rPr>
                <w:rFonts w:hint="eastAsia" w:ascii="仿宋_GB2312" w:hAnsi="仿宋_GB2312" w:eastAsia="仿宋_GB2312" w:cs="仿宋_GB2312"/>
                <w:b/>
                <w:bCs/>
                <w:color w:val="000000"/>
                <w:kern w:val="0"/>
                <w:sz w:val="24"/>
              </w:rPr>
              <w:t>进度要求</w:t>
            </w:r>
          </w:p>
        </w:tc>
        <w:tc>
          <w:tcPr>
            <w:tcW w:w="7017" w:type="dxa"/>
            <w:gridSpan w:val="4"/>
            <w:tcBorders>
              <w:top w:val="single" w:color="auto" w:sz="8" w:space="0"/>
              <w:left w:val="nil"/>
              <w:bottom w:val="single" w:color="auto" w:sz="4" w:space="0"/>
              <w:right w:val="single" w:color="000000" w:sz="8" w:space="0"/>
              <w:tl2br w:val="nil"/>
              <w:tr2bl w:val="nil"/>
            </w:tcBorders>
            <w:vAlign w:val="center"/>
          </w:tcPr>
          <w:p w14:paraId="003FE651">
            <w:pPr>
              <w:widowControl/>
              <w:spacing w:line="360" w:lineRule="auto"/>
              <w:rPr>
                <w:rFonts w:ascii="宋体" w:hAnsi="宋体" w:eastAsia="仿宋" w:cs="宋体"/>
                <w:bCs/>
                <w:color w:val="000000"/>
                <w:kern w:val="0"/>
                <w:sz w:val="24"/>
                <w:szCs w:val="24"/>
                <w:highlight w:val="none"/>
                <w:lang w:val="en-US" w:eastAsia="zh-CN" w:bidi="ar-SA"/>
              </w:rPr>
            </w:pPr>
            <w:r>
              <w:rPr>
                <w:rFonts w:hint="eastAsia" w:ascii="宋体" w:hAnsi="宋体" w:eastAsia="仿宋" w:cs="宋体"/>
                <w:bCs/>
                <w:color w:val="000000"/>
                <w:kern w:val="0"/>
                <w:sz w:val="24"/>
                <w:szCs w:val="24"/>
                <w:highlight w:val="none"/>
                <w:lang w:val="en-US" w:eastAsia="zh-CN" w:bidi="ar-SA"/>
              </w:rPr>
              <w:t>采购合同签订后</w:t>
            </w:r>
            <w:r>
              <w:rPr>
                <w:rFonts w:hint="eastAsia" w:ascii="宋体" w:hAnsi="宋体" w:cs="宋体"/>
                <w:bCs/>
                <w:color w:val="000000"/>
                <w:kern w:val="0"/>
                <w:sz w:val="24"/>
                <w:szCs w:val="24"/>
                <w:highlight w:val="none"/>
                <w:lang w:val="en-US" w:eastAsia="zh-CN" w:bidi="ar-SA"/>
              </w:rPr>
              <w:t>15</w:t>
            </w:r>
            <w:r>
              <w:rPr>
                <w:rFonts w:hint="eastAsia" w:ascii="宋体" w:hAnsi="宋体" w:eastAsia="仿宋" w:cs="宋体"/>
                <w:bCs/>
                <w:color w:val="000000"/>
                <w:kern w:val="0"/>
                <w:sz w:val="24"/>
                <w:szCs w:val="24"/>
                <w:highlight w:val="none"/>
                <w:lang w:val="en-US" w:eastAsia="zh-CN" w:bidi="ar-SA"/>
              </w:rPr>
              <w:t>个工作日内，</w:t>
            </w:r>
            <w:r>
              <w:rPr>
                <w:rFonts w:hint="eastAsia" w:ascii="宋体" w:hAnsi="宋体" w:cs="宋体"/>
                <w:bCs/>
                <w:color w:val="000000"/>
                <w:kern w:val="0"/>
                <w:sz w:val="24"/>
                <w:szCs w:val="24"/>
                <w:highlight w:val="none"/>
                <w:lang w:val="en-US" w:eastAsia="zh-CN" w:bidi="ar-SA"/>
              </w:rPr>
              <w:t>完成委托方要求的所有搬迁工作</w:t>
            </w:r>
            <w:r>
              <w:rPr>
                <w:rFonts w:hint="eastAsia" w:ascii="宋体" w:hAnsi="宋体" w:eastAsia="仿宋" w:cs="宋体"/>
                <w:bCs/>
                <w:color w:val="000000"/>
                <w:kern w:val="0"/>
                <w:sz w:val="24"/>
                <w:szCs w:val="24"/>
                <w:highlight w:val="none"/>
                <w:lang w:val="en-US" w:eastAsia="zh-CN" w:bidi="ar-SA"/>
              </w:rPr>
              <w:t>。</w:t>
            </w:r>
          </w:p>
        </w:tc>
      </w:tr>
      <w:tr w14:paraId="4AF9C7A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0" w:hRule="atLeast"/>
          <w:jc w:val="center"/>
        </w:trPr>
        <w:tc>
          <w:tcPr>
            <w:tcW w:w="1908" w:type="dxa"/>
            <w:tcBorders>
              <w:top w:val="single" w:color="auto" w:sz="4" w:space="0"/>
              <w:left w:val="single" w:color="auto" w:sz="8" w:space="0"/>
              <w:bottom w:val="single" w:color="auto" w:sz="4" w:space="0"/>
              <w:right w:val="single" w:color="auto" w:sz="8" w:space="0"/>
              <w:tl2br w:val="nil"/>
              <w:tr2bl w:val="nil"/>
            </w:tcBorders>
            <w:vAlign w:val="center"/>
          </w:tcPr>
          <w:p w14:paraId="56628C68">
            <w:pPr>
              <w:widowControl/>
              <w:adjustRightInd w:val="0"/>
              <w:snapToGrid w:val="0"/>
              <w:jc w:val="center"/>
              <w:rPr>
                <w:rFonts w:ascii="仿宋_GB2312" w:hAnsi="仿宋_GB2312" w:eastAsia="仿宋_GB2312" w:cs="仿宋_GB2312"/>
                <w:b/>
                <w:bCs/>
                <w:color w:val="000000"/>
                <w:kern w:val="0"/>
                <w:sz w:val="24"/>
              </w:rPr>
            </w:pPr>
            <w:r>
              <w:rPr>
                <w:rFonts w:hint="eastAsia" w:ascii="仿宋_GB2312" w:hAnsi="仿宋_GB2312" w:eastAsia="仿宋_GB2312" w:cs="仿宋_GB2312"/>
                <w:b/>
                <w:bCs/>
                <w:color w:val="000000"/>
                <w:kern w:val="0"/>
                <w:sz w:val="24"/>
              </w:rPr>
              <w:t>信息保密</w:t>
            </w:r>
          </w:p>
        </w:tc>
        <w:tc>
          <w:tcPr>
            <w:tcW w:w="7017" w:type="dxa"/>
            <w:gridSpan w:val="4"/>
            <w:tcBorders>
              <w:top w:val="single" w:color="auto" w:sz="8" w:space="0"/>
              <w:left w:val="nil"/>
              <w:bottom w:val="single" w:color="auto" w:sz="4" w:space="0"/>
              <w:right w:val="single" w:color="000000" w:sz="8" w:space="0"/>
              <w:tl2br w:val="nil"/>
              <w:tr2bl w:val="nil"/>
            </w:tcBorders>
            <w:vAlign w:val="center"/>
          </w:tcPr>
          <w:p w14:paraId="7597DFBA">
            <w:pPr>
              <w:widowControl/>
              <w:spacing w:line="360" w:lineRule="auto"/>
              <w:rPr>
                <w:rFonts w:ascii="宋体" w:hAnsi="宋体" w:cs="宋体"/>
                <w:bCs/>
                <w:color w:val="000000"/>
                <w:kern w:val="0"/>
                <w:sz w:val="24"/>
              </w:rPr>
            </w:pPr>
            <w:r>
              <w:rPr>
                <w:rFonts w:hint="eastAsia" w:ascii="宋体" w:hAnsi="宋体" w:cs="宋体"/>
                <w:bCs/>
                <w:color w:val="000000"/>
                <w:kern w:val="0"/>
                <w:sz w:val="24"/>
              </w:rPr>
              <w:t>受托方需严格遵守委托方有关信息安全的相关要求，需积极采取相关措施防止保密信息的复制、泄漏或遗失。</w:t>
            </w:r>
          </w:p>
        </w:tc>
      </w:tr>
      <w:tr w14:paraId="7F68A75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0" w:hRule="atLeast"/>
          <w:jc w:val="center"/>
        </w:trPr>
        <w:tc>
          <w:tcPr>
            <w:tcW w:w="1908" w:type="dxa"/>
            <w:tcBorders>
              <w:top w:val="single" w:color="auto" w:sz="4" w:space="0"/>
              <w:left w:val="single" w:color="auto" w:sz="8" w:space="0"/>
              <w:bottom w:val="single" w:color="auto" w:sz="4" w:space="0"/>
              <w:right w:val="single" w:color="auto" w:sz="8" w:space="0"/>
              <w:tl2br w:val="nil"/>
              <w:tr2bl w:val="nil"/>
            </w:tcBorders>
            <w:vAlign w:val="center"/>
          </w:tcPr>
          <w:p w14:paraId="7ADF8F73">
            <w:pPr>
              <w:widowControl/>
              <w:adjustRightInd w:val="0"/>
              <w:snapToGrid w:val="0"/>
              <w:jc w:val="center"/>
              <w:rPr>
                <w:rFonts w:ascii="仿宋_GB2312" w:hAnsi="仿宋_GB2312" w:eastAsia="仿宋_GB2312" w:cs="仿宋_GB2312"/>
                <w:b/>
                <w:bCs/>
                <w:color w:val="000000"/>
                <w:kern w:val="0"/>
                <w:sz w:val="24"/>
              </w:rPr>
            </w:pPr>
            <w:r>
              <w:rPr>
                <w:rFonts w:hint="eastAsia" w:ascii="仿宋_GB2312" w:hAnsi="仿宋_GB2312" w:eastAsia="仿宋_GB2312" w:cs="仿宋_GB2312"/>
                <w:b/>
                <w:bCs/>
                <w:color w:val="000000"/>
                <w:kern w:val="0"/>
                <w:sz w:val="24"/>
              </w:rPr>
              <w:t>其他要求</w:t>
            </w:r>
          </w:p>
        </w:tc>
        <w:tc>
          <w:tcPr>
            <w:tcW w:w="7017" w:type="dxa"/>
            <w:gridSpan w:val="4"/>
            <w:tcBorders>
              <w:top w:val="single" w:color="auto" w:sz="8" w:space="0"/>
              <w:left w:val="nil"/>
              <w:bottom w:val="single" w:color="auto" w:sz="4" w:space="0"/>
              <w:right w:val="single" w:color="000000" w:sz="8" w:space="0"/>
              <w:tl2br w:val="nil"/>
              <w:tr2bl w:val="nil"/>
            </w:tcBorders>
            <w:vAlign w:val="center"/>
          </w:tcPr>
          <w:p w14:paraId="26E64A7C">
            <w:pPr>
              <w:widowControl/>
              <w:spacing w:line="360" w:lineRule="auto"/>
              <w:rPr>
                <w:rFonts w:hint="eastAsia" w:ascii="宋体" w:hAnsi="宋体" w:eastAsia="仿宋" w:cs="宋体"/>
                <w:bCs/>
                <w:color w:val="000000"/>
                <w:kern w:val="0"/>
                <w:sz w:val="24"/>
                <w:lang w:eastAsia="zh-CN"/>
              </w:rPr>
            </w:pPr>
            <w:r>
              <w:rPr>
                <w:rFonts w:hint="eastAsia" w:ascii="宋体" w:hAnsi="宋体" w:cs="宋体"/>
                <w:bCs/>
                <w:color w:val="000000"/>
                <w:kern w:val="0"/>
                <w:sz w:val="24"/>
              </w:rPr>
              <w:t>如在项目实施过程中需要调整内容、进度等，需经委托方与受委托方双方共同确认，按合同变更程序办理</w:t>
            </w:r>
            <w:r>
              <w:rPr>
                <w:rFonts w:hint="eastAsia" w:ascii="宋体" w:hAnsi="宋体" w:cs="宋体"/>
                <w:bCs/>
                <w:color w:val="000000"/>
                <w:kern w:val="0"/>
                <w:sz w:val="24"/>
                <w:lang w:eastAsia="zh-CN"/>
              </w:rPr>
              <w:t>。</w:t>
            </w:r>
          </w:p>
        </w:tc>
      </w:tr>
      <w:tr w14:paraId="6F9E2D3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67" w:hRule="atLeast"/>
          <w:jc w:val="center"/>
        </w:trPr>
        <w:tc>
          <w:tcPr>
            <w:tcW w:w="8925" w:type="dxa"/>
            <w:gridSpan w:val="5"/>
            <w:tcBorders>
              <w:top w:val="single" w:color="auto" w:sz="4" w:space="0"/>
              <w:left w:val="single" w:color="auto" w:sz="8" w:space="0"/>
              <w:bottom w:val="single" w:color="auto" w:sz="8" w:space="0"/>
              <w:right w:val="single" w:color="000000" w:sz="8" w:space="0"/>
              <w:tl2br w:val="nil"/>
              <w:tr2bl w:val="nil"/>
            </w:tcBorders>
            <w:shd w:val="clear" w:color="000000" w:fill="E0E0E0"/>
            <w:vAlign w:val="center"/>
          </w:tcPr>
          <w:p w14:paraId="76772BA2">
            <w:pPr>
              <w:widowControl/>
              <w:spacing w:line="360" w:lineRule="auto"/>
              <w:jc w:val="center"/>
              <w:rPr>
                <w:rFonts w:ascii="仿宋_GB2312" w:hAnsi="仿宋_GB2312" w:eastAsia="仿宋_GB2312" w:cs="仿宋_GB2312"/>
                <w:b/>
                <w:bCs/>
                <w:color w:val="000000"/>
                <w:kern w:val="0"/>
                <w:sz w:val="24"/>
              </w:rPr>
            </w:pPr>
            <w:r>
              <w:rPr>
                <w:rFonts w:hint="eastAsia" w:ascii="仿宋_GB2312" w:hAnsi="仿宋_GB2312" w:eastAsia="仿宋_GB2312" w:cs="仿宋_GB2312"/>
                <w:b/>
                <w:bCs/>
                <w:color w:val="000000"/>
                <w:kern w:val="0"/>
                <w:sz w:val="24"/>
              </w:rPr>
              <w:t>签字栏</w:t>
            </w:r>
          </w:p>
        </w:tc>
      </w:tr>
      <w:tr w14:paraId="73F2C01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322" w:hRule="atLeast"/>
          <w:jc w:val="center"/>
        </w:trPr>
        <w:tc>
          <w:tcPr>
            <w:tcW w:w="4443" w:type="dxa"/>
            <w:gridSpan w:val="2"/>
            <w:tcBorders>
              <w:top w:val="single" w:color="auto" w:sz="4" w:space="0"/>
              <w:left w:val="single" w:color="auto" w:sz="8" w:space="0"/>
              <w:bottom w:val="single" w:color="auto" w:sz="4" w:space="0"/>
              <w:right w:val="single" w:color="auto" w:sz="4" w:space="0"/>
              <w:tl2br w:val="nil"/>
              <w:tr2bl w:val="nil"/>
            </w:tcBorders>
          </w:tcPr>
          <w:p w14:paraId="2B478D6F">
            <w:pPr>
              <w:widowControl/>
              <w:spacing w:line="360" w:lineRule="auto"/>
              <w:jc w:val="left"/>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 xml:space="preserve">委托方盖章：        </w:t>
            </w:r>
          </w:p>
          <w:p w14:paraId="4826D59C">
            <w:pPr>
              <w:widowControl/>
              <w:spacing w:line="360" w:lineRule="auto"/>
              <w:jc w:val="left"/>
              <w:rPr>
                <w:rFonts w:ascii="仿宋_GB2312" w:hAnsi="仿宋_GB2312" w:eastAsia="仿宋_GB2312" w:cs="仿宋_GB2312"/>
                <w:color w:val="000000"/>
                <w:kern w:val="0"/>
                <w:sz w:val="24"/>
              </w:rPr>
            </w:pPr>
          </w:p>
          <w:p w14:paraId="0530FCD4">
            <w:pPr>
              <w:widowControl/>
              <w:spacing w:line="360" w:lineRule="auto"/>
              <w:jc w:val="left"/>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 xml:space="preserve">项目经理： </w:t>
            </w:r>
          </w:p>
          <w:p w14:paraId="6449E918">
            <w:pPr>
              <w:widowControl/>
              <w:spacing w:line="360" w:lineRule="auto"/>
              <w:jc w:val="left"/>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日期：</w:t>
            </w:r>
          </w:p>
        </w:tc>
        <w:tc>
          <w:tcPr>
            <w:tcW w:w="4482" w:type="dxa"/>
            <w:gridSpan w:val="3"/>
            <w:tcBorders>
              <w:top w:val="single" w:color="auto" w:sz="4" w:space="0"/>
              <w:left w:val="single" w:color="auto" w:sz="4" w:space="0"/>
              <w:bottom w:val="single" w:color="auto" w:sz="4" w:space="0"/>
              <w:right w:val="single" w:color="000000" w:sz="8" w:space="0"/>
              <w:tl2br w:val="nil"/>
              <w:tr2bl w:val="nil"/>
            </w:tcBorders>
          </w:tcPr>
          <w:p w14:paraId="1641FFB2">
            <w:pPr>
              <w:widowControl/>
              <w:spacing w:line="360" w:lineRule="auto"/>
              <w:jc w:val="left"/>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 xml:space="preserve">受托方盖章：        </w:t>
            </w:r>
          </w:p>
          <w:p w14:paraId="60169ED3">
            <w:pPr>
              <w:widowControl/>
              <w:spacing w:line="360" w:lineRule="auto"/>
              <w:jc w:val="left"/>
              <w:rPr>
                <w:rFonts w:ascii="仿宋_GB2312" w:hAnsi="仿宋_GB2312" w:eastAsia="仿宋_GB2312" w:cs="仿宋_GB2312"/>
                <w:color w:val="000000"/>
                <w:kern w:val="0"/>
                <w:sz w:val="24"/>
              </w:rPr>
            </w:pPr>
          </w:p>
          <w:p w14:paraId="65072929">
            <w:pPr>
              <w:widowControl/>
              <w:spacing w:line="360" w:lineRule="auto"/>
              <w:jc w:val="left"/>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项目经理：</w:t>
            </w:r>
          </w:p>
          <w:p w14:paraId="536CBAB3">
            <w:pPr>
              <w:widowControl/>
              <w:spacing w:line="360" w:lineRule="auto"/>
              <w:jc w:val="left"/>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日期：</w:t>
            </w:r>
          </w:p>
        </w:tc>
      </w:tr>
    </w:tbl>
    <w:p w14:paraId="7A12CC0A">
      <w:pPr>
        <w:rPr>
          <w:rFonts w:hint="default" w:ascii="宋体" w:hAnsi="宋体" w:cs="宋体"/>
          <w:bCs/>
          <w:color w:val="000000"/>
          <w:kern w:val="0"/>
          <w:sz w:val="24"/>
          <w:szCs w:val="24"/>
          <w:highlight w:val="none"/>
          <w:lang w:val="en-US" w:eastAsia="zh-CN" w:bidi="ar-S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1" w:fontKey="{E47D0350-B879-44DD-AABF-C98644E1A386}"/>
  </w:font>
  <w:font w:name="Arial Unicode MS">
    <w:altName w:val="宋体"/>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方正书宋_GBK">
    <w:altName w:val="微软雅黑"/>
    <w:panose1 w:val="02000000000000000000"/>
    <w:charset w:val="86"/>
    <w:family w:val="auto"/>
    <w:pitch w:val="default"/>
    <w:sig w:usb0="00000000" w:usb1="00000000" w:usb2="00082016" w:usb3="00000000" w:csb0="00040001" w:csb1="00000000"/>
  </w:font>
  <w:font w:name="微软雅黑">
    <w:panose1 w:val="020B0503020204020204"/>
    <w:charset w:val="86"/>
    <w:family w:val="auto"/>
    <w:pitch w:val="default"/>
    <w:sig w:usb0="80000287" w:usb1="2ACF3C50" w:usb2="00000016" w:usb3="00000000" w:csb0="0004001F" w:csb1="00000000"/>
  </w:font>
  <w:font w:name="方正小标宋_GBK">
    <w:panose1 w:val="03000509000000000000"/>
    <w:charset w:val="86"/>
    <w:family w:val="script"/>
    <w:pitch w:val="default"/>
    <w:sig w:usb0="00000001" w:usb1="080E0000" w:usb2="00000000" w:usb3="00000000" w:csb0="00040000" w:csb1="00000000"/>
    <w:embedRegular r:id="rId2" w:fontKey="{588A6538-FD4B-439C-A0D7-C47811060C87}"/>
  </w:font>
  <w:font w:name="仿宋_GB2312">
    <w:panose1 w:val="02010609030101010101"/>
    <w:charset w:val="86"/>
    <w:family w:val="modern"/>
    <w:pitch w:val="default"/>
    <w:sig w:usb0="00000001" w:usb1="080E0000" w:usb2="00000000" w:usb3="00000000" w:csb0="00040000" w:csb1="00000000"/>
    <w:embedRegular r:id="rId3" w:fontKey="{1DCBAAA6-9B2A-458F-8C88-FF33429B5A31}"/>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AAB4A54"/>
    <w:multiLevelType w:val="singleLevel"/>
    <w:tmpl w:val="5AAB4A54"/>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MyYmI5YTQ1NzMyZjAzYzU3NWY3ZDE5YTA0NTdmNzgifQ=="/>
  </w:docVars>
  <w:rsids>
    <w:rsidRoot w:val="24F9706B"/>
    <w:rsid w:val="000B4AD8"/>
    <w:rsid w:val="00197EC1"/>
    <w:rsid w:val="004702AF"/>
    <w:rsid w:val="004752EE"/>
    <w:rsid w:val="004F351D"/>
    <w:rsid w:val="00590307"/>
    <w:rsid w:val="005B08BA"/>
    <w:rsid w:val="00643D96"/>
    <w:rsid w:val="007209A8"/>
    <w:rsid w:val="007C117C"/>
    <w:rsid w:val="00A3323D"/>
    <w:rsid w:val="00B60F26"/>
    <w:rsid w:val="00BA222A"/>
    <w:rsid w:val="00C31468"/>
    <w:rsid w:val="00C7386E"/>
    <w:rsid w:val="00CC1B97"/>
    <w:rsid w:val="00DD6FC1"/>
    <w:rsid w:val="01786972"/>
    <w:rsid w:val="02BB280A"/>
    <w:rsid w:val="02F77A54"/>
    <w:rsid w:val="039629FA"/>
    <w:rsid w:val="03D31D81"/>
    <w:rsid w:val="03E41F47"/>
    <w:rsid w:val="044668E8"/>
    <w:rsid w:val="0453297C"/>
    <w:rsid w:val="05716D2E"/>
    <w:rsid w:val="07B609D3"/>
    <w:rsid w:val="09E064D9"/>
    <w:rsid w:val="09F771B4"/>
    <w:rsid w:val="0B2C01C1"/>
    <w:rsid w:val="0BD768EB"/>
    <w:rsid w:val="0C79714F"/>
    <w:rsid w:val="0ED85EC8"/>
    <w:rsid w:val="0F6B5923"/>
    <w:rsid w:val="0FA20C21"/>
    <w:rsid w:val="0FF34501"/>
    <w:rsid w:val="121865DB"/>
    <w:rsid w:val="122D7651"/>
    <w:rsid w:val="1230056E"/>
    <w:rsid w:val="1235718D"/>
    <w:rsid w:val="125B7990"/>
    <w:rsid w:val="12C4249A"/>
    <w:rsid w:val="14760BCF"/>
    <w:rsid w:val="14F41582"/>
    <w:rsid w:val="152516E2"/>
    <w:rsid w:val="15B912F9"/>
    <w:rsid w:val="15D41D2A"/>
    <w:rsid w:val="163561B7"/>
    <w:rsid w:val="16387670"/>
    <w:rsid w:val="17494D6B"/>
    <w:rsid w:val="176C3F7D"/>
    <w:rsid w:val="183B1EFF"/>
    <w:rsid w:val="18544E0A"/>
    <w:rsid w:val="192D7FB2"/>
    <w:rsid w:val="19E7079D"/>
    <w:rsid w:val="1B3904C6"/>
    <w:rsid w:val="1D2562CD"/>
    <w:rsid w:val="1D755A40"/>
    <w:rsid w:val="20383E44"/>
    <w:rsid w:val="20C80BEE"/>
    <w:rsid w:val="23A54CBD"/>
    <w:rsid w:val="24F9706B"/>
    <w:rsid w:val="28B1694E"/>
    <w:rsid w:val="29264597"/>
    <w:rsid w:val="294A647B"/>
    <w:rsid w:val="29A65F61"/>
    <w:rsid w:val="2A233568"/>
    <w:rsid w:val="2B2039A8"/>
    <w:rsid w:val="2D780364"/>
    <w:rsid w:val="2DC53B5B"/>
    <w:rsid w:val="2E02784C"/>
    <w:rsid w:val="2EAA73D1"/>
    <w:rsid w:val="2F4D1608"/>
    <w:rsid w:val="2F8512FC"/>
    <w:rsid w:val="2FA64CBD"/>
    <w:rsid w:val="30BF6A04"/>
    <w:rsid w:val="319A0963"/>
    <w:rsid w:val="31D2210F"/>
    <w:rsid w:val="323C6630"/>
    <w:rsid w:val="34025142"/>
    <w:rsid w:val="343206CD"/>
    <w:rsid w:val="34D7472C"/>
    <w:rsid w:val="34E00513"/>
    <w:rsid w:val="34FB4819"/>
    <w:rsid w:val="37801DF5"/>
    <w:rsid w:val="37BF107B"/>
    <w:rsid w:val="387233BC"/>
    <w:rsid w:val="393A3893"/>
    <w:rsid w:val="396665B7"/>
    <w:rsid w:val="39E14BE9"/>
    <w:rsid w:val="3A37677D"/>
    <w:rsid w:val="3ABF6520"/>
    <w:rsid w:val="3CF0459A"/>
    <w:rsid w:val="3D664A6E"/>
    <w:rsid w:val="3E801EFA"/>
    <w:rsid w:val="3EC01071"/>
    <w:rsid w:val="3F1274D4"/>
    <w:rsid w:val="3F2C205E"/>
    <w:rsid w:val="3FDB2310"/>
    <w:rsid w:val="4059610A"/>
    <w:rsid w:val="407D603A"/>
    <w:rsid w:val="4209139F"/>
    <w:rsid w:val="42895730"/>
    <w:rsid w:val="43373012"/>
    <w:rsid w:val="448859A8"/>
    <w:rsid w:val="44C157DB"/>
    <w:rsid w:val="44FF7D2B"/>
    <w:rsid w:val="457F13D0"/>
    <w:rsid w:val="45BE0D44"/>
    <w:rsid w:val="45E46FE6"/>
    <w:rsid w:val="464B047B"/>
    <w:rsid w:val="465678CD"/>
    <w:rsid w:val="468D4044"/>
    <w:rsid w:val="48520195"/>
    <w:rsid w:val="4866151D"/>
    <w:rsid w:val="4884791C"/>
    <w:rsid w:val="4AE67891"/>
    <w:rsid w:val="4B5764E3"/>
    <w:rsid w:val="4B6575A8"/>
    <w:rsid w:val="4BA15123"/>
    <w:rsid w:val="4DAC5AD3"/>
    <w:rsid w:val="4E1B68CB"/>
    <w:rsid w:val="4E602391"/>
    <w:rsid w:val="4E660AF6"/>
    <w:rsid w:val="53596514"/>
    <w:rsid w:val="54AB2E5B"/>
    <w:rsid w:val="55563938"/>
    <w:rsid w:val="559E4683"/>
    <w:rsid w:val="55F9510E"/>
    <w:rsid w:val="5695511C"/>
    <w:rsid w:val="56C3025D"/>
    <w:rsid w:val="575415EF"/>
    <w:rsid w:val="57CD685E"/>
    <w:rsid w:val="588A5CAA"/>
    <w:rsid w:val="58A22133"/>
    <w:rsid w:val="58D465D2"/>
    <w:rsid w:val="592C3B84"/>
    <w:rsid w:val="59FE40EB"/>
    <w:rsid w:val="5A7964B4"/>
    <w:rsid w:val="5B473456"/>
    <w:rsid w:val="5D0016A0"/>
    <w:rsid w:val="5DB56D93"/>
    <w:rsid w:val="5E2F3ED8"/>
    <w:rsid w:val="5E6A4565"/>
    <w:rsid w:val="5EC52081"/>
    <w:rsid w:val="5EEA1EDB"/>
    <w:rsid w:val="5F6A425E"/>
    <w:rsid w:val="60C63177"/>
    <w:rsid w:val="61CE249F"/>
    <w:rsid w:val="62011D99"/>
    <w:rsid w:val="625C634F"/>
    <w:rsid w:val="62B0589E"/>
    <w:rsid w:val="63B86D89"/>
    <w:rsid w:val="63C94418"/>
    <w:rsid w:val="64291E80"/>
    <w:rsid w:val="65473841"/>
    <w:rsid w:val="666C4584"/>
    <w:rsid w:val="66A0537E"/>
    <w:rsid w:val="675833DC"/>
    <w:rsid w:val="675C2DDE"/>
    <w:rsid w:val="690516AC"/>
    <w:rsid w:val="698F5C56"/>
    <w:rsid w:val="6A7F011B"/>
    <w:rsid w:val="6A963457"/>
    <w:rsid w:val="6B573EC0"/>
    <w:rsid w:val="6C060AF4"/>
    <w:rsid w:val="6C3F37FE"/>
    <w:rsid w:val="6D3F73E7"/>
    <w:rsid w:val="6E601250"/>
    <w:rsid w:val="6F5A6783"/>
    <w:rsid w:val="71DB24B1"/>
    <w:rsid w:val="723D5B6F"/>
    <w:rsid w:val="74A7141D"/>
    <w:rsid w:val="74D32FFF"/>
    <w:rsid w:val="751504A2"/>
    <w:rsid w:val="754662CB"/>
    <w:rsid w:val="756B7FA8"/>
    <w:rsid w:val="76C02894"/>
    <w:rsid w:val="77FB4464"/>
    <w:rsid w:val="78BB10DB"/>
    <w:rsid w:val="7AF4019D"/>
    <w:rsid w:val="7BFC1E52"/>
    <w:rsid w:val="7C1E5FB5"/>
    <w:rsid w:val="7C2C2423"/>
    <w:rsid w:val="7D5C593B"/>
    <w:rsid w:val="7D774D6B"/>
    <w:rsid w:val="7E1D1746"/>
    <w:rsid w:val="7EA47CF8"/>
    <w:rsid w:val="7FA801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仿宋" w:cs="Times New Roman"/>
      <w:kern w:val="2"/>
      <w:sz w:val="32"/>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qFormat/>
    <w:uiPriority w:val="0"/>
    <w:pPr>
      <w:jc w:val="left"/>
    </w:pPr>
  </w:style>
  <w:style w:type="paragraph" w:styleId="4">
    <w:name w:val="Body Text"/>
    <w:basedOn w:val="1"/>
    <w:next w:val="5"/>
    <w:qFormat/>
    <w:uiPriority w:val="0"/>
    <w:pPr>
      <w:spacing w:after="120"/>
    </w:pPr>
    <w:rPr>
      <w:sz w:val="21"/>
    </w:rPr>
  </w:style>
  <w:style w:type="paragraph" w:styleId="5">
    <w:name w:val="Title"/>
    <w:basedOn w:val="1"/>
    <w:next w:val="1"/>
    <w:qFormat/>
    <w:uiPriority w:val="0"/>
    <w:pPr>
      <w:spacing w:before="240" w:after="60"/>
      <w:jc w:val="center"/>
      <w:outlineLvl w:val="0"/>
    </w:pPr>
    <w:rPr>
      <w:rFonts w:ascii="Arial" w:hAnsi="Arial" w:cs="Arial"/>
      <w:b/>
      <w:bCs/>
      <w:szCs w:val="32"/>
    </w:rPr>
  </w:style>
  <w:style w:type="paragraph" w:styleId="6">
    <w:name w:val="footer"/>
    <w:basedOn w:val="1"/>
    <w:link w:val="12"/>
    <w:qFormat/>
    <w:uiPriority w:val="0"/>
    <w:pPr>
      <w:tabs>
        <w:tab w:val="center" w:pos="4153"/>
        <w:tab w:val="right" w:pos="8306"/>
      </w:tabs>
      <w:snapToGrid w:val="0"/>
      <w:jc w:val="left"/>
    </w:pPr>
    <w:rPr>
      <w:sz w:val="18"/>
      <w:szCs w:val="18"/>
    </w:rPr>
  </w:style>
  <w:style w:type="paragraph" w:styleId="7">
    <w:name w:val="header"/>
    <w:basedOn w:val="1"/>
    <w:link w:val="11"/>
    <w:qFormat/>
    <w:uiPriority w:val="0"/>
    <w:pPr>
      <w:pBdr>
        <w:bottom w:val="single" w:color="auto" w:sz="6" w:space="1"/>
      </w:pBdr>
      <w:tabs>
        <w:tab w:val="center" w:pos="4153"/>
        <w:tab w:val="right" w:pos="8306"/>
      </w:tabs>
      <w:snapToGrid w:val="0"/>
      <w:jc w:val="center"/>
    </w:pPr>
    <w:rPr>
      <w:sz w:val="18"/>
      <w:szCs w:val="18"/>
    </w:rPr>
  </w:style>
  <w:style w:type="character" w:styleId="10">
    <w:name w:val="Strong"/>
    <w:basedOn w:val="9"/>
    <w:qFormat/>
    <w:uiPriority w:val="0"/>
    <w:rPr>
      <w:b/>
    </w:rPr>
  </w:style>
  <w:style w:type="character" w:customStyle="1" w:styleId="11">
    <w:name w:val="页眉 字符"/>
    <w:basedOn w:val="9"/>
    <w:link w:val="7"/>
    <w:qFormat/>
    <w:uiPriority w:val="0"/>
    <w:rPr>
      <w:rFonts w:ascii="Calibri" w:hAnsi="Calibri" w:eastAsia="仿宋" w:cs="Times New Roman"/>
      <w:kern w:val="2"/>
      <w:sz w:val="18"/>
      <w:szCs w:val="18"/>
    </w:rPr>
  </w:style>
  <w:style w:type="character" w:customStyle="1" w:styleId="12">
    <w:name w:val="页脚 字符"/>
    <w:basedOn w:val="9"/>
    <w:link w:val="6"/>
    <w:qFormat/>
    <w:uiPriority w:val="0"/>
    <w:rPr>
      <w:rFonts w:ascii="Calibri" w:hAnsi="Calibri" w:eastAsia="仿宋" w:cs="Times New Roman"/>
      <w:kern w:val="2"/>
      <w:sz w:val="18"/>
      <w:szCs w:val="18"/>
    </w:rPr>
  </w:style>
  <w:style w:type="paragraph" w:customStyle="1" w:styleId="13">
    <w:name w:val="Char Char"/>
    <w:qFormat/>
    <w:uiPriority w:val="0"/>
    <w:pPr>
      <w:widowControl w:val="0"/>
      <w:jc w:val="both"/>
    </w:pPr>
    <w:rPr>
      <w:rFonts w:hint="eastAsia" w:ascii="Arial Unicode MS" w:hAnsi="Arial Unicode MS" w:eastAsia="Tahoma" w:cs="Arial Unicode MS"/>
      <w:color w:val="000000"/>
      <w:kern w:val="2"/>
      <w:sz w:val="24"/>
      <w:szCs w:val="24"/>
      <w:lang w:val="en-US" w:eastAsia="zh-CN" w:bidi="ar-SA"/>
    </w:rPr>
  </w:style>
  <w:style w:type="paragraph" w:styleId="14">
    <w:name w:val="List Paragraph"/>
    <w:basedOn w:val="1"/>
    <w:qFormat/>
    <w:uiPriority w:val="99"/>
    <w:pPr>
      <w:ind w:firstLine="420" w:firstLineChars="200"/>
    </w:pPr>
  </w:style>
  <w:style w:type="character" w:customStyle="1" w:styleId="15">
    <w:name w:val="font11"/>
    <w:basedOn w:val="9"/>
    <w:qFormat/>
    <w:uiPriority w:val="0"/>
    <w:rPr>
      <w:rFonts w:hint="default" w:ascii="Times New Roman" w:hAnsi="Times New Roman" w:cs="Times New Roman"/>
      <w:b/>
      <w:bCs/>
      <w:color w:val="000000"/>
      <w:sz w:val="42"/>
      <w:szCs w:val="42"/>
      <w:u w:val="none"/>
    </w:rPr>
  </w:style>
  <w:style w:type="character" w:customStyle="1" w:styleId="16">
    <w:name w:val="font21"/>
    <w:basedOn w:val="9"/>
    <w:qFormat/>
    <w:uiPriority w:val="0"/>
    <w:rPr>
      <w:rFonts w:hint="eastAsia" w:ascii="仿宋" w:hAnsi="仿宋" w:eastAsia="仿宋" w:cs="仿宋"/>
      <w:b/>
      <w:bCs/>
      <w:color w:val="000000"/>
      <w:sz w:val="42"/>
      <w:szCs w:val="42"/>
      <w:u w:val="none"/>
    </w:rPr>
  </w:style>
  <w:style w:type="character" w:customStyle="1" w:styleId="17">
    <w:name w:val="font91"/>
    <w:basedOn w:val="9"/>
    <w:qFormat/>
    <w:uiPriority w:val="0"/>
    <w:rPr>
      <w:rFonts w:hint="default" w:ascii="Times New Roman" w:hAnsi="Times New Roman" w:cs="Times New Roman"/>
      <w:color w:val="000000"/>
      <w:sz w:val="22"/>
      <w:szCs w:val="22"/>
      <w:u w:val="none"/>
    </w:rPr>
  </w:style>
  <w:style w:type="character" w:customStyle="1" w:styleId="18">
    <w:name w:val="font81"/>
    <w:basedOn w:val="9"/>
    <w:qFormat/>
    <w:uiPriority w:val="0"/>
    <w:rPr>
      <w:rFonts w:hint="eastAsia" w:ascii="宋体" w:hAnsi="宋体" w:eastAsia="宋体" w:cs="宋体"/>
      <w:color w:val="000000"/>
      <w:sz w:val="22"/>
      <w:szCs w:val="22"/>
      <w:u w:val="none"/>
    </w:rPr>
  </w:style>
  <w:style w:type="character" w:customStyle="1" w:styleId="19">
    <w:name w:val="font101"/>
    <w:basedOn w:val="9"/>
    <w:qFormat/>
    <w:uiPriority w:val="0"/>
    <w:rPr>
      <w:rFonts w:hint="default" w:ascii="方正书宋_GBK" w:hAnsi="方正书宋_GBK" w:eastAsia="方正书宋_GBK" w:cs="方正书宋_GBK"/>
      <w:color w:val="000000"/>
      <w:sz w:val="22"/>
      <w:szCs w:val="22"/>
      <w:u w:val="none"/>
    </w:rPr>
  </w:style>
  <w:style w:type="character" w:customStyle="1" w:styleId="20">
    <w:name w:val="font112"/>
    <w:basedOn w:val="9"/>
    <w:qFormat/>
    <w:uiPriority w:val="0"/>
    <w:rPr>
      <w:rFonts w:hint="default" w:ascii="Times New Roman" w:hAnsi="Times New Roman" w:cs="Times New Roman"/>
      <w:b/>
      <w:bCs/>
      <w:color w:val="000000"/>
      <w:sz w:val="22"/>
      <w:szCs w:val="22"/>
      <w:u w:val="none"/>
    </w:rPr>
  </w:style>
  <w:style w:type="character" w:customStyle="1" w:styleId="21">
    <w:name w:val="font161"/>
    <w:basedOn w:val="9"/>
    <w:qFormat/>
    <w:uiPriority w:val="0"/>
    <w:rPr>
      <w:rFonts w:hint="default" w:ascii="方正书宋_GBK" w:hAnsi="方正书宋_GBK" w:eastAsia="方正书宋_GBK" w:cs="方正书宋_GBK"/>
      <w:b/>
      <w:bCs/>
      <w:color w:val="000000"/>
      <w:sz w:val="22"/>
      <w:szCs w:val="22"/>
      <w:u w:val="none"/>
    </w:rPr>
  </w:style>
  <w:style w:type="character" w:customStyle="1" w:styleId="22">
    <w:name w:val="font121"/>
    <w:basedOn w:val="9"/>
    <w:qFormat/>
    <w:uiPriority w:val="0"/>
    <w:rPr>
      <w:rFonts w:hint="default" w:ascii="Times New Roman" w:hAnsi="Times New Roman" w:cs="Times New Roman"/>
      <w:color w:val="000000"/>
      <w:sz w:val="22"/>
      <w:szCs w:val="22"/>
      <w:u w:val="none"/>
    </w:rPr>
  </w:style>
  <w:style w:type="character" w:customStyle="1" w:styleId="23">
    <w:name w:val="font131"/>
    <w:basedOn w:val="9"/>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597</Words>
  <Characters>651</Characters>
  <Lines>13</Lines>
  <Paragraphs>3</Paragraphs>
  <TotalTime>9</TotalTime>
  <ScaleCrop>false</ScaleCrop>
  <LinksUpToDate>false</LinksUpToDate>
  <CharactersWithSpaces>674</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2024-06-19T00:56:00Z</dcterms:created>
  <dc:creator>吴丽蓉</dc:creator>
  <cp:lastModifiedBy>LX</cp:lastModifiedBy>
  <dcterms:modified xsi:type="dcterms:W3CDTF">2026-06-01T09:30:45Z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8FCE37E7C8C34AEFA1DB89AB347B368C_13</vt:lpwstr>
  </property>
  <property fmtid="{D5CDD505-2E9C-101B-9397-08002B2CF9AE}" pid="4" name="KSOTemplateDocerSaveRecord">
    <vt:lpwstr>eyJoZGlkIjoiOTM0NmRlNTNiOTRmZmVlNDUzMWFkZjM0MzBjM2M4MDAiLCJ1c2VySWQiOiIzMDI1NzE4MTAifQ==</vt:lpwstr>
  </property>
</Properties>
</file>