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B0EA00">
      <w:pPr>
        <w:spacing w:line="360" w:lineRule="auto"/>
        <w:jc w:val="center"/>
        <w:rPr>
          <w:rFonts w:hint="eastAsia" w:ascii="宋体" w:hAnsi="宋体" w:cs="宋体"/>
          <w:b/>
          <w:bCs/>
          <w:kern w:val="0"/>
          <w:sz w:val="32"/>
          <w:szCs w:val="32"/>
        </w:rPr>
      </w:pPr>
      <w:bookmarkStart w:id="0" w:name="_Toc24967"/>
      <w:bookmarkStart w:id="5" w:name="_GoBack"/>
      <w:r>
        <w:rPr>
          <w:rFonts w:hint="eastAsia" w:ascii="宋体" w:hAnsi="宋体" w:cs="宋体"/>
          <w:b/>
          <w:bCs/>
          <w:kern w:val="0"/>
          <w:sz w:val="36"/>
          <w:szCs w:val="36"/>
        </w:rPr>
        <w:t>韶关局</w:t>
      </w:r>
      <w:r>
        <w:rPr>
          <w:rFonts w:hint="eastAsia" w:ascii="宋体" w:hAnsi="宋体" w:cs="宋体"/>
          <w:b/>
          <w:bCs/>
          <w:kern w:val="0"/>
          <w:sz w:val="36"/>
          <w:szCs w:val="36"/>
          <w:lang w:val="en-US" w:eastAsia="zh-CN"/>
        </w:rPr>
        <w:t>管理创新项目</w:t>
      </w:r>
      <w:r>
        <w:rPr>
          <w:rFonts w:hint="eastAsia" w:ascii="宋体" w:hAnsi="宋体" w:cs="宋体"/>
          <w:b/>
          <w:bCs/>
          <w:kern w:val="0"/>
          <w:sz w:val="36"/>
          <w:szCs w:val="36"/>
        </w:rPr>
        <w:t>【</w:t>
      </w:r>
      <w:r>
        <w:rPr>
          <w:rFonts w:hint="eastAsia" w:ascii="宋体" w:hAnsi="宋体" w:cs="宋体"/>
          <w:b/>
          <w:bCs/>
          <w:kern w:val="0"/>
          <w:sz w:val="36"/>
          <w:szCs w:val="36"/>
          <w:lang w:val="en-US" w:eastAsia="zh-CN"/>
        </w:rPr>
        <w:t>基于数据穿透的四个生产指挥体系优化研究与实践</w:t>
      </w:r>
      <w:r>
        <w:rPr>
          <w:rFonts w:hint="eastAsia" w:ascii="宋体" w:hAnsi="宋体" w:cs="宋体"/>
          <w:b/>
          <w:bCs/>
          <w:kern w:val="0"/>
          <w:sz w:val="36"/>
          <w:szCs w:val="36"/>
        </w:rPr>
        <w:t>】</w:t>
      </w:r>
      <w:r>
        <w:rPr>
          <w:rFonts w:hint="eastAsia" w:ascii="宋体" w:hAnsi="宋体" w:cs="宋体"/>
          <w:b/>
          <w:bCs/>
          <w:kern w:val="0"/>
          <w:sz w:val="36"/>
          <w:szCs w:val="36"/>
          <w:lang w:val="en-US" w:eastAsia="zh-CN"/>
        </w:rPr>
        <w:t>专著</w:t>
      </w:r>
      <w:r>
        <w:rPr>
          <w:rFonts w:hint="eastAsia" w:ascii="宋体" w:hAnsi="宋体" w:cs="宋体"/>
          <w:b/>
          <w:bCs/>
          <w:kern w:val="0"/>
          <w:sz w:val="36"/>
          <w:szCs w:val="36"/>
        </w:rPr>
        <w:t>服务项目采购技术文件</w:t>
      </w:r>
      <w:bookmarkEnd w:id="5"/>
    </w:p>
    <w:p w14:paraId="5F2B887B">
      <w:pPr>
        <w:numPr>
          <w:ilvl w:val="0"/>
          <w:numId w:val="1"/>
        </w:numPr>
        <w:adjustRightInd w:val="0"/>
        <w:spacing w:before="156" w:beforeLines="50" w:after="156" w:afterLines="50" w:line="360" w:lineRule="auto"/>
        <w:ind w:left="0" w:firstLine="482" w:firstLineChars="200"/>
        <w:contextualSpacing/>
        <w:outlineLvl w:val="1"/>
        <w:rPr>
          <w:rFonts w:hint="eastAsia" w:ascii="宋体" w:hAnsi="宋体"/>
          <w:b/>
          <w:sz w:val="24"/>
        </w:rPr>
      </w:pPr>
      <w:r>
        <w:rPr>
          <w:rFonts w:hint="eastAsia" w:ascii="宋体" w:hAnsi="宋体"/>
          <w:b/>
          <w:sz w:val="24"/>
        </w:rPr>
        <w:t>项目概况</w:t>
      </w:r>
      <w:bookmarkEnd w:id="0"/>
    </w:p>
    <w:p w14:paraId="7448AE91">
      <w:pPr>
        <w:spacing w:line="360" w:lineRule="auto"/>
        <w:ind w:firstLine="480" w:firstLineChars="200"/>
        <w:rPr>
          <w:rFonts w:hint="eastAsia" w:ascii="宋体" w:hAnsi="宋体"/>
          <w:sz w:val="24"/>
        </w:rPr>
      </w:pPr>
      <w:r>
        <w:rPr>
          <w:rFonts w:hint="eastAsia" w:ascii="宋体" w:hAnsi="宋体"/>
          <w:sz w:val="24"/>
        </w:rPr>
        <w:t>1.项目名称：韶关局</w:t>
      </w:r>
      <w:r>
        <w:rPr>
          <w:rFonts w:hint="eastAsia" w:ascii="宋体" w:hAnsi="宋体"/>
          <w:sz w:val="24"/>
          <w:lang w:val="en-US" w:eastAsia="zh-CN"/>
        </w:rPr>
        <w:t>管理创新</w:t>
      </w:r>
      <w:r>
        <w:rPr>
          <w:rFonts w:hint="eastAsia" w:ascii="宋体" w:hAnsi="宋体"/>
          <w:sz w:val="24"/>
        </w:rPr>
        <w:t>项目【基于数据穿透的四个生产指挥体系优化研究与实践】</w:t>
      </w:r>
      <w:r>
        <w:rPr>
          <w:rFonts w:hint="eastAsia" w:ascii="宋体" w:hAnsi="宋体"/>
          <w:sz w:val="24"/>
          <w:lang w:val="en-US" w:eastAsia="zh-CN"/>
        </w:rPr>
        <w:t>专著</w:t>
      </w:r>
      <w:r>
        <w:rPr>
          <w:rFonts w:hint="eastAsia" w:ascii="宋体" w:hAnsi="宋体"/>
          <w:sz w:val="24"/>
        </w:rPr>
        <w:t>服务项目采购。</w:t>
      </w:r>
    </w:p>
    <w:p w14:paraId="59770CBB">
      <w:pPr>
        <w:numPr>
          <w:ilvl w:val="0"/>
          <w:numId w:val="1"/>
        </w:numPr>
        <w:adjustRightInd w:val="0"/>
        <w:spacing w:before="156" w:beforeLines="50" w:after="156" w:afterLines="50" w:line="360" w:lineRule="auto"/>
        <w:ind w:left="0" w:firstLine="482" w:firstLineChars="200"/>
        <w:contextualSpacing/>
        <w:outlineLvl w:val="1"/>
        <w:rPr>
          <w:rFonts w:hint="eastAsia" w:ascii="宋体" w:hAnsi="宋体"/>
          <w:b/>
          <w:sz w:val="24"/>
          <w:highlight w:val="none"/>
        </w:rPr>
      </w:pPr>
      <w:bookmarkStart w:id="1" w:name="_Toc6285"/>
      <w:r>
        <w:rPr>
          <w:rFonts w:hint="eastAsia" w:ascii="宋体" w:hAnsi="宋体"/>
          <w:b/>
          <w:sz w:val="24"/>
          <w:highlight w:val="none"/>
        </w:rPr>
        <w:t>服务范围</w:t>
      </w:r>
      <w:bookmarkEnd w:id="1"/>
    </w:p>
    <w:p w14:paraId="2267EDD6">
      <w:pPr>
        <w:spacing w:line="360" w:lineRule="auto"/>
        <w:ind w:firstLine="480" w:firstLineChars="200"/>
        <w:rPr>
          <w:rFonts w:hint="eastAsia" w:ascii="宋体" w:hAnsi="宋体"/>
          <w:sz w:val="24"/>
          <w:highlight w:val="none"/>
        </w:rPr>
      </w:pPr>
      <w:r>
        <w:rPr>
          <w:rFonts w:hint="eastAsia" w:ascii="宋体" w:hAnsi="宋体"/>
          <w:sz w:val="24"/>
          <w:highlight w:val="none"/>
        </w:rPr>
        <w:t>完成《基于数据穿透的四个生产指挥体系优化研究与实践》专著服务</w:t>
      </w:r>
      <w:r>
        <w:rPr>
          <w:rFonts w:hint="eastAsia" w:ascii="宋体" w:hAnsi="宋体"/>
          <w:sz w:val="24"/>
          <w:highlight w:val="none"/>
          <w:lang w:eastAsia="zh-CN"/>
        </w:rPr>
        <w:t>，</w:t>
      </w:r>
      <w:r>
        <w:rPr>
          <w:rFonts w:hint="eastAsia" w:ascii="宋体" w:hAnsi="宋体"/>
          <w:sz w:val="24"/>
          <w:highlight w:val="none"/>
        </w:rPr>
        <w:t>主要包括但不限于：</w:t>
      </w:r>
    </w:p>
    <w:p w14:paraId="076CA6A0">
      <w:pPr>
        <w:spacing w:line="360" w:lineRule="auto"/>
        <w:ind w:firstLine="480" w:firstLineChars="200"/>
        <w:rPr>
          <w:rFonts w:hint="eastAsia" w:ascii="宋体" w:hAnsi="宋体"/>
          <w:sz w:val="24"/>
          <w:highlight w:val="none"/>
        </w:rPr>
      </w:pPr>
      <w:r>
        <w:rPr>
          <w:rFonts w:hint="eastAsia" w:ascii="宋体" w:hAnsi="宋体"/>
          <w:sz w:val="24"/>
          <w:highlight w:val="none"/>
        </w:rPr>
        <w:t>（1）组织专业人才力量指导本书籍的规划与编写，确保无政治性、导向性问题，确保技术内容科学、正确。</w:t>
      </w:r>
    </w:p>
    <w:p w14:paraId="18F57E47">
      <w:pPr>
        <w:spacing w:line="360" w:lineRule="auto"/>
        <w:ind w:firstLine="480" w:firstLineChars="200"/>
        <w:rPr>
          <w:rFonts w:hint="eastAsia" w:ascii="宋体" w:hAnsi="宋体"/>
          <w:sz w:val="24"/>
          <w:highlight w:val="none"/>
        </w:rPr>
      </w:pPr>
      <w:r>
        <w:rPr>
          <w:rFonts w:hint="eastAsia" w:ascii="宋体" w:hAnsi="宋体"/>
          <w:sz w:val="24"/>
          <w:highlight w:val="none"/>
        </w:rPr>
        <w:t>（2）根据新闻出版署的出版编校质量要求和编辑工作规范，对</w:t>
      </w:r>
      <w:r>
        <w:rPr>
          <w:rFonts w:hint="eastAsia" w:ascii="宋体" w:hAnsi="宋体"/>
          <w:sz w:val="24"/>
          <w:highlight w:val="none"/>
          <w:lang w:val="en-US" w:eastAsia="zh-CN"/>
        </w:rPr>
        <w:t>作者提交</w:t>
      </w:r>
      <w:r>
        <w:rPr>
          <w:rFonts w:hint="eastAsia" w:ascii="宋体" w:hAnsi="宋体"/>
          <w:sz w:val="24"/>
          <w:highlight w:val="none"/>
        </w:rPr>
        <w:t>的书稿进行</w:t>
      </w:r>
      <w:r>
        <w:rPr>
          <w:rFonts w:hint="eastAsia" w:ascii="宋体" w:hAnsi="宋体"/>
          <w:sz w:val="24"/>
          <w:highlight w:val="none"/>
          <w:lang w:val="en-US" w:eastAsia="zh-CN"/>
        </w:rPr>
        <w:t>深度加工、复审、终审，提高书稿内容质量，</w:t>
      </w:r>
      <w:r>
        <w:rPr>
          <w:rFonts w:hint="default" w:ascii="宋体" w:hAnsi="宋体"/>
          <w:sz w:val="24"/>
          <w:highlight w:val="none"/>
          <w:lang w:val="en-US" w:eastAsia="zh-CN"/>
        </w:rPr>
        <w:t>字数不少于8万，</w:t>
      </w:r>
      <w:r>
        <w:rPr>
          <w:rFonts w:hint="eastAsia" w:ascii="宋体" w:hAnsi="宋体"/>
          <w:sz w:val="24"/>
          <w:highlight w:val="none"/>
          <w:lang w:val="en-US" w:eastAsia="zh-CN"/>
        </w:rPr>
        <w:t>使其达到出版水平</w:t>
      </w:r>
      <w:r>
        <w:rPr>
          <w:rFonts w:hint="eastAsia" w:ascii="宋体" w:hAnsi="宋体"/>
          <w:sz w:val="24"/>
          <w:highlight w:val="none"/>
        </w:rPr>
        <w:t>。</w:t>
      </w:r>
    </w:p>
    <w:p w14:paraId="7394C0C1">
      <w:pPr>
        <w:numPr>
          <w:ilvl w:val="0"/>
          <w:numId w:val="1"/>
        </w:numPr>
        <w:adjustRightInd w:val="0"/>
        <w:spacing w:before="156" w:beforeLines="50" w:after="156" w:afterLines="50" w:line="360" w:lineRule="auto"/>
        <w:ind w:left="0" w:firstLine="482" w:firstLineChars="200"/>
        <w:contextualSpacing/>
        <w:outlineLvl w:val="1"/>
        <w:rPr>
          <w:rFonts w:hint="eastAsia" w:ascii="宋体" w:hAnsi="宋体"/>
          <w:b/>
          <w:sz w:val="24"/>
        </w:rPr>
      </w:pPr>
      <w:bookmarkStart w:id="2" w:name="_Toc161832196"/>
      <w:bookmarkStart w:id="3" w:name="_Toc14640"/>
      <w:r>
        <w:rPr>
          <w:rFonts w:hint="eastAsia" w:ascii="宋体" w:hAnsi="宋体"/>
          <w:b/>
          <w:sz w:val="24"/>
        </w:rPr>
        <w:t>成果交付与验收</w:t>
      </w:r>
      <w:bookmarkEnd w:id="2"/>
      <w:bookmarkEnd w:id="3"/>
    </w:p>
    <w:p w14:paraId="321757F8">
      <w:pPr>
        <w:spacing w:line="360" w:lineRule="auto"/>
        <w:ind w:firstLine="480" w:firstLineChars="200"/>
        <w:rPr>
          <w:rFonts w:hint="eastAsia" w:ascii="黑体" w:hAnsi="黑体" w:eastAsia="黑体" w:cs="黑体"/>
          <w:bCs/>
          <w:sz w:val="24"/>
        </w:rPr>
      </w:pPr>
      <w:bookmarkStart w:id="4" w:name="_Toc161832197"/>
      <w:r>
        <w:rPr>
          <w:rFonts w:hint="eastAsia" w:ascii="宋体" w:hAnsi="宋体" w:eastAsia="宋体" w:cs="宋体"/>
          <w:color w:val="000000"/>
          <w:sz w:val="24"/>
        </w:rPr>
        <w:t>报价人需于采购人提出申请后</w:t>
      </w:r>
      <w:r>
        <w:rPr>
          <w:rFonts w:hint="eastAsia" w:ascii="宋体" w:hAnsi="宋体" w:cs="宋体"/>
          <w:color w:val="000000"/>
          <w:sz w:val="24"/>
          <w:lang w:val="en-US" w:eastAsia="zh-CN"/>
        </w:rPr>
        <w:t>20</w:t>
      </w:r>
      <w:r>
        <w:rPr>
          <w:rFonts w:hint="eastAsia" w:ascii="宋体" w:hAnsi="宋体" w:eastAsia="宋体" w:cs="宋体"/>
          <w:color w:val="000000"/>
          <w:sz w:val="24"/>
        </w:rPr>
        <w:t>个工作日内完成</w:t>
      </w:r>
      <w:r>
        <w:rPr>
          <w:rFonts w:hint="eastAsia" w:ascii="宋体" w:hAnsi="宋体" w:eastAsia="宋体" w:cs="宋体"/>
          <w:color w:val="000000"/>
          <w:sz w:val="24"/>
          <w:lang w:val="en-US" w:eastAsia="zh-CN"/>
        </w:rPr>
        <w:t>初稿校验</w:t>
      </w:r>
      <w:r>
        <w:rPr>
          <w:rFonts w:hint="eastAsia" w:ascii="宋体" w:hAnsi="宋体" w:eastAsia="宋体" w:cs="宋体"/>
          <w:color w:val="000000"/>
          <w:sz w:val="24"/>
        </w:rPr>
        <w:t>，并</w:t>
      </w:r>
      <w:r>
        <w:rPr>
          <w:rFonts w:hint="eastAsia" w:ascii="宋体" w:hAnsi="宋体" w:eastAsia="宋体" w:cs="宋体"/>
          <w:color w:val="000000"/>
          <w:sz w:val="24"/>
          <w:lang w:val="en-US" w:eastAsia="zh-CN"/>
        </w:rPr>
        <w:t>协助校正形成审定稿，</w:t>
      </w:r>
      <w:r>
        <w:rPr>
          <w:rFonts w:hint="eastAsia" w:ascii="宋体" w:hAnsi="宋体" w:eastAsia="宋体" w:cs="宋体"/>
          <w:color w:val="000000"/>
          <w:sz w:val="24"/>
        </w:rPr>
        <w:t>通过采购人验收。</w:t>
      </w:r>
    </w:p>
    <w:bookmarkEnd w:id="4"/>
    <w:p w14:paraId="60FDE197">
      <w:pPr>
        <w:numPr>
          <w:ilvl w:val="0"/>
          <w:numId w:val="1"/>
        </w:numPr>
        <w:adjustRightInd w:val="0"/>
        <w:spacing w:before="156" w:beforeLines="50" w:after="156" w:afterLines="50" w:line="360" w:lineRule="auto"/>
        <w:ind w:left="0" w:firstLine="482" w:firstLineChars="200"/>
        <w:contextualSpacing/>
        <w:outlineLvl w:val="1"/>
        <w:rPr>
          <w:rFonts w:hint="eastAsia" w:ascii="宋体" w:hAnsi="宋体"/>
          <w:b/>
          <w:sz w:val="24"/>
          <w:highlight w:val="none"/>
        </w:rPr>
      </w:pPr>
      <w:r>
        <w:rPr>
          <w:rFonts w:hint="eastAsia" w:ascii="宋体" w:hAnsi="宋体"/>
          <w:b/>
          <w:sz w:val="24"/>
          <w:highlight w:val="none"/>
        </w:rPr>
        <w:t>其他要求</w:t>
      </w:r>
    </w:p>
    <w:p w14:paraId="43400E15">
      <w:pPr>
        <w:numPr>
          <w:ilvl w:val="0"/>
          <w:numId w:val="2"/>
        </w:numPr>
        <w:spacing w:line="360" w:lineRule="auto"/>
        <w:ind w:firstLine="480" w:firstLineChars="200"/>
        <w:rPr>
          <w:rFonts w:hint="eastAsia" w:ascii="宋体" w:hAnsi="宋体"/>
          <w:sz w:val="24"/>
          <w:highlight w:val="none"/>
        </w:rPr>
      </w:pPr>
      <w:r>
        <w:rPr>
          <w:rFonts w:hint="eastAsia" w:ascii="宋体" w:hAnsi="宋体"/>
          <w:sz w:val="24"/>
          <w:highlight w:val="none"/>
        </w:rPr>
        <w:t>报价方应提供以往的</w:t>
      </w:r>
      <w:r>
        <w:rPr>
          <w:rFonts w:hint="eastAsia" w:ascii="宋体" w:hAnsi="宋体"/>
          <w:sz w:val="24"/>
          <w:highlight w:val="none"/>
          <w:lang w:val="en-US" w:eastAsia="zh-CN"/>
        </w:rPr>
        <w:t>专著服务业</w:t>
      </w:r>
      <w:r>
        <w:rPr>
          <w:rFonts w:hint="eastAsia" w:ascii="宋体" w:hAnsi="宋体"/>
          <w:sz w:val="24"/>
          <w:highlight w:val="none"/>
        </w:rPr>
        <w:t>绩（提供合同与发票等业绩证明材料），各报价方之间按数量、质量进行横向比对得出最优。</w:t>
      </w:r>
    </w:p>
    <w:p w14:paraId="3C5F99D9">
      <w:pPr>
        <w:numPr>
          <w:ilvl w:val="0"/>
          <w:numId w:val="2"/>
        </w:numPr>
        <w:spacing w:line="360" w:lineRule="auto"/>
        <w:ind w:firstLine="480" w:firstLineChars="200"/>
        <w:rPr>
          <w:rFonts w:hint="eastAsia" w:ascii="宋体" w:hAnsi="宋体"/>
          <w:sz w:val="24"/>
          <w:highlight w:val="none"/>
        </w:rPr>
      </w:pPr>
      <w:r>
        <w:rPr>
          <w:rFonts w:hint="eastAsia" w:ascii="宋体" w:hAnsi="宋体"/>
          <w:sz w:val="24"/>
          <w:highlight w:val="none"/>
        </w:rPr>
        <w:t>报价方提供的项目负责人宜具备</w:t>
      </w:r>
      <w:r>
        <w:rPr>
          <w:rFonts w:hint="eastAsia" w:ascii="宋体" w:hAnsi="宋体"/>
          <w:sz w:val="24"/>
          <w:highlight w:val="none"/>
          <w:lang w:val="en-US" w:eastAsia="zh-CN"/>
        </w:rPr>
        <w:t>出版专业高级职称</w:t>
      </w:r>
      <w:r>
        <w:rPr>
          <w:rFonts w:hint="eastAsia" w:ascii="宋体" w:hAnsi="宋体"/>
          <w:sz w:val="24"/>
          <w:highlight w:val="none"/>
        </w:rPr>
        <w:t>，</w:t>
      </w:r>
      <w:r>
        <w:rPr>
          <w:rFonts w:hint="eastAsia" w:ascii="宋体" w:hAnsi="宋体"/>
          <w:sz w:val="24"/>
          <w:highlight w:val="none"/>
          <w:lang w:val="en-US" w:eastAsia="zh-CN"/>
        </w:rPr>
        <w:t>宜</w:t>
      </w:r>
      <w:r>
        <w:rPr>
          <w:rFonts w:hint="eastAsia" w:ascii="宋体" w:hAnsi="宋体"/>
          <w:sz w:val="24"/>
          <w:highlight w:val="none"/>
        </w:rPr>
        <w:t>成立不少于8人的项目团队，满足：团队成员具有</w:t>
      </w:r>
      <w:r>
        <w:rPr>
          <w:rFonts w:hint="eastAsia" w:ascii="宋体" w:hAnsi="宋体"/>
          <w:sz w:val="24"/>
          <w:highlight w:val="none"/>
          <w:lang w:val="en-US" w:eastAsia="zh-CN"/>
        </w:rPr>
        <w:t>研究生</w:t>
      </w:r>
      <w:r>
        <w:rPr>
          <w:rFonts w:hint="eastAsia" w:ascii="宋体" w:hAnsi="宋体"/>
          <w:sz w:val="24"/>
          <w:highlight w:val="none"/>
        </w:rPr>
        <w:t>及以上学历为宜</w:t>
      </w:r>
      <w:r>
        <w:rPr>
          <w:rFonts w:hint="eastAsia" w:ascii="宋体" w:hAnsi="宋体"/>
          <w:sz w:val="24"/>
          <w:highlight w:val="none"/>
          <w:lang w:eastAsia="zh-CN"/>
        </w:rPr>
        <w:t>；</w:t>
      </w:r>
      <w:r>
        <w:rPr>
          <w:rFonts w:hint="eastAsia" w:ascii="宋体" w:hAnsi="宋体"/>
          <w:sz w:val="24"/>
          <w:highlight w:val="none"/>
          <w:lang w:val="en-US" w:eastAsia="zh-CN"/>
        </w:rPr>
        <w:t>团队成员应为报价方职工</w:t>
      </w:r>
      <w:r>
        <w:rPr>
          <w:rFonts w:hint="eastAsia" w:ascii="宋体" w:hAnsi="宋体"/>
          <w:sz w:val="24"/>
          <w:highlight w:val="none"/>
          <w:lang w:eastAsia="zh-CN"/>
        </w:rPr>
        <w:t>。</w:t>
      </w:r>
      <w:r>
        <w:rPr>
          <w:rFonts w:hint="eastAsia" w:ascii="宋体" w:hAnsi="宋体"/>
          <w:sz w:val="24"/>
          <w:highlight w:val="none"/>
        </w:rPr>
        <w:t>各报价方之间进行横向比对得出最优。</w:t>
      </w:r>
    </w:p>
    <w:p w14:paraId="2EE64016">
      <w:pPr>
        <w:numPr>
          <w:ilvl w:val="0"/>
          <w:numId w:val="2"/>
        </w:numPr>
        <w:spacing w:line="360" w:lineRule="auto"/>
        <w:ind w:firstLine="480" w:firstLineChars="200"/>
        <w:rPr>
          <w:rFonts w:hint="eastAsia" w:ascii="宋体" w:hAnsi="宋体"/>
          <w:sz w:val="24"/>
          <w:highlight w:val="none"/>
        </w:rPr>
      </w:pPr>
      <w:r>
        <w:rPr>
          <w:rFonts w:hint="eastAsia" w:ascii="宋体" w:hAnsi="宋体"/>
          <w:sz w:val="24"/>
          <w:highlight w:val="none"/>
        </w:rPr>
        <w:t>报价方</w:t>
      </w:r>
      <w:r>
        <w:rPr>
          <w:rFonts w:hint="eastAsia" w:ascii="宋体" w:hAnsi="宋体"/>
          <w:sz w:val="24"/>
          <w:highlight w:val="none"/>
          <w:lang w:val="en-US" w:eastAsia="zh-CN"/>
        </w:rPr>
        <w:t>应具备丰富的国家级出版项目运作和专著相关奖项申报经验，及其提升专著社会效益方面的能力，应提供资料证明，</w:t>
      </w:r>
      <w:r>
        <w:rPr>
          <w:rFonts w:hint="eastAsia" w:ascii="宋体" w:hAnsi="宋体"/>
          <w:sz w:val="24"/>
          <w:highlight w:val="none"/>
        </w:rPr>
        <w:t>各报价方之间进行横向比对得出最优</w:t>
      </w:r>
      <w:r>
        <w:rPr>
          <w:rFonts w:hint="eastAsia" w:ascii="宋体" w:hAnsi="宋体"/>
          <w:sz w:val="24"/>
          <w:highlight w:val="none"/>
          <w:lang w:val="en-US" w:eastAsia="zh-CN"/>
        </w:rPr>
        <w:t>。</w:t>
      </w:r>
    </w:p>
    <w:p w14:paraId="79D6718D">
      <w:pPr>
        <w:numPr>
          <w:ilvl w:val="0"/>
          <w:numId w:val="1"/>
        </w:numPr>
        <w:adjustRightInd w:val="0"/>
        <w:spacing w:before="156" w:beforeLines="50" w:after="156" w:afterLines="50" w:line="360" w:lineRule="auto"/>
        <w:ind w:left="0" w:firstLine="482" w:firstLineChars="200"/>
        <w:contextualSpacing/>
        <w:outlineLvl w:val="1"/>
        <w:rPr>
          <w:rFonts w:hint="eastAsia" w:ascii="宋体" w:hAnsi="宋体"/>
          <w:b/>
          <w:sz w:val="24"/>
          <w:highlight w:val="none"/>
        </w:rPr>
      </w:pPr>
      <w:r>
        <w:rPr>
          <w:rFonts w:hint="eastAsia" w:ascii="宋体" w:hAnsi="宋体"/>
          <w:b/>
          <w:sz w:val="24"/>
          <w:highlight w:val="none"/>
        </w:rPr>
        <w:t>报价人资格要求</w:t>
      </w:r>
    </w:p>
    <w:p w14:paraId="6CC3C0BC">
      <w:pPr>
        <w:spacing w:line="360" w:lineRule="auto"/>
        <w:ind w:left="420" w:leftChars="200"/>
        <w:jc w:val="left"/>
        <w:rPr>
          <w:rFonts w:hint="eastAsia" w:ascii="宋体" w:hAnsi="宋体" w:cs="宋体"/>
          <w:sz w:val="24"/>
          <w:highlight w:val="none"/>
        </w:rPr>
      </w:pPr>
      <w:r>
        <w:rPr>
          <w:rFonts w:hint="eastAsia" w:ascii="宋体" w:hAnsi="宋体" w:cs="宋体"/>
          <w:sz w:val="24"/>
          <w:highlight w:val="none"/>
        </w:rPr>
        <w:t>报价人需同时满足以下要求：</w:t>
      </w:r>
    </w:p>
    <w:p w14:paraId="246F539E">
      <w:pPr>
        <w:numPr>
          <w:ilvl w:val="0"/>
          <w:numId w:val="3"/>
        </w:num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中华人民共和国境内注册合法运作的法人或非法人组织，具有独立承担招标、采购项目的能力和独立履行合同的能力。必须提供有效期内的营业执照或其他行政主管部门核发的有效登记注册证明文件。</w:t>
      </w:r>
    </w:p>
    <w:p w14:paraId="6B568C9D">
      <w:pPr>
        <w:numPr>
          <w:ilvl w:val="0"/>
          <w:numId w:val="3"/>
        </w:num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报价人必须按照南方电网公司要求，在供应链统一服务平台（www.bidding.csg.cn）上完成供应商登记注册，并通过审核。</w:t>
      </w:r>
    </w:p>
    <w:p w14:paraId="085FF075">
      <w:pPr>
        <w:numPr>
          <w:ilvl w:val="0"/>
          <w:numId w:val="3"/>
        </w:num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w:t>
      </w:r>
      <w:r>
        <w:rPr>
          <w:rFonts w:ascii="宋体" w:hAnsi="宋体" w:cs="宋体"/>
          <w:sz w:val="24"/>
          <w:highlight w:val="none"/>
        </w:rPr>
        <w:t>保密要求‌：对测试过程中涉及的客户机密信息进行保密处理，确保不泄漏给第三方。</w:t>
      </w:r>
    </w:p>
    <w:p w14:paraId="5945EF72">
      <w:pPr>
        <w:numPr>
          <w:ilvl w:val="0"/>
          <w:numId w:val="3"/>
        </w:num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报价人应提供其营业执照，确保其有能力持续提供售后服务能力。</w:t>
      </w:r>
    </w:p>
    <w:p w14:paraId="78EE17BA">
      <w:pPr>
        <w:numPr>
          <w:ilvl w:val="0"/>
          <w:numId w:val="3"/>
        </w:num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报价人</w:t>
      </w:r>
      <w:r>
        <w:rPr>
          <w:rFonts w:hint="eastAsia" w:ascii="宋体" w:hAnsi="宋体" w:cs="宋体"/>
          <w:sz w:val="24"/>
          <w:highlight w:val="none"/>
          <w:lang w:val="en-US" w:eastAsia="zh-CN"/>
        </w:rPr>
        <w:t>需提供图书出版许可生和出版物经营许可证</w:t>
      </w:r>
      <w:r>
        <w:rPr>
          <w:rFonts w:hint="eastAsia" w:ascii="宋体" w:hAnsi="宋体" w:cs="宋体"/>
          <w:sz w:val="24"/>
          <w:highlight w:val="none"/>
        </w:rPr>
        <w:t>。</w:t>
      </w:r>
    </w:p>
    <w:p w14:paraId="4318E3AE">
      <w:pPr>
        <w:numPr>
          <w:ilvl w:val="0"/>
          <w:numId w:val="1"/>
        </w:numPr>
        <w:adjustRightInd w:val="0"/>
        <w:spacing w:before="156" w:beforeLines="50" w:after="156" w:afterLines="50" w:line="360" w:lineRule="auto"/>
        <w:contextualSpacing/>
        <w:outlineLvl w:val="1"/>
        <w:rPr>
          <w:rFonts w:hint="eastAsia" w:ascii="宋体" w:hAnsi="宋体"/>
          <w:b/>
          <w:sz w:val="24"/>
        </w:rPr>
      </w:pPr>
      <w:r>
        <w:rPr>
          <w:rFonts w:hint="eastAsia" w:ascii="宋体" w:hAnsi="宋体"/>
          <w:b/>
          <w:sz w:val="24"/>
        </w:rPr>
        <w:t>报价表</w:t>
      </w:r>
    </w:p>
    <w:p w14:paraId="5B060D5D">
      <w:pPr>
        <w:pStyle w:val="2"/>
        <w:spacing w:line="360" w:lineRule="auto"/>
        <w:ind w:firstLine="480" w:firstLineChars="200"/>
      </w:pPr>
      <w:r>
        <w:rPr>
          <w:rFonts w:hint="eastAsia" w:ascii="宋体" w:hAnsi="宋体" w:eastAsia="宋体" w:cs="宋体"/>
          <w:sz w:val="24"/>
        </w:rPr>
        <w:t>请各报价人参考表1报价，报价单需包含税率说明，报价条目应清晰。</w:t>
      </w:r>
    </w:p>
    <w:p w14:paraId="7F3FCB92">
      <w:pPr>
        <w:pStyle w:val="2"/>
        <w:spacing w:line="360" w:lineRule="auto"/>
        <w:ind w:firstLine="420" w:firstLineChars="200"/>
        <w:jc w:val="center"/>
        <w:rPr>
          <w:rFonts w:hint="eastAsia" w:ascii="宋体" w:hAnsi="宋体" w:eastAsia="宋体" w:cs="宋体"/>
        </w:rPr>
      </w:pPr>
      <w:r>
        <w:rPr>
          <w:rFonts w:hint="eastAsia" w:ascii="黑体" w:hAnsi="黑体" w:cs="黑体"/>
          <w:sz w:val="21"/>
          <w:szCs w:val="21"/>
        </w:rPr>
        <w:t>表1   报价表</w:t>
      </w:r>
    </w:p>
    <w:tbl>
      <w:tblPr>
        <w:tblStyle w:val="11"/>
        <w:tblpPr w:leftFromText="180" w:rightFromText="180" w:vertAnchor="text" w:horzAnchor="page" w:tblpXSpec="center" w:tblpY="372"/>
        <w:tblOverlap w:val="never"/>
        <w:tblW w:w="7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13"/>
        <w:gridCol w:w="2801"/>
        <w:gridCol w:w="654"/>
        <w:gridCol w:w="663"/>
        <w:gridCol w:w="1756"/>
        <w:gridCol w:w="1461"/>
      </w:tblGrid>
      <w:tr w14:paraId="01AA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jc w:val="center"/>
        </w:trPr>
        <w:tc>
          <w:tcPr>
            <w:tcW w:w="513" w:type="dxa"/>
            <w:vAlign w:val="center"/>
          </w:tcPr>
          <w:p w14:paraId="0DA51E29">
            <w:pPr>
              <w:widowControl/>
              <w:spacing w:line="360" w:lineRule="auto"/>
              <w:jc w:val="center"/>
              <w:textAlignment w:val="center"/>
              <w:rPr>
                <w:rFonts w:hint="eastAsia" w:ascii="宋体" w:hAnsi="宋体" w:cs="宋体"/>
                <w:b/>
                <w:bCs/>
                <w:kern w:val="0"/>
                <w:szCs w:val="21"/>
              </w:rPr>
            </w:pPr>
            <w:r>
              <w:rPr>
                <w:rFonts w:hint="eastAsia" w:ascii="宋体" w:hAnsi="宋体" w:cs="宋体"/>
                <w:b/>
                <w:bCs/>
                <w:kern w:val="0"/>
                <w:szCs w:val="21"/>
              </w:rPr>
              <w:t>序号</w:t>
            </w:r>
          </w:p>
        </w:tc>
        <w:tc>
          <w:tcPr>
            <w:tcW w:w="2801" w:type="dxa"/>
            <w:vAlign w:val="center"/>
          </w:tcPr>
          <w:p w14:paraId="5643B30D">
            <w:pPr>
              <w:widowControl/>
              <w:spacing w:line="360" w:lineRule="auto"/>
              <w:jc w:val="center"/>
              <w:textAlignment w:val="center"/>
              <w:rPr>
                <w:rFonts w:hint="eastAsia" w:ascii="宋体" w:hAnsi="宋体" w:cs="宋体"/>
                <w:b/>
                <w:bCs/>
                <w:kern w:val="0"/>
                <w:szCs w:val="21"/>
              </w:rPr>
            </w:pPr>
            <w:r>
              <w:rPr>
                <w:rFonts w:hint="eastAsia" w:ascii="宋体" w:hAnsi="宋体" w:cs="宋体"/>
                <w:b/>
                <w:bCs/>
                <w:kern w:val="0"/>
                <w:szCs w:val="21"/>
              </w:rPr>
              <w:t>项目名称</w:t>
            </w:r>
          </w:p>
        </w:tc>
        <w:tc>
          <w:tcPr>
            <w:tcW w:w="654" w:type="dxa"/>
            <w:vAlign w:val="center"/>
          </w:tcPr>
          <w:p w14:paraId="580F236C">
            <w:pPr>
              <w:widowControl/>
              <w:spacing w:line="360" w:lineRule="auto"/>
              <w:jc w:val="center"/>
              <w:textAlignment w:val="center"/>
              <w:rPr>
                <w:rFonts w:hint="eastAsia" w:ascii="宋体" w:hAnsi="宋体" w:cs="宋体"/>
                <w:b/>
                <w:bCs/>
                <w:kern w:val="0"/>
                <w:szCs w:val="21"/>
              </w:rPr>
            </w:pPr>
            <w:r>
              <w:rPr>
                <w:rFonts w:hint="eastAsia" w:ascii="宋体" w:hAnsi="宋体" w:cs="宋体"/>
                <w:b/>
                <w:kern w:val="0"/>
                <w:szCs w:val="21"/>
              </w:rPr>
              <w:t>单位</w:t>
            </w:r>
          </w:p>
        </w:tc>
        <w:tc>
          <w:tcPr>
            <w:tcW w:w="663" w:type="dxa"/>
            <w:vAlign w:val="center"/>
          </w:tcPr>
          <w:p w14:paraId="08B7F411">
            <w:pPr>
              <w:widowControl/>
              <w:spacing w:line="360" w:lineRule="auto"/>
              <w:jc w:val="center"/>
              <w:textAlignment w:val="center"/>
              <w:rPr>
                <w:rFonts w:hint="eastAsia" w:ascii="宋体" w:hAnsi="宋体" w:cs="宋体"/>
                <w:b/>
                <w:bCs/>
                <w:kern w:val="0"/>
                <w:szCs w:val="21"/>
              </w:rPr>
            </w:pPr>
            <w:r>
              <w:rPr>
                <w:rFonts w:hint="eastAsia" w:ascii="宋体" w:hAnsi="宋体" w:cs="宋体"/>
                <w:b/>
                <w:bCs/>
                <w:color w:val="000000"/>
                <w:kern w:val="0"/>
                <w:szCs w:val="21"/>
              </w:rPr>
              <w:t>数量</w:t>
            </w:r>
          </w:p>
        </w:tc>
        <w:tc>
          <w:tcPr>
            <w:tcW w:w="1756" w:type="dxa"/>
            <w:vAlign w:val="center"/>
          </w:tcPr>
          <w:p w14:paraId="2DF83388">
            <w:pPr>
              <w:widowControl/>
              <w:spacing w:line="360" w:lineRule="auto"/>
              <w:jc w:val="center"/>
              <w:textAlignment w:val="center"/>
              <w:rPr>
                <w:rFonts w:hint="eastAsia" w:ascii="宋体" w:hAnsi="宋体" w:cs="宋体"/>
                <w:b/>
                <w:bCs/>
                <w:kern w:val="0"/>
                <w:szCs w:val="21"/>
              </w:rPr>
            </w:pPr>
            <w:r>
              <w:rPr>
                <w:rFonts w:hint="eastAsia" w:ascii="宋体" w:hAnsi="宋体" w:cs="宋体"/>
                <w:b/>
                <w:bCs/>
                <w:color w:val="000000"/>
                <w:kern w:val="0"/>
                <w:szCs w:val="21"/>
              </w:rPr>
              <w:t>总价限价（元）</w:t>
            </w:r>
          </w:p>
        </w:tc>
        <w:tc>
          <w:tcPr>
            <w:tcW w:w="1461" w:type="dxa"/>
            <w:vAlign w:val="center"/>
          </w:tcPr>
          <w:p w14:paraId="41C67766">
            <w:pPr>
              <w:widowControl/>
              <w:spacing w:line="360" w:lineRule="auto"/>
              <w:jc w:val="center"/>
              <w:textAlignment w:val="center"/>
              <w:rPr>
                <w:rFonts w:hint="eastAsia" w:ascii="宋体" w:hAnsi="宋体" w:cs="宋体"/>
                <w:b/>
                <w:bCs/>
                <w:color w:val="000000"/>
                <w:kern w:val="0"/>
                <w:szCs w:val="21"/>
              </w:rPr>
            </w:pPr>
            <w:r>
              <w:rPr>
                <w:rFonts w:hint="eastAsia" w:ascii="宋体" w:hAnsi="宋体" w:cs="宋体"/>
                <w:b/>
                <w:bCs/>
                <w:color w:val="000000"/>
                <w:kern w:val="0"/>
                <w:szCs w:val="21"/>
              </w:rPr>
              <w:t>总价报价（元）</w:t>
            </w:r>
          </w:p>
        </w:tc>
      </w:tr>
      <w:tr w14:paraId="4295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8" w:hRule="atLeast"/>
          <w:jc w:val="center"/>
        </w:trPr>
        <w:tc>
          <w:tcPr>
            <w:tcW w:w="513" w:type="dxa"/>
            <w:vAlign w:val="center"/>
          </w:tcPr>
          <w:p w14:paraId="1FA0A937">
            <w:pPr>
              <w:widowControl/>
              <w:spacing w:line="360" w:lineRule="auto"/>
              <w:jc w:val="center"/>
              <w:textAlignment w:val="center"/>
              <w:rPr>
                <w:rFonts w:hint="eastAsia" w:ascii="宋体" w:hAnsi="宋体" w:cs="宋体"/>
                <w:kern w:val="0"/>
                <w:szCs w:val="21"/>
              </w:rPr>
            </w:pPr>
            <w:r>
              <w:rPr>
                <w:rFonts w:hint="eastAsia" w:ascii="宋体" w:hAnsi="宋体" w:cs="宋体"/>
                <w:kern w:val="0"/>
                <w:szCs w:val="21"/>
              </w:rPr>
              <w:t>1</w:t>
            </w:r>
          </w:p>
        </w:tc>
        <w:tc>
          <w:tcPr>
            <w:tcW w:w="2801" w:type="dxa"/>
            <w:vAlign w:val="center"/>
          </w:tcPr>
          <w:p w14:paraId="2E6C5BC3">
            <w:pPr>
              <w:spacing w:line="360" w:lineRule="auto"/>
              <w:jc w:val="center"/>
              <w:rPr>
                <w:rFonts w:hint="eastAsia" w:ascii="宋体" w:hAnsi="宋体" w:cs="宋体"/>
                <w:kern w:val="0"/>
                <w:szCs w:val="21"/>
              </w:rPr>
            </w:pPr>
            <w:r>
              <w:rPr>
                <w:rFonts w:hint="eastAsia" w:ascii="宋体" w:hAnsi="宋体" w:cs="宋体"/>
                <w:kern w:val="0"/>
                <w:szCs w:val="21"/>
              </w:rPr>
              <w:t>韶关局管理创新项目【基于数据穿透的四个生产指挥体系优化研究与实践】专著服务项目采购技术文件</w:t>
            </w:r>
          </w:p>
        </w:tc>
        <w:tc>
          <w:tcPr>
            <w:tcW w:w="654" w:type="dxa"/>
            <w:vAlign w:val="center"/>
          </w:tcPr>
          <w:p w14:paraId="243024A5">
            <w:pPr>
              <w:widowControl/>
              <w:spacing w:line="360" w:lineRule="auto"/>
              <w:jc w:val="center"/>
              <w:textAlignment w:val="center"/>
              <w:rPr>
                <w:rFonts w:hint="eastAsia" w:ascii="宋体" w:hAnsi="宋体" w:cs="宋体"/>
                <w:kern w:val="0"/>
                <w:szCs w:val="21"/>
              </w:rPr>
            </w:pPr>
            <w:r>
              <w:rPr>
                <w:rFonts w:hint="eastAsia" w:ascii="宋体" w:hAnsi="宋体" w:cs="宋体"/>
                <w:kern w:val="0"/>
                <w:szCs w:val="21"/>
              </w:rPr>
              <w:t>项</w:t>
            </w:r>
          </w:p>
        </w:tc>
        <w:tc>
          <w:tcPr>
            <w:tcW w:w="663" w:type="dxa"/>
            <w:vAlign w:val="center"/>
          </w:tcPr>
          <w:p w14:paraId="33EAD62E">
            <w:pPr>
              <w:widowControl/>
              <w:spacing w:line="360" w:lineRule="auto"/>
              <w:jc w:val="center"/>
              <w:textAlignment w:val="center"/>
              <w:rPr>
                <w:rFonts w:hint="eastAsia" w:ascii="宋体" w:hAnsi="宋体" w:cs="宋体"/>
                <w:kern w:val="0"/>
                <w:szCs w:val="21"/>
              </w:rPr>
            </w:pPr>
            <w:r>
              <w:rPr>
                <w:rFonts w:hint="eastAsia" w:ascii="宋体" w:hAnsi="宋体" w:cs="宋体"/>
                <w:kern w:val="0"/>
                <w:szCs w:val="21"/>
              </w:rPr>
              <w:t>1</w:t>
            </w:r>
          </w:p>
        </w:tc>
        <w:tc>
          <w:tcPr>
            <w:tcW w:w="1756" w:type="dxa"/>
            <w:vAlign w:val="center"/>
          </w:tcPr>
          <w:p w14:paraId="1CD56990">
            <w:pPr>
              <w:widowControl/>
              <w:spacing w:line="360" w:lineRule="auto"/>
              <w:jc w:val="center"/>
              <w:textAlignment w:val="center"/>
              <w:rPr>
                <w:rFonts w:hint="eastAsia" w:ascii="宋体" w:hAnsi="宋体" w:cs="宋体"/>
                <w:kern w:val="0"/>
                <w:szCs w:val="21"/>
              </w:rPr>
            </w:pPr>
            <w:r>
              <w:rPr>
                <w:rFonts w:hint="eastAsia" w:ascii="宋体" w:hAnsi="宋体" w:cs="宋体"/>
                <w:kern w:val="0"/>
                <w:szCs w:val="21"/>
                <w:lang w:val="en-US" w:eastAsia="zh-CN"/>
              </w:rPr>
              <w:t>3</w:t>
            </w:r>
            <w:r>
              <w:rPr>
                <w:rFonts w:hint="eastAsia" w:ascii="宋体" w:hAnsi="宋体" w:cs="宋体"/>
                <w:kern w:val="0"/>
                <w:szCs w:val="21"/>
              </w:rPr>
              <w:t>0000</w:t>
            </w:r>
          </w:p>
        </w:tc>
        <w:tc>
          <w:tcPr>
            <w:tcW w:w="1461" w:type="dxa"/>
            <w:vAlign w:val="center"/>
          </w:tcPr>
          <w:p w14:paraId="222B2C5E">
            <w:pPr>
              <w:widowControl/>
              <w:spacing w:line="360" w:lineRule="auto"/>
              <w:jc w:val="center"/>
              <w:textAlignment w:val="center"/>
              <w:rPr>
                <w:rFonts w:hint="eastAsia" w:ascii="宋体" w:hAnsi="宋体" w:cs="宋体"/>
                <w:kern w:val="0"/>
                <w:szCs w:val="21"/>
              </w:rPr>
            </w:pPr>
          </w:p>
        </w:tc>
      </w:tr>
      <w:tr w14:paraId="2D4EC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6" w:hRule="atLeast"/>
          <w:jc w:val="center"/>
        </w:trPr>
        <w:tc>
          <w:tcPr>
            <w:tcW w:w="6387" w:type="dxa"/>
            <w:gridSpan w:val="5"/>
            <w:vAlign w:val="center"/>
          </w:tcPr>
          <w:p w14:paraId="36E6BB07">
            <w:pPr>
              <w:widowControl/>
              <w:spacing w:line="360" w:lineRule="auto"/>
              <w:jc w:val="center"/>
              <w:textAlignment w:val="center"/>
              <w:rPr>
                <w:rFonts w:hint="eastAsia" w:ascii="宋体" w:hAnsi="宋体" w:cs="宋体"/>
                <w:szCs w:val="21"/>
              </w:rPr>
            </w:pPr>
            <w:r>
              <w:rPr>
                <w:rFonts w:hint="eastAsia" w:ascii="宋体" w:hAnsi="宋体" w:cs="宋体"/>
                <w:b/>
                <w:kern w:val="0"/>
                <w:szCs w:val="21"/>
              </w:rPr>
              <w:t>总价合计（元)</w:t>
            </w:r>
          </w:p>
        </w:tc>
        <w:tc>
          <w:tcPr>
            <w:tcW w:w="1461" w:type="dxa"/>
            <w:vAlign w:val="center"/>
          </w:tcPr>
          <w:p w14:paraId="05E6E2D9">
            <w:pPr>
              <w:widowControl/>
              <w:spacing w:line="360" w:lineRule="auto"/>
              <w:jc w:val="center"/>
              <w:textAlignment w:val="center"/>
              <w:rPr>
                <w:rFonts w:hint="eastAsia" w:ascii="宋体" w:hAnsi="宋体" w:cs="宋体"/>
                <w:szCs w:val="21"/>
              </w:rPr>
            </w:pPr>
          </w:p>
        </w:tc>
      </w:tr>
    </w:tbl>
    <w:p w14:paraId="63063814">
      <w:pPr>
        <w:spacing w:before="312" w:beforeLines="100" w:after="312" w:afterLines="100" w:line="360" w:lineRule="auto"/>
      </w:pPr>
      <w:r>
        <w:rPr>
          <w:rFonts w:hint="eastAsia" w:ascii="宋体" w:hAnsi="宋体" w:cs="宋体"/>
        </w:rPr>
        <w:t>※</w:t>
      </w:r>
      <w:r>
        <w:rPr>
          <w:rFonts w:hint="eastAsia"/>
        </w:rPr>
        <w:t>注：以上报价应为含税价，服务费需开具增值税专用发票。</w:t>
      </w:r>
    </w:p>
    <w:p w14:paraId="780DDB80">
      <w:pPr>
        <w:tabs>
          <w:tab w:val="left" w:pos="1579"/>
        </w:tabs>
        <w:spacing w:line="360" w:lineRule="auto"/>
        <w:jc w:val="left"/>
      </w:pPr>
    </w:p>
    <w:p w14:paraId="5A1E0796">
      <w:pPr>
        <w:tabs>
          <w:tab w:val="left" w:pos="1579"/>
        </w:tabs>
        <w:spacing w:line="360" w:lineRule="auto"/>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ind w:left="60" w:firstLine="420"/>
      </w:pPr>
      <w:rPr>
        <w:rFonts w:hint="eastAsia"/>
      </w:rPr>
    </w:lvl>
  </w:abstractNum>
  <w:abstractNum w:abstractNumId="1">
    <w:nsid w:val="00000001"/>
    <w:multiLevelType w:val="singleLevel"/>
    <w:tmpl w:val="00000001"/>
    <w:lvl w:ilvl="0" w:tentative="0">
      <w:start w:val="1"/>
      <w:numFmt w:val="decimal"/>
      <w:suff w:val="nothing"/>
      <w:lvlText w:val="（%1）"/>
      <w:lvlJc w:val="left"/>
    </w:lvl>
  </w:abstractNum>
  <w:abstractNum w:abstractNumId="2">
    <w:nsid w:val="00000002"/>
    <w:multiLevelType w:val="singleLevel"/>
    <w:tmpl w:val="00000002"/>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6B22569"/>
    <w:rsid w:val="4E3A0C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2">
    <w:name w:val="Default Paragraph Font"/>
    <w:qFormat/>
    <w:uiPriority w:val="1"/>
  </w:style>
  <w:style w:type="table" w:default="1" w:styleId="11">
    <w:name w:val="Normal Table"/>
    <w:qFormat/>
    <w:uiPriority w:val="99"/>
    <w:tblPr>
      <w:tblCellMar>
        <w:top w:w="0" w:type="dxa"/>
        <w:left w:w="108" w:type="dxa"/>
        <w:bottom w:w="0" w:type="dxa"/>
        <w:right w:w="108" w:type="dxa"/>
      </w:tblCellMar>
    </w:tblPr>
  </w:style>
  <w:style w:type="paragraph" w:styleId="2">
    <w:name w:val="caption"/>
    <w:basedOn w:val="1"/>
    <w:next w:val="1"/>
    <w:qFormat/>
    <w:uiPriority w:val="0"/>
    <w:rPr>
      <w:rFonts w:ascii="Arial" w:hAnsi="Arial" w:eastAsia="黑体"/>
      <w:sz w:val="20"/>
    </w:rPr>
  </w:style>
  <w:style w:type="paragraph" w:styleId="3">
    <w:name w:val="annotation text"/>
    <w:basedOn w:val="1"/>
    <w:qFormat/>
    <w:uiPriority w:val="0"/>
    <w:pPr>
      <w:jc w:val="left"/>
    </w:pPr>
  </w:style>
  <w:style w:type="paragraph" w:styleId="4">
    <w:name w:val="Body Text"/>
    <w:basedOn w:val="1"/>
    <w:next w:val="5"/>
    <w:qFormat/>
    <w:uiPriority w:val="0"/>
    <w:pPr>
      <w:spacing w:after="120"/>
    </w:pPr>
  </w:style>
  <w:style w:type="paragraph" w:styleId="5">
    <w:name w:val="Title"/>
    <w:basedOn w:val="1"/>
    <w:next w:val="1"/>
    <w:qFormat/>
    <w:uiPriority w:val="0"/>
    <w:pPr>
      <w:spacing w:before="240" w:after="60"/>
      <w:jc w:val="center"/>
      <w:outlineLvl w:val="0"/>
    </w:pPr>
    <w:rPr>
      <w:rFonts w:ascii="Arial" w:hAnsi="Arial"/>
      <w:b/>
      <w:sz w:val="32"/>
    </w:rPr>
  </w:style>
  <w:style w:type="paragraph" w:styleId="6">
    <w:name w:val="Body Text Indent"/>
    <w:basedOn w:val="1"/>
    <w:qFormat/>
    <w:uiPriority w:val="99"/>
    <w:pPr>
      <w:spacing w:line="460" w:lineRule="exact"/>
      <w:ind w:firstLine="510"/>
    </w:pPr>
    <w:rPr>
      <w:kern w:val="0"/>
      <w:sz w:val="20"/>
    </w:rPr>
  </w:style>
  <w:style w:type="paragraph" w:styleId="7">
    <w:name w:val="footer"/>
    <w:basedOn w:val="1"/>
    <w:link w:val="16"/>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kern w:val="0"/>
      <w:sz w:val="24"/>
    </w:rPr>
  </w:style>
  <w:style w:type="paragraph" w:styleId="10">
    <w:name w:val="Body Text First Indent 2"/>
    <w:basedOn w:val="6"/>
    <w:qFormat/>
    <w:uiPriority w:val="99"/>
    <w:pPr>
      <w:ind w:left="200" w:leftChars="200" w:firstLine="420" w:firstLineChars="200"/>
    </w:pPr>
  </w:style>
  <w:style w:type="character" w:styleId="13">
    <w:name w:val="Strong"/>
    <w:basedOn w:val="12"/>
    <w:qFormat/>
    <w:uiPriority w:val="0"/>
    <w:rPr>
      <w:b/>
    </w:rPr>
  </w:style>
  <w:style w:type="paragraph" w:customStyle="1" w:styleId="14">
    <w:name w:val="一标题"/>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15">
    <w:name w:val="页眉 字符"/>
    <w:basedOn w:val="12"/>
    <w:link w:val="8"/>
    <w:qFormat/>
    <w:uiPriority w:val="0"/>
    <w:rPr>
      <w:rFonts w:ascii="Calibri" w:hAnsi="Calibri"/>
      <w:kern w:val="2"/>
      <w:sz w:val="18"/>
      <w:szCs w:val="18"/>
    </w:rPr>
  </w:style>
  <w:style w:type="character" w:customStyle="1" w:styleId="16">
    <w:name w:val="页脚 字符"/>
    <w:basedOn w:val="12"/>
    <w:link w:val="7"/>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12878c1b-4f73-415e-aa3b-fb626348dbf6}">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1056</Words>
  <Characters>1082</Characters>
  <Paragraphs>45</Paragraphs>
  <TotalTime>10</TotalTime>
  <ScaleCrop>false</ScaleCrop>
  <LinksUpToDate>false</LinksUpToDate>
  <CharactersWithSpaces>1085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2024-04-19T10:51:00Z</dcterms:created>
  <dc:creator>礼佳</dc:creator>
  <cp:lastModifiedBy>翁财宏</cp:lastModifiedBy>
  <dcterms:modified xsi:type="dcterms:W3CDTF">2026-05-31T07:05:28Z</dcterms:modified>
  <cp:revision>145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0843D9724D62445B921A58E8C6F98D69_13</vt:lpwstr>
  </property>
  <property fmtid="{D5CDD505-2E9C-101B-9397-08002B2CF9AE}" pid="4" name="KSOTemplateDocerSaveRecord">
    <vt:lpwstr>eyJoZGlkIjoiNmNiZmQ4MmRiYjMyMTI4ZjE2YTg0OTYyODgzYWQ3M2YiLCJ1c2VySWQiOiI0Mjg4NDk0MTgifQ==</vt:lpwstr>
  </property>
</Properties>
</file>