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pPr>
    </w:p>
    <w:p>
      <w:pPr>
        <w:bidi w:val="0"/>
      </w:pPr>
    </w:p>
    <w:p>
      <w:pPr>
        <w:bidi w:val="0"/>
      </w:pPr>
    </w:p>
    <w:p>
      <w:pPr>
        <w:jc w:val="center"/>
        <w:rPr>
          <w:rFonts w:ascii="Times New Roman"/>
        </w:rPr>
      </w:pPr>
    </w:p>
    <w:p>
      <w:pPr>
        <w:jc w:val="center"/>
        <w:rPr>
          <w:rFonts w:ascii="Times New Roman"/>
          <w:b/>
          <w:sz w:val="48"/>
          <w:szCs w:val="48"/>
        </w:rPr>
      </w:pPr>
      <w:r>
        <w:rPr>
          <w:rFonts w:hint="eastAsia" w:ascii="Times New Roman" w:cs="Times New Roman"/>
          <w:b/>
          <w:sz w:val="48"/>
          <w:szCs w:val="48"/>
          <w:lang w:eastAsia="zh-CN"/>
        </w:rPr>
        <w:t>一种便携拖车式二次运维绝缘平台的研究与试制</w:t>
      </w:r>
      <w:r>
        <w:rPr>
          <w:rFonts w:ascii="Times New Roman"/>
          <w:b/>
          <w:sz w:val="48"/>
          <w:szCs w:val="48"/>
        </w:rPr>
        <w:t>技术规范书</w:t>
      </w: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rPr>
          <w:rFonts w:hint="eastAsia"/>
          <w:lang w:val="en-US" w:eastAsia="zh-CN"/>
        </w:rPr>
      </w:pPr>
      <w:r>
        <w:rPr>
          <w:rFonts w:hint="eastAsia"/>
          <w:lang w:val="en-US" w:eastAsia="zh-CN"/>
        </w:rPr>
        <w:t xml:space="preserve"> </w:t>
      </w: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pPr>
    </w:p>
    <w:p>
      <w:pPr>
        <w:jc w:val="center"/>
        <w:rPr>
          <w:rFonts w:ascii="Times New Roman"/>
          <w:color w:val="FF0000"/>
          <w:sz w:val="32"/>
          <w:szCs w:val="32"/>
        </w:rPr>
      </w:pPr>
      <w:r>
        <w:rPr>
          <w:rFonts w:ascii="Times New Roman"/>
          <w:sz w:val="32"/>
          <w:szCs w:val="32"/>
        </w:rPr>
        <w:t>广西电网有限责任公司</w:t>
      </w:r>
      <w:r>
        <w:rPr>
          <w:rFonts w:hint="eastAsia" w:ascii="Times New Roman"/>
          <w:color w:val="000000"/>
          <w:sz w:val="32"/>
          <w:szCs w:val="32"/>
          <w:lang w:val="en-US" w:eastAsia="zh-CN"/>
        </w:rPr>
        <w:t>玉林</w:t>
      </w:r>
      <w:r>
        <w:rPr>
          <w:rFonts w:ascii="Times New Roman"/>
          <w:color w:val="000000"/>
          <w:sz w:val="32"/>
          <w:szCs w:val="32"/>
        </w:rPr>
        <w:t>供电局</w:t>
      </w:r>
    </w:p>
    <w:p>
      <w:pPr>
        <w:jc w:val="center"/>
        <w:rPr>
          <w:rFonts w:ascii="Times New Roman"/>
        </w:rPr>
        <w:sectPr>
          <w:footerReference r:id="rId3" w:type="even"/>
          <w:pgSz w:w="11906" w:h="16838"/>
          <w:pgMar w:top="1440" w:right="1080" w:bottom="1440" w:left="1080" w:header="851" w:footer="992" w:gutter="0"/>
          <w:cols w:space="720" w:num="1"/>
          <w:docGrid w:type="lines" w:linePitch="326" w:charSpace="0"/>
        </w:sectPr>
      </w:pPr>
      <w:r>
        <w:rPr>
          <w:rFonts w:ascii="Times New Roman"/>
          <w:sz w:val="32"/>
          <w:szCs w:val="32"/>
          <w:highlight w:val="none"/>
        </w:rPr>
        <w:t>202</w:t>
      </w:r>
      <w:r>
        <w:rPr>
          <w:rFonts w:hint="eastAsia" w:ascii="Times New Roman"/>
          <w:sz w:val="32"/>
          <w:szCs w:val="32"/>
          <w:highlight w:val="none"/>
          <w:lang w:val="en-US" w:eastAsia="zh-CN"/>
        </w:rPr>
        <w:t>6</w:t>
      </w:r>
      <w:r>
        <w:rPr>
          <w:rFonts w:ascii="Times New Roman"/>
          <w:sz w:val="32"/>
          <w:szCs w:val="32"/>
          <w:highlight w:val="none"/>
        </w:rPr>
        <w:t>年</w:t>
      </w:r>
      <w:r>
        <w:rPr>
          <w:rFonts w:hint="eastAsia" w:ascii="Times New Roman"/>
          <w:sz w:val="32"/>
          <w:szCs w:val="32"/>
          <w:highlight w:val="none"/>
          <w:lang w:val="en-US" w:eastAsia="zh-CN"/>
        </w:rPr>
        <w:t>04</w:t>
      </w:r>
      <w:r>
        <w:rPr>
          <w:rFonts w:ascii="Times New Roman"/>
          <w:sz w:val="32"/>
          <w:szCs w:val="32"/>
          <w:highlight w:val="none"/>
        </w:rPr>
        <w:t>月</w:t>
      </w:r>
    </w:p>
    <w:p>
      <w:pPr>
        <w:pStyle w:val="9"/>
        <w:ind w:left="0" w:leftChars="0" w:firstLine="0" w:firstLineChars="0"/>
        <w:outlineLvl w:val="0"/>
        <w:rPr>
          <w:rFonts w:hint="eastAsia" w:ascii="黑体" w:hAnsi="黑体" w:eastAsia="黑体"/>
          <w:b/>
          <w:bCs/>
          <w:sz w:val="28"/>
          <w:szCs w:val="21"/>
        </w:rPr>
      </w:pPr>
      <w:bookmarkStart w:id="0" w:name="_Toc7054"/>
      <w:bookmarkStart w:id="1" w:name="_Toc318799924"/>
      <w:bookmarkStart w:id="2" w:name="_Toc444945508"/>
      <w:bookmarkStart w:id="3" w:name="_Toc384997052"/>
      <w:r>
        <w:rPr>
          <w:rFonts w:hint="eastAsia" w:ascii="黑体" w:hAnsi="黑体" w:eastAsia="黑体"/>
          <w:b/>
          <w:bCs/>
          <w:sz w:val="28"/>
          <w:szCs w:val="21"/>
          <w:lang w:val="en-US" w:eastAsia="zh-CN"/>
        </w:rPr>
        <w:t>一、</w:t>
      </w:r>
      <w:r>
        <w:rPr>
          <w:rFonts w:hint="eastAsia" w:ascii="黑体" w:hAnsi="黑体" w:eastAsia="黑体"/>
          <w:b/>
          <w:bCs/>
          <w:sz w:val="28"/>
          <w:szCs w:val="21"/>
        </w:rPr>
        <w:t>总则</w:t>
      </w:r>
    </w:p>
    <w:p>
      <w:pPr>
        <w:pStyle w:val="4"/>
        <w:numPr>
          <w:ilvl w:val="0"/>
          <w:numId w:val="0"/>
        </w:numPr>
        <w:spacing w:line="360" w:lineRule="auto"/>
        <w:rPr>
          <w:rFonts w:ascii="Times New Roman" w:hAnsi="Times New Roman"/>
          <w:sz w:val="24"/>
          <w:szCs w:val="24"/>
        </w:rPr>
      </w:pPr>
      <w:r>
        <w:rPr>
          <w:rFonts w:ascii="Times New Roman" w:hAnsi="Times New Roman"/>
          <w:sz w:val="24"/>
          <w:szCs w:val="24"/>
        </w:rPr>
        <w:t>1.1 一般要求</w:t>
      </w:r>
      <w:bookmarkEnd w:id="0"/>
      <w:bookmarkEnd w:id="1"/>
      <w:bookmarkEnd w:id="2"/>
    </w:p>
    <w:p>
      <w:pPr>
        <w:spacing w:line="360" w:lineRule="auto"/>
        <w:rPr>
          <w:rFonts w:hint="eastAsia" w:ascii="Times New Roman"/>
          <w:sz w:val="24"/>
          <w:szCs w:val="24"/>
        </w:rPr>
      </w:pPr>
      <w:bookmarkStart w:id="4" w:name="_Toc299606280"/>
      <w:bookmarkStart w:id="5" w:name="_Toc444945511"/>
      <w:bookmarkStart w:id="6" w:name="_Toc353940791"/>
      <w:bookmarkStart w:id="7" w:name="_Toc353939553"/>
      <w:r>
        <w:rPr>
          <w:rFonts w:hint="eastAsia" w:ascii="Times New Roman"/>
          <w:sz w:val="24"/>
          <w:szCs w:val="24"/>
        </w:rPr>
        <w:t>1.1.1投标方必须认真阅读本技术条款内容，以免造成投标失败。</w:t>
      </w:r>
    </w:p>
    <w:p>
      <w:pPr>
        <w:spacing w:line="360" w:lineRule="auto"/>
        <w:rPr>
          <w:rFonts w:hint="eastAsia" w:ascii="Times New Roman"/>
          <w:sz w:val="24"/>
          <w:szCs w:val="24"/>
        </w:rPr>
      </w:pPr>
      <w:r>
        <w:rPr>
          <w:rFonts w:hint="eastAsia" w:ascii="Times New Roman"/>
          <w:sz w:val="24"/>
          <w:szCs w:val="24"/>
        </w:rPr>
        <w:t>1.1.2本技术规范书主要描述广西电网有限责任公司</w:t>
      </w:r>
      <w:r>
        <w:rPr>
          <w:rFonts w:hint="eastAsia" w:ascii="Times New Roman"/>
          <w:sz w:val="24"/>
          <w:szCs w:val="24"/>
          <w:lang w:val="en-US" w:eastAsia="zh-CN"/>
        </w:rPr>
        <w:t>玉林</w:t>
      </w:r>
      <w:r>
        <w:rPr>
          <w:rFonts w:hint="eastAsia" w:ascii="Times New Roman"/>
          <w:sz w:val="24"/>
          <w:szCs w:val="24"/>
        </w:rPr>
        <w:t>供电局“</w:t>
      </w:r>
      <w:r>
        <w:rPr>
          <w:rFonts w:hint="eastAsia" w:ascii="Times New Roman"/>
          <w:color w:val="000000"/>
          <w:sz w:val="24"/>
          <w:szCs w:val="24"/>
          <w:lang w:eastAsia="zh-CN"/>
        </w:rPr>
        <w:t>一种便携拖车式二次运维绝缘平台的研究与试制</w:t>
      </w:r>
      <w:r>
        <w:rPr>
          <w:rFonts w:hint="eastAsia" w:ascii="Times New Roman"/>
          <w:sz w:val="24"/>
          <w:szCs w:val="24"/>
        </w:rPr>
        <w:t>” 开发项目服务要求有关事项。</w:t>
      </w:r>
    </w:p>
    <w:p>
      <w:pPr>
        <w:spacing w:line="360" w:lineRule="auto"/>
        <w:rPr>
          <w:rFonts w:hint="eastAsia" w:ascii="Times New Roman"/>
          <w:sz w:val="24"/>
          <w:szCs w:val="24"/>
        </w:rPr>
      </w:pPr>
      <w:r>
        <w:rPr>
          <w:rFonts w:hint="eastAsia" w:ascii="Times New Roman"/>
          <w:sz w:val="24"/>
          <w:szCs w:val="24"/>
        </w:rPr>
        <w:t>1.1.3本技术规范书提出的是最低限度的技术要求, 并未对一切技术细节做出规定，也未充分引述有关标准和规范的条文。投标方应提供符合本招标技术文件工作产品、服务，认真阅读，逐条准确回答和陈述，必须清楚地说明是否满足本技术规范书的每一项具体要求。如果不满足要求，除在逐条应答时予以说明外，还需以“差异表”的形式另外列出。</w:t>
      </w:r>
    </w:p>
    <w:p>
      <w:pPr>
        <w:spacing w:line="360" w:lineRule="auto"/>
        <w:rPr>
          <w:rFonts w:hint="eastAsia" w:ascii="Times New Roman"/>
          <w:sz w:val="24"/>
          <w:szCs w:val="24"/>
        </w:rPr>
      </w:pPr>
      <w:r>
        <w:rPr>
          <w:rFonts w:hint="eastAsia" w:ascii="Times New Roman"/>
          <w:sz w:val="24"/>
          <w:szCs w:val="24"/>
        </w:rPr>
        <w:t>1.1.4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spacing w:line="360" w:lineRule="auto"/>
        <w:rPr>
          <w:rFonts w:hint="eastAsia" w:ascii="Times New Roman"/>
          <w:sz w:val="24"/>
          <w:szCs w:val="24"/>
        </w:rPr>
      </w:pPr>
      <w:r>
        <w:rPr>
          <w:rFonts w:hint="eastAsia" w:ascii="Times New Roman"/>
          <w:sz w:val="24"/>
          <w:szCs w:val="24"/>
        </w:rPr>
        <w:t>1.1.5如果投标方认为本技术条款所描述技术要求等存在不合理性或不明白的，可在响应原要求后陈述相关建议。</w:t>
      </w:r>
    </w:p>
    <w:p>
      <w:pPr>
        <w:spacing w:line="360" w:lineRule="auto"/>
        <w:rPr>
          <w:rFonts w:hint="eastAsia" w:ascii="Times New Roman"/>
          <w:sz w:val="24"/>
          <w:szCs w:val="24"/>
        </w:rPr>
      </w:pPr>
      <w:r>
        <w:rPr>
          <w:rFonts w:hint="eastAsia" w:ascii="Times New Roman"/>
          <w:sz w:val="24"/>
          <w:szCs w:val="24"/>
        </w:rPr>
        <w:t>1.1.6投标方也可提出满足本技术规范书要求，且技术先进、成熟、价格合理的其他建议，供招标方选择。</w:t>
      </w:r>
    </w:p>
    <w:p>
      <w:pPr>
        <w:spacing w:line="360" w:lineRule="auto"/>
        <w:rPr>
          <w:rFonts w:hint="eastAsia" w:ascii="Times New Roman"/>
          <w:sz w:val="24"/>
          <w:szCs w:val="24"/>
        </w:rPr>
      </w:pPr>
      <w:r>
        <w:rPr>
          <w:rFonts w:hint="eastAsia" w:ascii="Times New Roman"/>
          <w:sz w:val="24"/>
          <w:szCs w:val="24"/>
        </w:rPr>
        <w:t>1.1.7投标方应提供满足本技术规范书要求的完整的服务、工作产品，满足国家及用户提出的有关质量标准要求。所有工作产品必须具有在中国境内的合法使用权。</w:t>
      </w:r>
    </w:p>
    <w:p>
      <w:pPr>
        <w:spacing w:line="360" w:lineRule="auto"/>
        <w:rPr>
          <w:rFonts w:hint="eastAsia" w:ascii="Times New Roman"/>
          <w:sz w:val="24"/>
          <w:szCs w:val="24"/>
        </w:rPr>
      </w:pPr>
      <w:r>
        <w:rPr>
          <w:rFonts w:hint="eastAsia" w:ascii="Times New Roman"/>
          <w:sz w:val="24"/>
          <w:szCs w:val="24"/>
        </w:rPr>
        <w:t>1.1.8本技术规范书所使用的标准如与投标方所执行的标准不一致，按较高标准执行。</w:t>
      </w:r>
    </w:p>
    <w:p>
      <w:pPr>
        <w:spacing w:line="360" w:lineRule="auto"/>
        <w:rPr>
          <w:rFonts w:hint="eastAsia" w:ascii="Times New Roman"/>
          <w:sz w:val="24"/>
          <w:szCs w:val="24"/>
        </w:rPr>
      </w:pPr>
      <w:r>
        <w:rPr>
          <w:rFonts w:hint="eastAsia" w:ascii="Times New Roman"/>
          <w:sz w:val="24"/>
          <w:szCs w:val="24"/>
        </w:rPr>
        <w:t>1.1.9如果因为无法提供的原因而提供其他产品、服务，投标方应明确说明并提出质量保证承诺。</w:t>
      </w:r>
    </w:p>
    <w:p>
      <w:pPr>
        <w:spacing w:line="360" w:lineRule="auto"/>
        <w:rPr>
          <w:rFonts w:hint="eastAsia" w:ascii="Times New Roman"/>
          <w:sz w:val="24"/>
          <w:szCs w:val="24"/>
        </w:rPr>
      </w:pPr>
      <w:r>
        <w:rPr>
          <w:rFonts w:hint="eastAsia" w:ascii="Times New Roman"/>
          <w:sz w:val="24"/>
          <w:szCs w:val="24"/>
        </w:rPr>
        <w:t>1.1.10投标方应保证为今后招标方开发的或招标方委托第三方开发的其他工作产品提供可靠的性能和兼容性。</w:t>
      </w:r>
    </w:p>
    <w:p>
      <w:pPr>
        <w:spacing w:line="360" w:lineRule="auto"/>
        <w:rPr>
          <w:rFonts w:hint="eastAsia" w:ascii="Times New Roman"/>
          <w:sz w:val="24"/>
          <w:szCs w:val="24"/>
        </w:rPr>
      </w:pPr>
      <w:r>
        <w:rPr>
          <w:rFonts w:hint="eastAsia" w:ascii="Times New Roman"/>
          <w:sz w:val="24"/>
          <w:szCs w:val="24"/>
        </w:rPr>
        <w:t>1.1.11投标方应对本次投标所有文件保密，不得向其他单位公布或泄漏招标项目的有关信息。</w:t>
      </w:r>
    </w:p>
    <w:p>
      <w:pPr>
        <w:spacing w:line="360" w:lineRule="auto"/>
        <w:rPr>
          <w:rFonts w:hint="eastAsia" w:ascii="Times New Roman"/>
          <w:sz w:val="24"/>
          <w:szCs w:val="24"/>
        </w:rPr>
      </w:pPr>
      <w:r>
        <w:rPr>
          <w:rFonts w:hint="eastAsia" w:ascii="Times New Roman"/>
          <w:sz w:val="24"/>
          <w:szCs w:val="24"/>
        </w:rPr>
        <w:t>1.1.12招标方保留技术规范书修改的权利，可以提出变更的意见和建议，最终签订的技术协议与合同具有同等效力。</w:t>
      </w:r>
    </w:p>
    <w:p>
      <w:pPr>
        <w:spacing w:line="360" w:lineRule="auto"/>
        <w:rPr>
          <w:rFonts w:hint="eastAsia" w:ascii="Times New Roman"/>
          <w:sz w:val="24"/>
          <w:szCs w:val="24"/>
        </w:rPr>
      </w:pPr>
      <w:r>
        <w:rPr>
          <w:rFonts w:hint="eastAsia" w:ascii="Times New Roman"/>
          <w:sz w:val="24"/>
          <w:szCs w:val="24"/>
        </w:rPr>
        <w:t>1.1.13在不超出本技术规范书要求的情况下，投标方应对招标方提出的所有细化要求予以满足。</w:t>
      </w:r>
    </w:p>
    <w:p>
      <w:pPr>
        <w:spacing w:line="360" w:lineRule="auto"/>
        <w:rPr>
          <w:rFonts w:hint="eastAsia" w:ascii="Times New Roman"/>
          <w:sz w:val="24"/>
          <w:szCs w:val="24"/>
        </w:rPr>
      </w:pPr>
      <w:r>
        <w:rPr>
          <w:rFonts w:hint="eastAsia" w:ascii="Times New Roman"/>
          <w:sz w:val="24"/>
          <w:szCs w:val="24"/>
        </w:rPr>
        <w:t>1.1.14投标方建议书的详细要求见招标书的商务部分。投标方必须随投标文件提供具有全部建议书的U盘文件壹份。文件格式要求为：文字部分用Microsoft WORD 2003，表格部分用Microsoft EXCEL 2003，图纸部分用Microsoft Visio 2003。投标内容以印刷的投标文件正本为准。</w:t>
      </w:r>
    </w:p>
    <w:p>
      <w:pPr>
        <w:spacing w:line="360" w:lineRule="auto"/>
        <w:rPr>
          <w:rFonts w:hint="eastAsia" w:ascii="Times New Roman"/>
          <w:sz w:val="24"/>
          <w:szCs w:val="24"/>
        </w:rPr>
      </w:pPr>
      <w:r>
        <w:rPr>
          <w:rFonts w:hint="eastAsia" w:ascii="Times New Roman"/>
          <w:sz w:val="24"/>
          <w:szCs w:val="24"/>
        </w:rPr>
        <w:t>1.1.15有文件、图纸、通信的均使用中文。所有计算、说明、图纸文件、手册等使用国际单位制。</w:t>
      </w:r>
    </w:p>
    <w:p>
      <w:pPr>
        <w:pStyle w:val="4"/>
        <w:numPr>
          <w:ilvl w:val="0"/>
          <w:numId w:val="0"/>
        </w:numPr>
        <w:spacing w:line="360" w:lineRule="auto"/>
        <w:ind w:left="142"/>
        <w:rPr>
          <w:rFonts w:ascii="Times New Roman" w:hAnsi="Times New Roman"/>
          <w:sz w:val="28"/>
          <w:szCs w:val="36"/>
        </w:rPr>
      </w:pPr>
      <w:bookmarkStart w:id="8" w:name="_Toc222711875"/>
      <w:bookmarkStart w:id="9" w:name="_Toc255894290"/>
      <w:bookmarkStart w:id="10" w:name="_Toc252485428"/>
      <w:bookmarkStart w:id="11" w:name="_Toc293665071"/>
      <w:bookmarkStart w:id="12" w:name="_Toc261810243"/>
      <w:bookmarkStart w:id="13" w:name="_Toc5163"/>
      <w:bookmarkStart w:id="14" w:name="_Toc582"/>
      <w:bookmarkStart w:id="15" w:name="_Toc445194080"/>
      <w:bookmarkStart w:id="16" w:name="_Toc252486971"/>
      <w:r>
        <w:rPr>
          <w:rFonts w:ascii="Times New Roman" w:hAnsi="Times New Roman"/>
          <w:sz w:val="28"/>
          <w:szCs w:val="36"/>
        </w:rPr>
        <w:t>1.2</w:t>
      </w:r>
      <w:bookmarkEnd w:id="8"/>
      <w:bookmarkEnd w:id="9"/>
      <w:bookmarkEnd w:id="10"/>
      <w:bookmarkEnd w:id="11"/>
      <w:bookmarkEnd w:id="12"/>
      <w:bookmarkEnd w:id="13"/>
      <w:bookmarkEnd w:id="14"/>
      <w:bookmarkEnd w:id="15"/>
      <w:bookmarkEnd w:id="16"/>
      <w:r>
        <w:rPr>
          <w:rFonts w:hint="eastAsia" w:ascii="Times New Roman" w:hAnsi="Times New Roman"/>
          <w:sz w:val="28"/>
          <w:szCs w:val="36"/>
        </w:rPr>
        <w:t>招标方职责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1.2.1提出“</w:t>
      </w:r>
      <w:r>
        <w:rPr>
          <w:rFonts w:hint="eastAsia" w:ascii="Times New Roman"/>
          <w:color w:val="000000"/>
          <w:sz w:val="24"/>
          <w:szCs w:val="24"/>
          <w:lang w:eastAsia="zh-CN"/>
        </w:rPr>
        <w:t>一种便携拖车式二次运维绝缘平台的研究与试制</w:t>
      </w:r>
      <w:r>
        <w:rPr>
          <w:rFonts w:hint="eastAsia" w:ascii="Times New Roman"/>
          <w:color w:val="000000"/>
          <w:sz w:val="24"/>
          <w:szCs w:val="24"/>
        </w:rPr>
        <w:t>”的详细需求；</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1.2.2制定项目开发总体技术路线；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1.2.3为响应方收集项目开发所需原始资料等提供协助；</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1.2.4按照响应方提出的项目开发条件要求提供配合人员和开发场地；</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1.2.5负责装置功能验收；</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1.2.6为响应方人员在采购方所在地工作期间提供支持与方便；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1.2.7指派技术人员协助项目实施，但指派的技术人员不对合同履行情况承担责任。</w:t>
      </w:r>
    </w:p>
    <w:p>
      <w:pPr>
        <w:pStyle w:val="4"/>
        <w:numPr>
          <w:ilvl w:val="0"/>
          <w:numId w:val="0"/>
        </w:numPr>
        <w:spacing w:line="360" w:lineRule="auto"/>
        <w:ind w:left="142"/>
        <w:rPr>
          <w:rFonts w:hint="eastAsia" w:ascii="Times New Roman" w:hAnsi="Times New Roman" w:cs="Times New Roman"/>
          <w:sz w:val="28"/>
          <w:szCs w:val="36"/>
        </w:rPr>
      </w:pPr>
      <w:r>
        <w:rPr>
          <w:rFonts w:hint="eastAsia" w:ascii="Times New Roman" w:hAnsi="Times New Roman" w:cs="Times New Roman"/>
          <w:sz w:val="28"/>
          <w:szCs w:val="36"/>
        </w:rPr>
        <w:t>1.3投标方职责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1.3.1提供完整的技术服务详细清单和报价；</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1.3.2按合同范围提供完整的项目实施方案加工图、材料清单及技术方案说明；</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1.3.3按合同要求进行“</w:t>
      </w:r>
      <w:r>
        <w:rPr>
          <w:rFonts w:hint="eastAsia" w:ascii="Times New Roman"/>
          <w:color w:val="000000"/>
          <w:sz w:val="24"/>
          <w:szCs w:val="24"/>
          <w:lang w:eastAsia="zh-CN"/>
        </w:rPr>
        <w:t>一种便携拖车式二次运维绝缘平台的研究与试制</w:t>
      </w:r>
      <w:r>
        <w:rPr>
          <w:rFonts w:hint="eastAsia" w:ascii="Times New Roman"/>
          <w:color w:val="000000"/>
          <w:sz w:val="24"/>
          <w:szCs w:val="24"/>
        </w:rPr>
        <w:t>”项目的建设工作；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1.3.4负责协助功能评审和现场验收工作；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1.3.5负责质保期间技术服务的维护；</w:t>
      </w:r>
    </w:p>
    <w:p>
      <w:pPr>
        <w:autoSpaceDE w:val="0"/>
        <w:autoSpaceDN w:val="0"/>
        <w:adjustRightInd w:val="0"/>
        <w:spacing w:line="360" w:lineRule="auto"/>
        <w:rPr>
          <w:rFonts w:ascii="Times New Roman"/>
          <w:color w:val="000000"/>
          <w:sz w:val="24"/>
          <w:szCs w:val="24"/>
          <w:lang w:val="zh-CN"/>
        </w:rPr>
      </w:pPr>
      <w:r>
        <w:rPr>
          <w:rFonts w:hint="eastAsia" w:ascii="Times New Roman"/>
          <w:color w:val="000000"/>
          <w:sz w:val="24"/>
          <w:szCs w:val="24"/>
        </w:rPr>
        <w:t>1.3.6按期提交满足采购方要求的“</w:t>
      </w:r>
      <w:r>
        <w:rPr>
          <w:rFonts w:hint="eastAsia" w:ascii="Times New Roman"/>
          <w:color w:val="000000"/>
          <w:sz w:val="24"/>
          <w:szCs w:val="24"/>
          <w:lang w:eastAsia="zh-CN"/>
        </w:rPr>
        <w:t>一种便携拖车式二次运维绝缘平台的研究与试制</w:t>
      </w:r>
      <w:r>
        <w:rPr>
          <w:rFonts w:hint="eastAsia" w:ascii="Times New Roman"/>
          <w:color w:val="000000"/>
          <w:sz w:val="24"/>
          <w:szCs w:val="24"/>
        </w:rPr>
        <w:t>”项目成果。</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二、工作范围</w:t>
      </w:r>
    </w:p>
    <w:bookmarkEnd w:id="3"/>
    <w:bookmarkEnd w:id="4"/>
    <w:bookmarkEnd w:id="5"/>
    <w:bookmarkEnd w:id="6"/>
    <w:bookmarkEnd w:id="7"/>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2.1项目概况</w:t>
      </w:r>
    </w:p>
    <w:p>
      <w:pPr>
        <w:pStyle w:val="9"/>
        <w:ind w:firstLine="640"/>
        <w:outlineLvl w:val="2"/>
        <w:rPr>
          <w:rFonts w:hint="default" w:ascii="Times New Roman" w:hAnsi="Calibri" w:eastAsia="宋体" w:cs="Times New Roman"/>
          <w:color w:val="000000"/>
          <w:kern w:val="2"/>
          <w:sz w:val="24"/>
          <w:szCs w:val="24"/>
          <w:lang w:val="en-US" w:eastAsia="zh-CN" w:bidi="ar-SA"/>
        </w:rPr>
      </w:pPr>
      <w:r>
        <w:rPr>
          <w:rFonts w:hint="default" w:ascii="Times New Roman" w:hAnsi="Calibri" w:eastAsia="宋体" w:cs="Times New Roman"/>
          <w:color w:val="000000"/>
          <w:kern w:val="2"/>
          <w:sz w:val="24"/>
          <w:szCs w:val="24"/>
          <w:lang w:val="en-US" w:eastAsia="zh-CN" w:bidi="ar-SA"/>
        </w:rPr>
        <w:t>为提升配网自动化开闭所的安装调试与运维效率，研制一种便携拖车式二次运维绝缘平台。该平台由平台主体、支撑调节模块和拖车式移动模块组成，具备轻便可折叠、运输便捷、安装快捷、绝缘安全等特点。操作人员可在现场快速展开平台，调节支撑结构高度，插入并固定安全护栏，构建稳固的高处作业环境。平台适用于仓库预调试、现场定值修改、设备验收及故障排查等多种场景，能显著提升操作的安全性与便捷性。通过该平台，开闭所相关运维工作的效率预计可提升约20%，有效保障现场作业的规范、高效开展。</w:t>
      </w:r>
    </w:p>
    <w:p>
      <w:pPr>
        <w:pStyle w:val="9"/>
        <w:ind w:firstLine="640"/>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2.2加工内容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提升配网自动化开闭所的安装调试与运维效率，研制一种便携拖车式二次运维绝缘平台。该平台由平台主体、支撑调节模块和拖车式移动模块组成，具备轻便可折叠、运输便捷、安装快捷、绝缘安全等特点。操作人员可在现场快速展开平台，调节支撑结构高度，插入并固定安全护栏，构建稳固的高处作业环境。平台适用于仓库预调试、现场定值修改、设备验收及故障排查等多种场景，能显著提升操作的安全性与便捷性。通过该平台，开闭所相关运维工作的效率预计可提升约20%，有效保障现场作业的规范、高效开展。</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2.3交付成果</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1843"/>
        <w:gridCol w:w="3932"/>
        <w:gridCol w:w="1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序号</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名称</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内容</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数量/份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olor w:val="000000"/>
                <w:sz w:val="24"/>
                <w:szCs w:val="24"/>
                <w:lang w:eastAsia="zh-CN"/>
              </w:rPr>
              <w:t>一种便携拖车式二次运维绝缘平台</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olor w:val="000000"/>
                <w:sz w:val="24"/>
                <w:szCs w:val="24"/>
                <w:lang w:eastAsia="zh-CN"/>
              </w:rPr>
              <w:t>一种便携拖车式二次运维绝缘平台的研究与试制</w:t>
            </w:r>
            <w:r>
              <w:rPr>
                <w:rFonts w:hint="eastAsia" w:ascii="Times New Roman" w:cs="Times New Roman"/>
                <w:sz w:val="24"/>
                <w:szCs w:val="24"/>
                <w:lang w:val="en-US" w:eastAsia="zh-CN"/>
              </w:rPr>
              <w:t>的加工；</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ascii="宋体" w:hAnsi="宋体" w:eastAsia="宋体" w:cs="宋体"/>
                <w:kern w:val="0"/>
                <w:sz w:val="24"/>
                <w:szCs w:val="24"/>
                <w:lang w:val="en-US" w:eastAsia="zh-CN" w:bidi="ar"/>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2</w:t>
            </w:r>
          </w:p>
        </w:tc>
        <w:tc>
          <w:tcPr>
            <w:tcW w:w="1843" w:type="dxa"/>
            <w:noWrap w:val="0"/>
            <w:vAlign w:val="center"/>
          </w:tcPr>
          <w:p>
            <w:pPr>
              <w:keepNext w:val="0"/>
              <w:keepLines w:val="0"/>
              <w:widowControl/>
              <w:suppressLineNumbers w:val="0"/>
              <w:jc w:val="left"/>
              <w:rPr>
                <w:rFonts w:hint="eastAsia" w:ascii="仿宋" w:hAnsi="仿宋" w:eastAsia="仿宋" w:cs="仿宋"/>
                <w:kern w:val="2"/>
                <w:sz w:val="24"/>
                <w:szCs w:val="24"/>
                <w:highlight w:val="none"/>
                <w:lang w:val="en-US" w:eastAsia="zh-CN" w:bidi="ar-SA"/>
              </w:rPr>
            </w:pPr>
            <w:r>
              <w:rPr>
                <w:rFonts w:ascii="宋体" w:hAnsi="宋体" w:eastAsia="宋体" w:cs="宋体"/>
                <w:kern w:val="0"/>
                <w:sz w:val="24"/>
                <w:szCs w:val="24"/>
                <w:lang w:val="en-US" w:eastAsia="zh-CN" w:bidi="ar"/>
              </w:rPr>
              <w:t>第三方测试报告</w:t>
            </w:r>
          </w:p>
        </w:tc>
        <w:tc>
          <w:tcPr>
            <w:tcW w:w="3932" w:type="dxa"/>
            <w:noWrap w:val="0"/>
            <w:vAlign w:val="center"/>
          </w:tcPr>
          <w:p>
            <w:pPr>
              <w:keepNext w:val="0"/>
              <w:keepLines w:val="0"/>
              <w:widowControl/>
              <w:suppressLineNumbers w:val="0"/>
              <w:jc w:val="left"/>
              <w:rPr>
                <w:rFonts w:hint="eastAsia" w:ascii="仿宋" w:hAnsi="仿宋" w:eastAsia="仿宋" w:cs="仿宋"/>
                <w:kern w:val="2"/>
                <w:sz w:val="24"/>
                <w:szCs w:val="24"/>
                <w:highlight w:val="none"/>
                <w:lang w:val="en-US" w:eastAsia="zh-CN" w:bidi="ar-SA"/>
              </w:rPr>
            </w:pPr>
            <w:r>
              <w:rPr>
                <w:rFonts w:ascii="宋体" w:hAnsi="宋体" w:eastAsia="宋体" w:cs="宋体"/>
                <w:kern w:val="0"/>
                <w:sz w:val="24"/>
                <w:szCs w:val="24"/>
                <w:lang w:val="en-US" w:eastAsia="zh-CN" w:bidi="ar"/>
              </w:rPr>
              <w:t>由 CMA/CNAS 资质机构出具，含功能、安全、稳定性、兼容性测试</w:t>
            </w:r>
          </w:p>
        </w:tc>
        <w:tc>
          <w:tcPr>
            <w:tcW w:w="1292" w:type="dxa"/>
            <w:noWrap w:val="0"/>
            <w:vAlign w:val="center"/>
          </w:tcPr>
          <w:p>
            <w:pPr>
              <w:keepNext w:val="0"/>
              <w:keepLines w:val="0"/>
              <w:widowControl/>
              <w:suppressLineNumbers w:val="0"/>
              <w:ind w:firstLine="240" w:firstLineChars="100"/>
              <w:jc w:val="left"/>
              <w:rPr>
                <w:rFonts w:hint="eastAsia" w:ascii="宋体" w:hAnsi="宋体" w:eastAsia="宋体" w:cs="Times New Roman"/>
                <w:kern w:val="2"/>
                <w:sz w:val="24"/>
                <w:szCs w:val="24"/>
                <w:lang w:val="en-US" w:eastAsia="zh-CN" w:bidi="ar-SA"/>
              </w:rPr>
            </w:pPr>
            <w:r>
              <w:rPr>
                <w:rFonts w:ascii="宋体" w:hAnsi="宋体" w:eastAsia="宋体" w:cs="宋体"/>
                <w:kern w:val="0"/>
                <w:sz w:val="24"/>
                <w:szCs w:val="24"/>
                <w:lang w:val="en-US" w:eastAsia="zh-CN" w:bidi="ar"/>
              </w:rPr>
              <w:t>1份</w:t>
            </w:r>
          </w:p>
        </w:tc>
      </w:tr>
    </w:tbl>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三、应遵循的主要标准</w:t>
      </w:r>
    </w:p>
    <w:p>
      <w:pPr>
        <w:pStyle w:val="9"/>
        <w:ind w:left="0" w:leftChars="0" w:firstLine="482" w:firstLineChars="200"/>
        <w:outlineLvl w:val="1"/>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3.1</w:t>
      </w:r>
      <w:r>
        <w:rPr>
          <w:rFonts w:hint="eastAsia" w:ascii="宋体" w:hAnsi="宋体" w:eastAsia="宋体" w:cs="宋体"/>
          <w:b/>
          <w:bCs w:val="0"/>
          <w:sz w:val="24"/>
          <w:szCs w:val="24"/>
        </w:rPr>
        <w:t>验收标准</w:t>
      </w:r>
      <w:bookmarkStart w:id="17" w:name="_GoBack"/>
      <w:bookmarkEnd w:id="17"/>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（1）投标方应负责在项目验收时将项目的全部有关技术文件、目标代码文件、项目资料等文档汇集成册或者另存到U盘中交付给招标方。</w:t>
      </w:r>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（2）招标方可根据合同及招标书和招标方的有关规定进行修改和补充,经双方确认后形成验收文件作为验收依据。验收评审合格后5日内，若无问题，经双方确认后，签署最终验收文件。</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3.2项目资料要求</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（1）投标方提供的文件和资料应能满足招标方进行维护和进一步完善的需要。</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（2）提供的图纸应符合标准规格。</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（3）投标方应向招标方提供项目的所有交付物（电子版）。</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四、供应商需说明的其他问题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4.1组织保证</w:t>
      </w:r>
    </w:p>
    <w:p>
      <w:pPr>
        <w:pStyle w:val="9"/>
        <w:ind w:firstLine="640"/>
        <w:rPr>
          <w:rFonts w:hint="default"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应答方应保证相应的技术开发、加工测试能力</w:t>
      </w:r>
      <w:r>
        <w:rPr>
          <w:rFonts w:hint="eastAsia" w:ascii="Times New Roman" w:eastAsia="宋体" w:cs="Times New Roman"/>
          <w:kern w:val="2"/>
          <w:sz w:val="24"/>
          <w:szCs w:val="32"/>
          <w:lang w:val="en-US" w:eastAsia="zh-CN" w:bidi="ar-SA"/>
        </w:rPr>
        <w:t>，并至少1名项目经理，3名技术人员参与本项目，并具备相关项目经验</w:t>
      </w:r>
      <w:r>
        <w:rPr>
          <w:rFonts w:hint="eastAsia" w:ascii="Times New Roman" w:hAnsi="Calibri" w:eastAsia="宋体" w:cs="Times New Roman"/>
          <w:kern w:val="2"/>
          <w:sz w:val="24"/>
          <w:szCs w:val="32"/>
          <w:lang w:val="en-US" w:eastAsia="zh-CN" w:bidi="ar-SA"/>
        </w:rPr>
        <w:t xml:space="preserve">。 </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4.2质量保证</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建立严格的质量保证体系，制定项目开发建设质量控制方案和实施措施，并督促落实各环节质量控制内容和目标；保证总体规划加工、开发与实施、系统运行与验收各个阶段工作满足采购人对质量的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应答方应根据整个项目工作计划，对阶段性工作成果进行审查和测试，并向项目单位提交阶段性工作成果。通过保证各阶段性成果的质量，最终保证整个项目质量。</w:t>
      </w:r>
    </w:p>
    <w:p>
      <w:pPr>
        <w:pStyle w:val="9"/>
        <w:ind w:firstLine="640"/>
        <w:rPr>
          <w:rFonts w:hint="eastAsia" w:ascii="Times New Roman"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投标人需提供在有效期内的质量、环境、职业健康等三体系认证证书，并提供有效证明。</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投标人需提供近三年内已完成相关业绩证明，其中不少于5项机械加工项目。</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五、后续服务要求及其他</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5.1其他服务要求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保证期内，响应方在接到用户维护请求12小时内做出回复，常见系统故障24小时内通过远程和现场用户相配合的方式解决问题或提出解决方案供用户参考，若仍无法解决则在下一48小时内派工程师现场解决问题。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5.2实用化推广培训要求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 承包方应能够为本系统的使用客户提供一套完整的培训计划，针对有关的技术人员，施以专业的培训，使所建成的系统能够发挥最大的效益；</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2）按进度要求完成高压电容器元件击穿定位与监测装置项目成员对成果的保管、现场使用方法、试验方法等的培训工作；</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3）项目完成后提供一年技术服务支持。</w:t>
      </w:r>
    </w:p>
    <w:p>
      <w:pPr>
        <w:pStyle w:val="9"/>
        <w:ind w:left="0" w:leftChars="0" w:firstLine="0" w:firstLineChars="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5.3保密要求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1）保密范围</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项目参与人员及管理、辅助人员对因本项目实施过程所知悉的、未正式公开的一切资料和信息及加工组装测试所涉及成果和主要方案负有保密责任。</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2）保密期限</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自相关资料或信息以及加工组装所涉及成果和主要方案正式向社会公开之日或任务下达方书面解除任务承担方此任务项下保密义务之日起终止。</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5.4技术成果权益的归属和分享</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除特殊情况由双方另行协商外，履行本任务产生的发明创造和技术成果归发包方所有，就技术成果产生的专利权、使用收益权、转让权、申请奖励权、成果发布权等权属按以下条款处置。</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1）履行本任务产生的技术成果申请专利的权利归任务发包方享有。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2）本任务产生的技术秘密的转让权属于任务发包方，任务承担方不得向第三方转让该技术秘密或其使用权，亦不得许可第三方实施使用，任务承担方擅自转让所产生的利益归任务发包方所有。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3）履行本任务产生的技术成果（包括技术秘密）申请奖励的权利归任务发包方享有。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4）本任务所产生加工成果的发表权归发包方所有。任务承担方应制定相应规章制度约束项目组成员的个人行为。</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 xml:space="preserve">5）使用履行本任务产生的技术成果参与国际标准、国家标准或行业标准等的制定或修订工作的权利属于任务发包方所有。 </w:t>
      </w:r>
    </w:p>
    <w:p>
      <w:pPr>
        <w:widowControl/>
        <w:spacing w:line="360" w:lineRule="auto"/>
        <w:ind w:firstLine="630" w:firstLineChars="300"/>
        <w:jc w:val="left"/>
        <w:textAlignment w:val="center"/>
      </w:pPr>
    </w:p>
    <w:sectPr>
      <w:headerReference r:id="rId4" w:type="default"/>
      <w:footerReference r:id="rId5" w:type="default"/>
      <w:pgSz w:w="11906" w:h="16838"/>
      <w:pgMar w:top="1440" w:right="1080" w:bottom="1440" w:left="1080" w:header="851" w:footer="992" w:gutter="0"/>
      <w:pgNumType w:start="1"/>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5</w: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r>
      <w:drawing>
        <wp:inline distT="0" distB="0" distL="114300" distR="114300">
          <wp:extent cx="1554480" cy="273685"/>
          <wp:effectExtent l="0" t="0" r="7620" b="571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space"/>
      <w:lvlText w:val="%1."/>
      <w:lvlJc w:val="left"/>
      <w:pPr>
        <w:ind w:left="0" w:firstLine="0"/>
      </w:pPr>
      <w:rPr>
        <w:rFonts w:hint="eastAsia"/>
      </w:rPr>
    </w:lvl>
    <w:lvl w:ilvl="1" w:tentative="0">
      <w:start w:val="1"/>
      <w:numFmt w:val="decimal"/>
      <w:pStyle w:val="4"/>
      <w:isLgl/>
      <w:suff w:val="space"/>
      <w:lvlText w:val="%1.%2"/>
      <w:lvlJc w:val="left"/>
      <w:pPr>
        <w:ind w:left="142" w:firstLine="0"/>
      </w:pPr>
      <w:rPr>
        <w:rFonts w:hint="eastAsia"/>
        <w:b w:val="0"/>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750644"/>
    <w:rsid w:val="05137D43"/>
    <w:rsid w:val="07CB7A7F"/>
    <w:rsid w:val="085123CD"/>
    <w:rsid w:val="0A180DD2"/>
    <w:rsid w:val="0D344206"/>
    <w:rsid w:val="0EC864F6"/>
    <w:rsid w:val="0F162FE0"/>
    <w:rsid w:val="1C750644"/>
    <w:rsid w:val="22F23115"/>
    <w:rsid w:val="26697F27"/>
    <w:rsid w:val="27B47788"/>
    <w:rsid w:val="2A49521B"/>
    <w:rsid w:val="365831C4"/>
    <w:rsid w:val="3BDF5FAE"/>
    <w:rsid w:val="3E277DFD"/>
    <w:rsid w:val="44780D81"/>
    <w:rsid w:val="4D3C70C3"/>
    <w:rsid w:val="4D7D11B1"/>
    <w:rsid w:val="4EC50E66"/>
    <w:rsid w:val="506C7CCF"/>
    <w:rsid w:val="54024103"/>
    <w:rsid w:val="574D43A9"/>
    <w:rsid w:val="5CDD75C9"/>
    <w:rsid w:val="62351307"/>
    <w:rsid w:val="628C5DDF"/>
    <w:rsid w:val="70432D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2"/>
    <w:basedOn w:val="1"/>
    <w:next w:val="1"/>
    <w:qFormat/>
    <w:uiPriority w:val="0"/>
    <w:pPr>
      <w:keepNext/>
      <w:keepLines/>
      <w:numPr>
        <w:ilvl w:val="1"/>
        <w:numId w:val="1"/>
      </w:numPr>
      <w:outlineLvl w:val="1"/>
    </w:pPr>
    <w:rPr>
      <w:rFonts w:ascii="Calibri" w:hAnsi="Arial" w:eastAsia="宋体" w:cs="Times New Roman"/>
      <w:b/>
      <w:bCs/>
      <w:szCs w:val="32"/>
    </w:rPr>
  </w:style>
  <w:style w:type="paragraph" w:styleId="5">
    <w:name w:val="heading 5"/>
    <w:basedOn w:val="1"/>
    <w:next w:val="1"/>
    <w:semiHidden/>
    <w:unhideWhenUsed/>
    <w:qFormat/>
    <w:uiPriority w:val="0"/>
    <w:pPr>
      <w:keepNext/>
      <w:keepLines/>
      <w:spacing w:before="20" w:beforeLines="0" w:beforeAutospacing="0" w:after="20" w:afterLines="0" w:afterAutospacing="0" w:line="372" w:lineRule="auto"/>
      <w:outlineLvl w:val="4"/>
    </w:pPr>
    <w:rPr>
      <w:rFonts w:asciiTheme="minorAscii" w:hAnsiTheme="minorAscii"/>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6">
    <w:name w:val="header"/>
    <w:basedOn w:val="1"/>
    <w:qFormat/>
    <w:uiPriority w:val="0"/>
    <w:pPr>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18"/>
    </w:rPr>
  </w:style>
  <w:style w:type="paragraph" w:customStyle="1" w:styleId="9">
    <w:name w:val="自编正文"/>
    <w:basedOn w:val="1"/>
    <w:qFormat/>
    <w:uiPriority w:val="0"/>
    <w:pPr>
      <w:spacing w:line="560" w:lineRule="exact"/>
      <w:ind w:firstLine="200" w:firstLineChars="200"/>
    </w:pPr>
    <w:rPr>
      <w:rFonts w:ascii="Calibri" w:hAnsi="Calibri" w:eastAsia="方正仿宋_GBK" w:cs="Times New Roman"/>
      <w:sz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4571</Words>
  <Characters>4803</Characters>
  <Lines>0</Lines>
  <Paragraphs>0</Paragraphs>
  <TotalTime>0</TotalTime>
  <ScaleCrop>false</ScaleCrop>
  <LinksUpToDate>false</LinksUpToDate>
  <CharactersWithSpaces>4816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2025-08-01T06:51:00Z</dcterms:created>
  <dc:creator>盛俊杰</dc:creator>
  <cp:lastModifiedBy>黎业欣</cp:lastModifiedBy>
  <dcterms:modified xsi:type="dcterms:W3CDTF">2026-05-21T07:59:52Z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84412FFAA09C419EABC1AE52BABCFA67_13</vt:lpwstr>
  </property>
  <property fmtid="{D5CDD505-2E9C-101B-9397-08002B2CF9AE}" pid="4" name="KSOTemplateDocerSaveRecord">
    <vt:lpwstr>eyJoZGlkIjoiNmUwZThlNzcwZDVlN2I0ZTMzZDU3N2Y5OWY4OWFmZDkiLCJ1c2VySWQiOiIxMjA0ODk3OTI2In0=</vt:lpwstr>
  </property>
</Properties>
</file>