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pPr>
    </w:p>
    <w:p>
      <w:pPr>
        <w:bidi w:val="0"/>
      </w:pPr>
    </w:p>
    <w:p>
      <w:pPr>
        <w:bidi w:val="0"/>
      </w:pPr>
    </w:p>
    <w:p>
      <w:pPr>
        <w:jc w:val="center"/>
        <w:rPr>
          <w:rFonts w:ascii="Times New Roman"/>
        </w:rPr>
      </w:pPr>
    </w:p>
    <w:p>
      <w:pPr>
        <w:jc w:val="center"/>
        <w:rPr>
          <w:rFonts w:hint="eastAsia" w:ascii="Times New Roman" w:cs="Times New Roman"/>
          <w:b/>
          <w:sz w:val="48"/>
          <w:szCs w:val="48"/>
          <w:lang w:eastAsia="zh-CN"/>
        </w:rPr>
      </w:pPr>
      <w:r>
        <w:rPr>
          <w:rFonts w:hint="eastAsia" w:ascii="Times New Roman" w:cs="Times New Roman"/>
          <w:b/>
          <w:sz w:val="48"/>
          <w:szCs w:val="48"/>
          <w:lang w:eastAsia="zh-CN"/>
        </w:rPr>
        <w:t>研究通用型直线铁塔地线及光缆更换装置</w:t>
      </w:r>
    </w:p>
    <w:p>
      <w:pPr>
        <w:jc w:val="center"/>
        <w:rPr>
          <w:rFonts w:ascii="Times New Roman"/>
          <w:b/>
          <w:sz w:val="48"/>
          <w:szCs w:val="48"/>
        </w:rPr>
      </w:pPr>
      <w:r>
        <w:rPr>
          <w:rFonts w:ascii="Times New Roman"/>
          <w:b/>
          <w:sz w:val="48"/>
          <w:szCs w:val="48"/>
        </w:rPr>
        <w:t>技术规范书</w:t>
      </w: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rPr>
          <w:rFonts w:hint="eastAsia"/>
          <w:lang w:val="en-US" w:eastAsia="zh-CN"/>
        </w:rPr>
      </w:pPr>
      <w:r>
        <w:rPr>
          <w:rFonts w:hint="eastAsia"/>
          <w:lang w:val="en-US" w:eastAsia="zh-CN"/>
        </w:rPr>
        <w:t xml:space="preserve"> </w:t>
      </w: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pPr>
    </w:p>
    <w:p>
      <w:pPr>
        <w:jc w:val="center"/>
        <w:rPr>
          <w:rFonts w:ascii="Times New Roman"/>
          <w:color w:val="FF0000"/>
          <w:sz w:val="32"/>
          <w:szCs w:val="32"/>
        </w:rPr>
      </w:pPr>
      <w:r>
        <w:rPr>
          <w:rFonts w:ascii="Times New Roman"/>
          <w:sz w:val="32"/>
          <w:szCs w:val="32"/>
        </w:rPr>
        <w:t>广西电网有限责任公司</w:t>
      </w:r>
      <w:r>
        <w:rPr>
          <w:rFonts w:hint="eastAsia" w:ascii="Times New Roman"/>
          <w:color w:val="000000"/>
          <w:sz w:val="32"/>
          <w:szCs w:val="32"/>
          <w:lang w:val="en-US" w:eastAsia="zh-CN"/>
        </w:rPr>
        <w:t>玉林</w:t>
      </w:r>
      <w:r>
        <w:rPr>
          <w:rFonts w:ascii="Times New Roman"/>
          <w:color w:val="000000"/>
          <w:sz w:val="32"/>
          <w:szCs w:val="32"/>
        </w:rPr>
        <w:t>供电局</w:t>
      </w:r>
    </w:p>
    <w:p>
      <w:pPr>
        <w:jc w:val="center"/>
        <w:rPr>
          <w:rFonts w:ascii="Times New Roman"/>
        </w:rPr>
        <w:sectPr>
          <w:footerReference r:id="rId3" w:type="even"/>
          <w:pgSz w:w="11906" w:h="16838"/>
          <w:pgMar w:top="1440" w:right="1080" w:bottom="1440" w:left="1080" w:header="851" w:footer="992" w:gutter="0"/>
          <w:cols w:space="720" w:num="1"/>
          <w:docGrid w:type="lines" w:linePitch="326" w:charSpace="0"/>
        </w:sectPr>
      </w:pPr>
      <w:r>
        <w:rPr>
          <w:rFonts w:ascii="Times New Roman"/>
          <w:sz w:val="32"/>
          <w:szCs w:val="32"/>
          <w:highlight w:val="none"/>
        </w:rPr>
        <w:t>202</w:t>
      </w:r>
      <w:r>
        <w:rPr>
          <w:rFonts w:hint="eastAsia" w:ascii="Times New Roman"/>
          <w:sz w:val="32"/>
          <w:szCs w:val="32"/>
          <w:highlight w:val="none"/>
          <w:lang w:val="en-US" w:eastAsia="zh-CN"/>
        </w:rPr>
        <w:t>6</w:t>
      </w:r>
      <w:r>
        <w:rPr>
          <w:rFonts w:ascii="Times New Roman"/>
          <w:sz w:val="32"/>
          <w:szCs w:val="32"/>
          <w:highlight w:val="none"/>
        </w:rPr>
        <w:t>年</w:t>
      </w:r>
      <w:r>
        <w:rPr>
          <w:rFonts w:hint="eastAsia" w:ascii="Times New Roman"/>
          <w:sz w:val="32"/>
          <w:szCs w:val="32"/>
          <w:highlight w:val="none"/>
          <w:lang w:val="en-US" w:eastAsia="zh-CN"/>
        </w:rPr>
        <w:t>04</w:t>
      </w:r>
      <w:r>
        <w:rPr>
          <w:rFonts w:ascii="Times New Roman"/>
          <w:sz w:val="32"/>
          <w:szCs w:val="32"/>
          <w:highlight w:val="none"/>
        </w:rPr>
        <w:t>月</w:t>
      </w:r>
    </w:p>
    <w:p>
      <w:pPr>
        <w:pStyle w:val="9"/>
        <w:ind w:left="0" w:leftChars="0" w:firstLine="0" w:firstLineChars="0"/>
        <w:outlineLvl w:val="0"/>
        <w:rPr>
          <w:rFonts w:hint="eastAsia" w:ascii="黑体" w:hAnsi="黑体" w:eastAsia="黑体"/>
          <w:b/>
          <w:bCs/>
          <w:sz w:val="28"/>
          <w:szCs w:val="21"/>
        </w:rPr>
      </w:pPr>
      <w:bookmarkStart w:id="0" w:name="_Toc318799924"/>
      <w:bookmarkStart w:id="1" w:name="_Toc7054"/>
      <w:bookmarkStart w:id="2" w:name="_Toc444945508"/>
      <w:bookmarkStart w:id="3" w:name="_Toc384997052"/>
      <w:r>
        <w:rPr>
          <w:rFonts w:hint="eastAsia" w:ascii="黑体" w:hAnsi="黑体" w:eastAsia="黑体"/>
          <w:b/>
          <w:bCs/>
          <w:sz w:val="28"/>
          <w:szCs w:val="21"/>
          <w:lang w:val="en-US" w:eastAsia="zh-CN"/>
        </w:rPr>
        <w:t>一、</w:t>
      </w:r>
      <w:r>
        <w:rPr>
          <w:rFonts w:hint="eastAsia" w:ascii="黑体" w:hAnsi="黑体" w:eastAsia="黑体"/>
          <w:b/>
          <w:bCs/>
          <w:sz w:val="28"/>
          <w:szCs w:val="21"/>
        </w:rPr>
        <w:t>总则</w:t>
      </w:r>
    </w:p>
    <w:p>
      <w:pPr>
        <w:pStyle w:val="4"/>
        <w:numPr>
          <w:ilvl w:val="0"/>
          <w:numId w:val="0"/>
        </w:numPr>
        <w:spacing w:line="360" w:lineRule="auto"/>
        <w:rPr>
          <w:rFonts w:ascii="Times New Roman" w:hAnsi="Times New Roman"/>
          <w:sz w:val="24"/>
          <w:szCs w:val="24"/>
        </w:rPr>
      </w:pPr>
      <w:r>
        <w:rPr>
          <w:rFonts w:ascii="Times New Roman" w:hAnsi="Times New Roman"/>
          <w:sz w:val="24"/>
          <w:szCs w:val="24"/>
        </w:rPr>
        <w:t>1.1 一般要求</w:t>
      </w:r>
      <w:bookmarkEnd w:id="0"/>
      <w:bookmarkEnd w:id="1"/>
      <w:bookmarkEnd w:id="2"/>
    </w:p>
    <w:p>
      <w:pPr>
        <w:spacing w:line="360" w:lineRule="auto"/>
        <w:rPr>
          <w:rFonts w:hint="eastAsia" w:ascii="Times New Roman"/>
          <w:sz w:val="24"/>
          <w:szCs w:val="24"/>
        </w:rPr>
      </w:pPr>
      <w:bookmarkStart w:id="4" w:name="_Toc444945511"/>
      <w:bookmarkStart w:id="5" w:name="_Toc299606280"/>
      <w:bookmarkStart w:id="6" w:name="_Toc353939553"/>
      <w:bookmarkStart w:id="7" w:name="_Toc353940791"/>
      <w:r>
        <w:rPr>
          <w:rFonts w:hint="eastAsia" w:ascii="Times New Roman"/>
          <w:sz w:val="24"/>
          <w:szCs w:val="24"/>
        </w:rPr>
        <w:t>1.1.1投标方必须认真阅读本技术条款内容，以免造成投标失败。</w:t>
      </w:r>
    </w:p>
    <w:p>
      <w:pPr>
        <w:spacing w:line="360" w:lineRule="auto"/>
        <w:rPr>
          <w:rFonts w:hint="eastAsia" w:ascii="Times New Roman"/>
          <w:sz w:val="24"/>
          <w:szCs w:val="24"/>
        </w:rPr>
      </w:pPr>
      <w:r>
        <w:rPr>
          <w:rFonts w:hint="eastAsia" w:ascii="Times New Roman"/>
          <w:sz w:val="24"/>
          <w:szCs w:val="24"/>
        </w:rPr>
        <w:t>1.1.2本技术规范书主要描述广西电网有限责任公司</w:t>
      </w:r>
      <w:r>
        <w:rPr>
          <w:rFonts w:hint="eastAsia" w:ascii="Times New Roman"/>
          <w:sz w:val="24"/>
          <w:szCs w:val="24"/>
          <w:lang w:val="en-US" w:eastAsia="zh-CN"/>
        </w:rPr>
        <w:t>玉林</w:t>
      </w:r>
      <w:r>
        <w:rPr>
          <w:rFonts w:hint="eastAsia" w:ascii="Times New Roman"/>
          <w:sz w:val="24"/>
          <w:szCs w:val="24"/>
        </w:rPr>
        <w:t>供电局“</w:t>
      </w:r>
      <w:r>
        <w:rPr>
          <w:rFonts w:hint="eastAsia" w:ascii="Times New Roman"/>
          <w:color w:val="000000"/>
          <w:sz w:val="24"/>
          <w:szCs w:val="24"/>
          <w:lang w:eastAsia="zh-CN"/>
        </w:rPr>
        <w:t>研究通用型直线铁塔地线及光缆更换装置</w:t>
      </w:r>
      <w:r>
        <w:rPr>
          <w:rFonts w:hint="eastAsia" w:ascii="Times New Roman"/>
          <w:sz w:val="24"/>
          <w:szCs w:val="24"/>
        </w:rPr>
        <w:t>” 开发项目服务要求有关事项。</w:t>
      </w:r>
    </w:p>
    <w:p>
      <w:pPr>
        <w:spacing w:line="360" w:lineRule="auto"/>
        <w:rPr>
          <w:rFonts w:hint="eastAsia" w:ascii="Times New Roman"/>
          <w:sz w:val="24"/>
          <w:szCs w:val="24"/>
        </w:rPr>
      </w:pPr>
      <w:r>
        <w:rPr>
          <w:rFonts w:hint="eastAsia" w:ascii="Times New Roman"/>
          <w:sz w:val="24"/>
          <w:szCs w:val="24"/>
        </w:rPr>
        <w:t>1.1.3本技术规范书提出的是最低限度的技术要求, 并未对一切技术细节做出规定，也未充分引述有关标准和规范的条文。投标方应提供符合本招标技术文件工作产品、服务，认真阅读，逐条准确回答和陈述，必须清楚地说明是否满足本技术规范书的每一项具体要求。如果不满足要求，除在逐条应答时予以说明外，还需以“差异表”的形式另外列出。</w:t>
      </w:r>
    </w:p>
    <w:p>
      <w:pPr>
        <w:spacing w:line="360" w:lineRule="auto"/>
        <w:rPr>
          <w:rFonts w:hint="eastAsia" w:ascii="Times New Roman"/>
          <w:sz w:val="24"/>
          <w:szCs w:val="24"/>
        </w:rPr>
      </w:pPr>
      <w:r>
        <w:rPr>
          <w:rFonts w:hint="eastAsia" w:ascii="Times New Roman"/>
          <w:sz w:val="24"/>
          <w:szCs w:val="24"/>
        </w:rPr>
        <w:t>1.1.4投标方应提供满足本技术规范书要求的建议书、实施方案及报价，建议书、实施方案必须满足本技术规范的主要要求，否则将被认作没有回答。投标方认为需特殊说明的部分，应附详细的技术资料，否则因评标理解不同而产生的后果由投标方负责。</w:t>
      </w:r>
    </w:p>
    <w:p>
      <w:pPr>
        <w:spacing w:line="360" w:lineRule="auto"/>
        <w:rPr>
          <w:rFonts w:hint="eastAsia" w:ascii="Times New Roman"/>
          <w:sz w:val="24"/>
          <w:szCs w:val="24"/>
        </w:rPr>
      </w:pPr>
      <w:r>
        <w:rPr>
          <w:rFonts w:hint="eastAsia" w:ascii="Times New Roman"/>
          <w:sz w:val="24"/>
          <w:szCs w:val="24"/>
        </w:rPr>
        <w:t>1.1.5如果投标方认为本技术条款所描述技术要求等存在不合理性或不明白的，可在响应原要求后陈述相关建议。</w:t>
      </w:r>
    </w:p>
    <w:p>
      <w:pPr>
        <w:spacing w:line="360" w:lineRule="auto"/>
        <w:rPr>
          <w:rFonts w:hint="eastAsia" w:ascii="Times New Roman"/>
          <w:sz w:val="24"/>
          <w:szCs w:val="24"/>
        </w:rPr>
      </w:pPr>
      <w:r>
        <w:rPr>
          <w:rFonts w:hint="eastAsia" w:ascii="Times New Roman"/>
          <w:sz w:val="24"/>
          <w:szCs w:val="24"/>
        </w:rPr>
        <w:t>1.1.6投标方也可提出满足本技术规范书要求，且技术先进、成熟、价格合理的其他建议，供招标方选择。</w:t>
      </w:r>
    </w:p>
    <w:p>
      <w:pPr>
        <w:spacing w:line="360" w:lineRule="auto"/>
        <w:rPr>
          <w:rFonts w:hint="eastAsia" w:ascii="Times New Roman"/>
          <w:sz w:val="24"/>
          <w:szCs w:val="24"/>
        </w:rPr>
      </w:pPr>
      <w:r>
        <w:rPr>
          <w:rFonts w:hint="eastAsia" w:ascii="Times New Roman"/>
          <w:sz w:val="24"/>
          <w:szCs w:val="24"/>
        </w:rPr>
        <w:t>1.1.7投标方应提供满足本技术规范书要求的完整的服务、工作产品，满足国家及用户提出的有关质量标准要求。所有工作产品必须具有在中国境内的合法使用权。</w:t>
      </w:r>
    </w:p>
    <w:p>
      <w:pPr>
        <w:spacing w:line="360" w:lineRule="auto"/>
        <w:rPr>
          <w:rFonts w:hint="eastAsia" w:ascii="Times New Roman"/>
          <w:sz w:val="24"/>
          <w:szCs w:val="24"/>
        </w:rPr>
      </w:pPr>
      <w:r>
        <w:rPr>
          <w:rFonts w:hint="eastAsia" w:ascii="Times New Roman"/>
          <w:sz w:val="24"/>
          <w:szCs w:val="24"/>
        </w:rPr>
        <w:t>1.1.8本技术规范书所使用的标准如与投标方所执行的标准不一致，按较高标准执行。</w:t>
      </w:r>
    </w:p>
    <w:p>
      <w:pPr>
        <w:spacing w:line="360" w:lineRule="auto"/>
        <w:rPr>
          <w:rFonts w:hint="eastAsia" w:ascii="Times New Roman"/>
          <w:sz w:val="24"/>
          <w:szCs w:val="24"/>
        </w:rPr>
      </w:pPr>
      <w:r>
        <w:rPr>
          <w:rFonts w:hint="eastAsia" w:ascii="Times New Roman"/>
          <w:sz w:val="24"/>
          <w:szCs w:val="24"/>
        </w:rPr>
        <w:t>1.1.9如果因为无法提供的原因而提供其他产品、服务，投标方应明确说明并提出质量保证承诺。</w:t>
      </w:r>
    </w:p>
    <w:p>
      <w:pPr>
        <w:spacing w:line="360" w:lineRule="auto"/>
        <w:rPr>
          <w:rFonts w:hint="eastAsia" w:ascii="Times New Roman"/>
          <w:sz w:val="24"/>
          <w:szCs w:val="24"/>
        </w:rPr>
      </w:pPr>
      <w:r>
        <w:rPr>
          <w:rFonts w:hint="eastAsia" w:ascii="Times New Roman"/>
          <w:sz w:val="24"/>
          <w:szCs w:val="24"/>
        </w:rPr>
        <w:t>1.1.10投标方应保证为今后招标方开发的或招标方委托第三方开发的其他工作产品提供可靠的性能和兼容性。</w:t>
      </w:r>
    </w:p>
    <w:p>
      <w:pPr>
        <w:spacing w:line="360" w:lineRule="auto"/>
        <w:rPr>
          <w:rFonts w:hint="eastAsia" w:ascii="Times New Roman"/>
          <w:sz w:val="24"/>
          <w:szCs w:val="24"/>
        </w:rPr>
      </w:pPr>
      <w:r>
        <w:rPr>
          <w:rFonts w:hint="eastAsia" w:ascii="Times New Roman"/>
          <w:sz w:val="24"/>
          <w:szCs w:val="24"/>
        </w:rPr>
        <w:t>1.1.11投标方应对本次投标所有文件保密，不得向其他单位公布或泄漏招标项目的有关信息。</w:t>
      </w:r>
    </w:p>
    <w:p>
      <w:pPr>
        <w:spacing w:line="360" w:lineRule="auto"/>
        <w:rPr>
          <w:rFonts w:hint="eastAsia" w:ascii="Times New Roman"/>
          <w:sz w:val="24"/>
          <w:szCs w:val="24"/>
        </w:rPr>
      </w:pPr>
      <w:r>
        <w:rPr>
          <w:rFonts w:hint="eastAsia" w:ascii="Times New Roman"/>
          <w:sz w:val="24"/>
          <w:szCs w:val="24"/>
        </w:rPr>
        <w:t>1.1.12招标方保留技术规范书修改的权利，可以提出变更的意见和建议，最终签订的技术协议与合同具有同等效力。</w:t>
      </w:r>
    </w:p>
    <w:p>
      <w:pPr>
        <w:spacing w:line="360" w:lineRule="auto"/>
        <w:rPr>
          <w:rFonts w:hint="eastAsia" w:ascii="Times New Roman"/>
          <w:sz w:val="24"/>
          <w:szCs w:val="24"/>
        </w:rPr>
      </w:pPr>
      <w:r>
        <w:rPr>
          <w:rFonts w:hint="eastAsia" w:ascii="Times New Roman"/>
          <w:sz w:val="24"/>
          <w:szCs w:val="24"/>
        </w:rPr>
        <w:t>1.1.13在不超出本技术规范书要求的情况下，投标方应对招标方提出的所有细化要求予以满足。</w:t>
      </w:r>
    </w:p>
    <w:p>
      <w:pPr>
        <w:spacing w:line="360" w:lineRule="auto"/>
        <w:rPr>
          <w:rFonts w:hint="eastAsia" w:ascii="Times New Roman"/>
          <w:sz w:val="24"/>
          <w:szCs w:val="24"/>
        </w:rPr>
      </w:pPr>
      <w:r>
        <w:rPr>
          <w:rFonts w:hint="eastAsia" w:ascii="Times New Roman"/>
          <w:sz w:val="24"/>
          <w:szCs w:val="24"/>
        </w:rPr>
        <w:t>1.1.14投标方建议书的详细要求见招标书的商务部分。投标方必须随投标文件提供具有全部建议书的U盘文件壹份。文件格式要求为：文字部分用Microsoft WORD 2003，表格部分用Microsoft EXCEL 2003，图纸部分用Microsoft Visio 2003。投标内容以印刷的投标文件正本为准。</w:t>
      </w:r>
    </w:p>
    <w:p>
      <w:pPr>
        <w:spacing w:line="360" w:lineRule="auto"/>
        <w:rPr>
          <w:rFonts w:hint="eastAsia" w:ascii="Times New Roman"/>
          <w:sz w:val="24"/>
          <w:szCs w:val="24"/>
        </w:rPr>
      </w:pPr>
      <w:r>
        <w:rPr>
          <w:rFonts w:hint="eastAsia" w:ascii="Times New Roman"/>
          <w:sz w:val="24"/>
          <w:szCs w:val="24"/>
        </w:rPr>
        <w:t>1.1.15有文件、图纸、通信的均使用中文。所有计算、说明、图纸文件、手册等使用国际单位制。</w:t>
      </w:r>
    </w:p>
    <w:p>
      <w:pPr>
        <w:pStyle w:val="4"/>
        <w:numPr>
          <w:ilvl w:val="0"/>
          <w:numId w:val="0"/>
        </w:numPr>
        <w:spacing w:line="360" w:lineRule="auto"/>
        <w:ind w:left="142"/>
        <w:rPr>
          <w:rFonts w:ascii="Times New Roman" w:hAnsi="Times New Roman"/>
          <w:sz w:val="28"/>
          <w:szCs w:val="36"/>
        </w:rPr>
      </w:pPr>
      <w:bookmarkStart w:id="8" w:name="_Toc252486971"/>
      <w:bookmarkStart w:id="9" w:name="_Toc445194080"/>
      <w:bookmarkStart w:id="10" w:name="_Toc582"/>
      <w:bookmarkStart w:id="11" w:name="_Toc5163"/>
      <w:bookmarkStart w:id="12" w:name="_Toc261810243"/>
      <w:bookmarkStart w:id="13" w:name="_Toc293665071"/>
      <w:bookmarkStart w:id="14" w:name="_Toc252485428"/>
      <w:bookmarkStart w:id="15" w:name="_Toc255894290"/>
      <w:bookmarkStart w:id="16" w:name="_Toc222711875"/>
      <w:r>
        <w:rPr>
          <w:rFonts w:ascii="Times New Roman" w:hAnsi="Times New Roman"/>
          <w:sz w:val="28"/>
          <w:szCs w:val="36"/>
        </w:rPr>
        <w:t>1.2</w:t>
      </w:r>
      <w:bookmarkEnd w:id="8"/>
      <w:bookmarkEnd w:id="9"/>
      <w:bookmarkEnd w:id="10"/>
      <w:bookmarkEnd w:id="11"/>
      <w:bookmarkEnd w:id="12"/>
      <w:bookmarkEnd w:id="13"/>
      <w:bookmarkEnd w:id="14"/>
      <w:bookmarkEnd w:id="15"/>
      <w:bookmarkEnd w:id="16"/>
      <w:r>
        <w:rPr>
          <w:rFonts w:hint="eastAsia" w:ascii="Times New Roman" w:hAnsi="Times New Roman"/>
          <w:sz w:val="28"/>
          <w:szCs w:val="36"/>
        </w:rPr>
        <w:t>招标方职责</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1.2.1提出“</w:t>
      </w:r>
      <w:r>
        <w:rPr>
          <w:rFonts w:hint="eastAsia" w:ascii="Times New Roman"/>
          <w:color w:val="000000"/>
          <w:sz w:val="24"/>
          <w:szCs w:val="24"/>
          <w:lang w:eastAsia="zh-CN"/>
        </w:rPr>
        <w:t>研究通用型直线铁塔地线及光缆更换装置</w:t>
      </w:r>
      <w:r>
        <w:rPr>
          <w:rFonts w:hint="eastAsia" w:ascii="Times New Roman"/>
          <w:color w:val="000000"/>
          <w:sz w:val="24"/>
          <w:szCs w:val="24"/>
        </w:rPr>
        <w:t>”的详细需求；</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1.2.2制定项目开发总体技术路线；</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1.2.3为响应方收集项目开发所需原始资料等提供协助；</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1.2.4按照响应方提出的项目开发条件要求提供配合人员和开发场地；</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1.2.5负责装置功能验收；</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1.2.6为响应方人员在采购方所在地工作期间提供支持与方便；</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1.2.7指派技术人员协助项目实施，但指派的技术人员不对合同履行情况承担责任。</w:t>
      </w:r>
    </w:p>
    <w:p>
      <w:pPr>
        <w:pStyle w:val="4"/>
        <w:numPr>
          <w:ilvl w:val="0"/>
          <w:numId w:val="0"/>
        </w:numPr>
        <w:spacing w:line="360" w:lineRule="auto"/>
        <w:ind w:left="142"/>
        <w:rPr>
          <w:rFonts w:hint="eastAsia" w:ascii="Times New Roman" w:hAnsi="Times New Roman" w:cs="Times New Roman"/>
          <w:sz w:val="28"/>
          <w:szCs w:val="36"/>
        </w:rPr>
      </w:pPr>
      <w:r>
        <w:rPr>
          <w:rFonts w:hint="eastAsia" w:ascii="Times New Roman" w:hAnsi="Times New Roman" w:cs="Times New Roman"/>
          <w:sz w:val="28"/>
          <w:szCs w:val="36"/>
        </w:rPr>
        <w:t>1.3投标方职责</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1.3.1提供完整的技术服务详细清单和报价；</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1.3.2按合同范围提供完整的项目实施方案加工图、材料清单及技术方案说明；</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1.3.3按合同要求进行“</w:t>
      </w:r>
      <w:r>
        <w:rPr>
          <w:rFonts w:hint="eastAsia" w:ascii="Times New Roman"/>
          <w:color w:val="000000"/>
          <w:sz w:val="24"/>
          <w:szCs w:val="24"/>
          <w:lang w:eastAsia="zh-CN"/>
        </w:rPr>
        <w:t>研究通用型直线铁塔地线及光缆更换装置</w:t>
      </w:r>
      <w:r>
        <w:rPr>
          <w:rFonts w:hint="eastAsia" w:ascii="Times New Roman"/>
          <w:color w:val="000000"/>
          <w:sz w:val="24"/>
          <w:szCs w:val="24"/>
        </w:rPr>
        <w:t>”项目的建设工作；</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1.3.4负责协助功能评审和现场验收工作；</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1.3.5负责质保期间技术服务的维护；</w:t>
      </w:r>
    </w:p>
    <w:p>
      <w:pPr>
        <w:autoSpaceDE w:val="0"/>
        <w:autoSpaceDN w:val="0"/>
        <w:adjustRightInd w:val="0"/>
        <w:spacing w:line="360" w:lineRule="auto"/>
        <w:rPr>
          <w:rFonts w:ascii="Times New Roman"/>
          <w:color w:val="000000"/>
          <w:sz w:val="24"/>
          <w:szCs w:val="24"/>
          <w:lang w:val="zh-CN"/>
        </w:rPr>
      </w:pPr>
      <w:r>
        <w:rPr>
          <w:rFonts w:hint="eastAsia" w:ascii="Times New Roman"/>
          <w:color w:val="000000"/>
          <w:sz w:val="24"/>
          <w:szCs w:val="24"/>
        </w:rPr>
        <w:t>1.3.6按期提交满足采购方要求的“</w:t>
      </w:r>
      <w:r>
        <w:rPr>
          <w:rFonts w:hint="eastAsia" w:ascii="Times New Roman"/>
          <w:color w:val="000000"/>
          <w:sz w:val="24"/>
          <w:szCs w:val="24"/>
          <w:lang w:eastAsia="zh-CN"/>
        </w:rPr>
        <w:t>研究通用型直线铁塔地线及光缆更换装置</w:t>
      </w:r>
      <w:r>
        <w:rPr>
          <w:rFonts w:hint="eastAsia" w:ascii="Times New Roman"/>
          <w:color w:val="000000"/>
          <w:sz w:val="24"/>
          <w:szCs w:val="24"/>
        </w:rPr>
        <w:t>”项目成果。</w:t>
      </w:r>
    </w:p>
    <w:p>
      <w:pPr>
        <w:pStyle w:val="9"/>
        <w:ind w:left="0" w:leftChars="0" w:firstLine="0" w:firstLineChars="0"/>
        <w:outlineLvl w:val="0"/>
        <w:rPr>
          <w:rFonts w:hint="eastAsia" w:ascii="黑体" w:hAnsi="黑体" w:eastAsia="黑体"/>
          <w:b/>
          <w:bCs/>
          <w:sz w:val="28"/>
          <w:szCs w:val="21"/>
          <w:lang w:val="en-US" w:eastAsia="zh-CN"/>
        </w:rPr>
      </w:pPr>
      <w:r>
        <w:rPr>
          <w:rFonts w:hint="eastAsia" w:ascii="黑体" w:hAnsi="黑体" w:eastAsia="黑体"/>
          <w:b/>
          <w:bCs/>
          <w:sz w:val="28"/>
          <w:szCs w:val="21"/>
          <w:lang w:val="en-US" w:eastAsia="zh-CN"/>
        </w:rPr>
        <w:t>二、工作范围</w:t>
      </w:r>
    </w:p>
    <w:bookmarkEnd w:id="3"/>
    <w:bookmarkEnd w:id="4"/>
    <w:bookmarkEnd w:id="5"/>
    <w:bookmarkEnd w:id="6"/>
    <w:bookmarkEnd w:id="7"/>
    <w:p>
      <w:pPr>
        <w:pStyle w:val="9"/>
        <w:ind w:left="0" w:leftChars="0" w:firstLine="0" w:firstLineChars="0"/>
        <w:outlineLvl w:val="1"/>
        <w:rPr>
          <w:rFonts w:hint="eastAsia" w:ascii="宋体" w:hAnsi="宋体" w:eastAsia="宋体" w:cs="宋体"/>
          <w:b/>
          <w:bCs w:val="0"/>
          <w:sz w:val="24"/>
          <w:szCs w:val="24"/>
        </w:rPr>
      </w:pPr>
      <w:r>
        <w:rPr>
          <w:rFonts w:hint="eastAsia" w:ascii="宋体" w:hAnsi="宋体" w:eastAsia="宋体" w:cs="宋体"/>
          <w:b/>
          <w:bCs w:val="0"/>
          <w:sz w:val="24"/>
          <w:szCs w:val="24"/>
        </w:rPr>
        <w:t>2.1项目概况</w:t>
      </w:r>
    </w:p>
    <w:p>
      <w:pPr>
        <w:pStyle w:val="9"/>
        <w:ind w:firstLine="640"/>
        <w:outlineLvl w:val="2"/>
        <w:rPr>
          <w:rFonts w:hint="default" w:ascii="Times New Roman" w:hAnsi="Calibri" w:eastAsia="宋体" w:cs="Times New Roman"/>
          <w:color w:val="000000"/>
          <w:kern w:val="2"/>
          <w:sz w:val="24"/>
          <w:szCs w:val="24"/>
          <w:lang w:val="en-US" w:eastAsia="zh-CN" w:bidi="ar-SA"/>
        </w:rPr>
      </w:pPr>
      <w:r>
        <w:rPr>
          <w:rFonts w:hint="default" w:ascii="Times New Roman" w:hAnsi="Calibri" w:eastAsia="宋体" w:cs="Times New Roman"/>
          <w:color w:val="000000"/>
          <w:kern w:val="2"/>
          <w:sz w:val="24"/>
          <w:szCs w:val="24"/>
          <w:lang w:val="en-US" w:eastAsia="zh-CN" w:bidi="ar-SA"/>
        </w:rPr>
        <w:t>本此研究一种高强度通用型直线铁塔架空地线及光缆更换装置，适用于所有塔形的直线塔架空地线及光缆更换通用型卡具。</w:t>
      </w:r>
    </w:p>
    <w:p>
      <w:pPr>
        <w:pStyle w:val="9"/>
        <w:ind w:firstLine="640"/>
        <w:outlineLvl w:val="2"/>
        <w:rPr>
          <w:rFonts w:hint="eastAsia" w:ascii="宋体" w:hAnsi="宋体" w:eastAsia="宋体" w:cs="宋体"/>
          <w:b/>
          <w:bCs/>
          <w:sz w:val="24"/>
          <w:szCs w:val="24"/>
        </w:rPr>
      </w:pPr>
      <w:r>
        <w:rPr>
          <w:rFonts w:hint="eastAsia" w:ascii="宋体" w:hAnsi="宋体" w:eastAsia="宋体" w:cs="宋体"/>
          <w:b/>
          <w:bCs/>
          <w:sz w:val="24"/>
          <w:szCs w:val="24"/>
          <w:lang w:val="en-US" w:eastAsia="zh-CN"/>
        </w:rPr>
        <w:t>2.2加工内容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本此研究一种高强度通用型直线铁塔架空地线及光缆更换装置，适用于所有塔形的直线塔架空地线及光缆更换通用型卡具。</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2.3交付成果</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0"/>
        <w:gridCol w:w="1843"/>
        <w:gridCol w:w="3932"/>
        <w:gridCol w:w="12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030"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序号</w:t>
            </w:r>
          </w:p>
        </w:tc>
        <w:tc>
          <w:tcPr>
            <w:tcW w:w="1843"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default" w:ascii="Times New Roman" w:cs="Times New Roman"/>
                <w:sz w:val="24"/>
                <w:szCs w:val="24"/>
                <w:lang w:val="en-US" w:eastAsia="zh-CN"/>
              </w:rPr>
            </w:pPr>
            <w:r>
              <w:rPr>
                <w:rFonts w:hint="eastAsia" w:ascii="Times New Roman" w:cs="Times New Roman"/>
                <w:sz w:val="24"/>
                <w:szCs w:val="24"/>
                <w:lang w:val="en-US" w:eastAsia="zh-CN"/>
              </w:rPr>
              <w:t>名称</w:t>
            </w:r>
          </w:p>
        </w:tc>
        <w:tc>
          <w:tcPr>
            <w:tcW w:w="3932"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cs="Times New Roman"/>
                <w:sz w:val="24"/>
                <w:szCs w:val="24"/>
                <w:lang w:val="en-US" w:eastAsia="zh-CN"/>
              </w:rPr>
            </w:pPr>
            <w:r>
              <w:rPr>
                <w:rFonts w:hint="eastAsia" w:ascii="Times New Roman" w:cs="Times New Roman"/>
                <w:sz w:val="24"/>
                <w:szCs w:val="24"/>
                <w:lang w:val="en-US" w:eastAsia="zh-CN"/>
              </w:rPr>
              <w:t>内容</w:t>
            </w:r>
          </w:p>
        </w:tc>
        <w:tc>
          <w:tcPr>
            <w:tcW w:w="1292"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cs="Times New Roman"/>
                <w:sz w:val="24"/>
                <w:szCs w:val="24"/>
                <w:lang w:val="en-US" w:eastAsia="zh-CN"/>
              </w:rPr>
            </w:pPr>
            <w:r>
              <w:rPr>
                <w:rFonts w:hint="eastAsia" w:ascii="Times New Roman" w:cs="Times New Roman"/>
                <w:sz w:val="24"/>
                <w:szCs w:val="24"/>
                <w:lang w:val="en-US" w:eastAsia="zh-CN"/>
              </w:rPr>
              <w:t>数量/份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030"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1</w:t>
            </w:r>
          </w:p>
        </w:tc>
        <w:tc>
          <w:tcPr>
            <w:tcW w:w="1843"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cs="Times New Roman"/>
                <w:sz w:val="24"/>
                <w:szCs w:val="24"/>
                <w:lang w:val="en-US" w:eastAsia="zh-CN"/>
              </w:rPr>
            </w:pPr>
            <w:r>
              <w:rPr>
                <w:rFonts w:hint="eastAsia" w:ascii="Times New Roman"/>
                <w:color w:val="000000"/>
                <w:sz w:val="24"/>
                <w:szCs w:val="24"/>
                <w:lang w:eastAsia="zh-CN"/>
              </w:rPr>
              <w:t>研究通用型直线铁塔地线及光缆更换装置</w:t>
            </w:r>
          </w:p>
        </w:tc>
        <w:tc>
          <w:tcPr>
            <w:tcW w:w="3932"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通用型直线铁塔地线及光缆更换装置的加工；</w:t>
            </w:r>
          </w:p>
        </w:tc>
        <w:tc>
          <w:tcPr>
            <w:tcW w:w="1292"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cs="Times New Roman"/>
                <w:sz w:val="24"/>
                <w:szCs w:val="24"/>
                <w:lang w:val="en-US" w:eastAsia="zh-CN"/>
              </w:rPr>
            </w:pPr>
            <w:r>
              <w:rPr>
                <w:rFonts w:ascii="宋体" w:hAnsi="宋体" w:eastAsia="宋体" w:cs="宋体"/>
                <w:kern w:val="0"/>
                <w:sz w:val="24"/>
                <w:szCs w:val="24"/>
                <w:lang w:val="en-US" w:eastAsia="zh-CN" w:bidi="ar"/>
              </w:rPr>
              <w:t>1</w:t>
            </w:r>
            <w:bookmarkStart w:id="17" w:name="_GoBack"/>
            <w:bookmarkEnd w:id="17"/>
            <w:r>
              <w:rPr>
                <w:rFonts w:ascii="宋体" w:hAnsi="宋体" w:eastAsia="宋体" w:cs="宋体"/>
                <w:kern w:val="0"/>
                <w:sz w:val="24"/>
                <w:szCs w:val="24"/>
                <w:lang w:val="en-US" w:eastAsia="zh-CN" w:bidi="ar"/>
              </w:rPr>
              <w:t>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030"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cs="Times New Roman"/>
                <w:sz w:val="24"/>
                <w:szCs w:val="24"/>
                <w:lang w:val="en-US" w:eastAsia="zh-CN"/>
              </w:rPr>
            </w:pPr>
            <w:r>
              <w:rPr>
                <w:rFonts w:hint="eastAsia" w:ascii="Times New Roman" w:cs="Times New Roman"/>
                <w:sz w:val="24"/>
                <w:szCs w:val="24"/>
                <w:lang w:val="en-US" w:eastAsia="zh-CN"/>
              </w:rPr>
              <w:t>2</w:t>
            </w:r>
          </w:p>
        </w:tc>
        <w:tc>
          <w:tcPr>
            <w:tcW w:w="1843" w:type="dxa"/>
            <w:noWrap w:val="0"/>
            <w:vAlign w:val="center"/>
          </w:tcPr>
          <w:p>
            <w:pPr>
              <w:keepNext w:val="0"/>
              <w:keepLines w:val="0"/>
              <w:widowControl/>
              <w:suppressLineNumbers w:val="0"/>
              <w:jc w:val="left"/>
              <w:rPr>
                <w:rFonts w:hint="eastAsia" w:ascii="仿宋" w:hAnsi="仿宋" w:eastAsia="仿宋" w:cs="仿宋"/>
                <w:kern w:val="2"/>
                <w:sz w:val="24"/>
                <w:szCs w:val="24"/>
                <w:highlight w:val="none"/>
                <w:lang w:val="en-US" w:eastAsia="zh-CN" w:bidi="ar-SA"/>
              </w:rPr>
            </w:pPr>
            <w:r>
              <w:rPr>
                <w:rFonts w:ascii="宋体" w:hAnsi="宋体" w:eastAsia="宋体" w:cs="宋体"/>
                <w:kern w:val="0"/>
                <w:sz w:val="24"/>
                <w:szCs w:val="24"/>
                <w:lang w:val="en-US" w:eastAsia="zh-CN" w:bidi="ar"/>
              </w:rPr>
              <w:t>第三方测试报告</w:t>
            </w:r>
          </w:p>
        </w:tc>
        <w:tc>
          <w:tcPr>
            <w:tcW w:w="3932" w:type="dxa"/>
            <w:noWrap w:val="0"/>
            <w:vAlign w:val="center"/>
          </w:tcPr>
          <w:p>
            <w:pPr>
              <w:keepNext w:val="0"/>
              <w:keepLines w:val="0"/>
              <w:widowControl/>
              <w:suppressLineNumbers w:val="0"/>
              <w:jc w:val="left"/>
              <w:rPr>
                <w:rFonts w:hint="eastAsia" w:ascii="仿宋" w:hAnsi="仿宋" w:eastAsia="仿宋" w:cs="仿宋"/>
                <w:kern w:val="2"/>
                <w:sz w:val="24"/>
                <w:szCs w:val="24"/>
                <w:highlight w:val="none"/>
                <w:lang w:val="en-US" w:eastAsia="zh-CN" w:bidi="ar-SA"/>
              </w:rPr>
            </w:pPr>
            <w:r>
              <w:rPr>
                <w:rFonts w:ascii="宋体" w:hAnsi="宋体" w:eastAsia="宋体" w:cs="宋体"/>
                <w:kern w:val="0"/>
                <w:sz w:val="24"/>
                <w:szCs w:val="24"/>
                <w:lang w:val="en-US" w:eastAsia="zh-CN" w:bidi="ar"/>
              </w:rPr>
              <w:t>由 CMA/CNAS 资质机构出具，含功能、安全、稳定性、兼容性测试</w:t>
            </w:r>
          </w:p>
        </w:tc>
        <w:tc>
          <w:tcPr>
            <w:tcW w:w="1292" w:type="dxa"/>
            <w:noWrap w:val="0"/>
            <w:vAlign w:val="center"/>
          </w:tcPr>
          <w:p>
            <w:pPr>
              <w:keepNext w:val="0"/>
              <w:keepLines w:val="0"/>
              <w:widowControl/>
              <w:suppressLineNumbers w:val="0"/>
              <w:ind w:firstLine="240" w:firstLineChars="100"/>
              <w:jc w:val="left"/>
              <w:rPr>
                <w:rFonts w:hint="eastAsia" w:ascii="宋体" w:hAnsi="宋体" w:eastAsia="宋体" w:cs="Times New Roman"/>
                <w:kern w:val="2"/>
                <w:sz w:val="24"/>
                <w:szCs w:val="24"/>
                <w:lang w:val="en-US" w:eastAsia="zh-CN" w:bidi="ar-SA"/>
              </w:rPr>
            </w:pPr>
            <w:r>
              <w:rPr>
                <w:rFonts w:ascii="宋体" w:hAnsi="宋体" w:eastAsia="宋体" w:cs="宋体"/>
                <w:kern w:val="0"/>
                <w:sz w:val="24"/>
                <w:szCs w:val="24"/>
                <w:lang w:val="en-US" w:eastAsia="zh-CN" w:bidi="ar"/>
              </w:rPr>
              <w:t>1份</w:t>
            </w:r>
          </w:p>
        </w:tc>
      </w:tr>
    </w:tbl>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lang w:val="en-US" w:eastAsia="zh-CN"/>
        </w:rPr>
      </w:pPr>
    </w:p>
    <w:p>
      <w:pPr>
        <w:pStyle w:val="9"/>
        <w:ind w:left="0" w:leftChars="0" w:firstLine="0" w:firstLineChars="0"/>
        <w:outlineLvl w:val="0"/>
        <w:rPr>
          <w:rFonts w:hint="eastAsia" w:ascii="黑体" w:hAnsi="黑体" w:eastAsia="黑体"/>
          <w:b/>
          <w:bCs/>
          <w:sz w:val="28"/>
          <w:szCs w:val="21"/>
          <w:lang w:val="en-US" w:eastAsia="zh-CN"/>
        </w:rPr>
      </w:pPr>
      <w:r>
        <w:rPr>
          <w:rFonts w:hint="eastAsia" w:ascii="黑体" w:hAnsi="黑体" w:eastAsia="黑体"/>
          <w:b/>
          <w:bCs/>
          <w:sz w:val="28"/>
          <w:szCs w:val="21"/>
          <w:lang w:val="en-US" w:eastAsia="zh-CN"/>
        </w:rPr>
        <w:t>三、应遵循的主要标准</w:t>
      </w:r>
    </w:p>
    <w:p>
      <w:pPr>
        <w:pStyle w:val="9"/>
        <w:ind w:left="0" w:leftChars="0" w:firstLine="482" w:firstLineChars="200"/>
        <w:outlineLvl w:val="1"/>
        <w:rPr>
          <w:rFonts w:hint="eastAsia" w:ascii="宋体" w:hAnsi="宋体" w:eastAsia="宋体" w:cs="宋体"/>
          <w:b/>
          <w:bCs w:val="0"/>
          <w:sz w:val="24"/>
          <w:szCs w:val="24"/>
        </w:rPr>
      </w:pPr>
      <w:r>
        <w:rPr>
          <w:rFonts w:hint="eastAsia" w:ascii="宋体" w:hAnsi="宋体" w:eastAsia="宋体" w:cs="宋体"/>
          <w:b/>
          <w:bCs w:val="0"/>
          <w:sz w:val="24"/>
          <w:szCs w:val="24"/>
          <w:lang w:val="en-US" w:eastAsia="zh-CN"/>
        </w:rPr>
        <w:t>3.1</w:t>
      </w:r>
      <w:r>
        <w:rPr>
          <w:rFonts w:hint="eastAsia" w:ascii="宋体" w:hAnsi="宋体" w:eastAsia="宋体" w:cs="宋体"/>
          <w:b/>
          <w:bCs w:val="0"/>
          <w:sz w:val="24"/>
          <w:szCs w:val="24"/>
        </w:rPr>
        <w:t>验收标准</w:t>
      </w:r>
    </w:p>
    <w:p>
      <w:pPr>
        <w:pStyle w:val="9"/>
        <w:ind w:firstLine="640"/>
        <w:rPr>
          <w:rFonts w:hint="eastAsia" w:ascii="Times New Roman" w:hAnsi="Calibri" w:eastAsia="宋体" w:cs="Times New Roman"/>
          <w:kern w:val="2"/>
          <w:sz w:val="24"/>
          <w:szCs w:val="24"/>
          <w:lang w:val="en-US" w:eastAsia="zh-CN" w:bidi="ar-SA"/>
        </w:rPr>
      </w:pPr>
      <w:r>
        <w:rPr>
          <w:rFonts w:hint="eastAsia" w:ascii="Times New Roman" w:hAnsi="Calibri" w:eastAsia="宋体" w:cs="Times New Roman"/>
          <w:kern w:val="2"/>
          <w:sz w:val="24"/>
          <w:szCs w:val="24"/>
          <w:lang w:val="en-US" w:eastAsia="zh-CN" w:bidi="ar-SA"/>
        </w:rPr>
        <w:t>（1）投标方应负责在项目验收时将项目的全部有关技术文件、目标代码文件、项目资料等文档汇集成册或者另存到U盘中交付给招标方。</w:t>
      </w:r>
    </w:p>
    <w:p>
      <w:pPr>
        <w:pStyle w:val="9"/>
        <w:ind w:firstLine="640"/>
        <w:rPr>
          <w:rFonts w:hint="eastAsia" w:ascii="Times New Roman" w:hAnsi="Calibri" w:eastAsia="宋体" w:cs="Times New Roman"/>
          <w:kern w:val="2"/>
          <w:sz w:val="24"/>
          <w:szCs w:val="24"/>
          <w:lang w:val="en-US" w:eastAsia="zh-CN" w:bidi="ar-SA"/>
        </w:rPr>
      </w:pPr>
      <w:r>
        <w:rPr>
          <w:rFonts w:hint="eastAsia" w:ascii="Times New Roman" w:hAnsi="Calibri" w:eastAsia="宋体" w:cs="Times New Roman"/>
          <w:kern w:val="2"/>
          <w:sz w:val="24"/>
          <w:szCs w:val="24"/>
          <w:lang w:val="en-US" w:eastAsia="zh-CN" w:bidi="ar-SA"/>
        </w:rPr>
        <w:t>（2）招标方可根据合同及招标书和招标方的有关规定进行修改和补充,经双方确认后形成验收文件作为验收依据。验收评审合格后5日内，若无问题，经双方确认后，签署最终验收文件。</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3.2项目资料要求</w:t>
      </w:r>
    </w:p>
    <w:p>
      <w:pPr>
        <w:pStyle w:val="9"/>
        <w:ind w:firstLine="64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（1）投标方提供的文件和资料应能满足招标方进行维护和进一步完善的需要。</w:t>
      </w:r>
    </w:p>
    <w:p>
      <w:pPr>
        <w:pStyle w:val="9"/>
        <w:ind w:firstLine="64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（2）提供的图纸应符合标准规格。</w:t>
      </w:r>
    </w:p>
    <w:p>
      <w:pPr>
        <w:pStyle w:val="9"/>
        <w:ind w:firstLine="64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（3）投标方应向招标方提供项目的所有交付物（电子版）。</w:t>
      </w:r>
    </w:p>
    <w:p>
      <w:pPr>
        <w:pStyle w:val="9"/>
        <w:ind w:left="0" w:leftChars="0" w:firstLine="0" w:firstLineChars="0"/>
        <w:outlineLvl w:val="0"/>
        <w:rPr>
          <w:rFonts w:hint="eastAsia" w:ascii="黑体" w:hAnsi="黑体" w:eastAsia="黑体"/>
          <w:b/>
          <w:bCs/>
          <w:sz w:val="28"/>
          <w:szCs w:val="21"/>
          <w:lang w:val="en-US" w:eastAsia="zh-CN"/>
        </w:rPr>
      </w:pPr>
      <w:r>
        <w:rPr>
          <w:rFonts w:hint="eastAsia" w:ascii="黑体" w:hAnsi="黑体" w:eastAsia="黑体"/>
          <w:b/>
          <w:bCs/>
          <w:sz w:val="28"/>
          <w:szCs w:val="21"/>
          <w:lang w:val="en-US" w:eastAsia="zh-CN"/>
        </w:rPr>
        <w:t>四、供应商需说明的其他问题</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4.1组织保证</w:t>
      </w:r>
    </w:p>
    <w:p>
      <w:pPr>
        <w:pStyle w:val="9"/>
        <w:ind w:firstLine="640"/>
        <w:rPr>
          <w:rFonts w:hint="default"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应答方应保证相应的技术开发、加工测试能力</w:t>
      </w:r>
      <w:r>
        <w:rPr>
          <w:rFonts w:hint="eastAsia" w:ascii="Times New Roman" w:eastAsia="宋体" w:cs="Times New Roman"/>
          <w:kern w:val="2"/>
          <w:sz w:val="24"/>
          <w:szCs w:val="32"/>
          <w:lang w:val="en-US" w:eastAsia="zh-CN" w:bidi="ar-SA"/>
        </w:rPr>
        <w:t>，并至少1名项目经理，3名技术人员参与本项目，并具备相关项目经验</w:t>
      </w:r>
      <w:r>
        <w:rPr>
          <w:rFonts w:hint="eastAsia" w:ascii="Times New Roman" w:hAnsi="Calibri" w:eastAsia="宋体" w:cs="Times New Roman"/>
          <w:kern w:val="2"/>
          <w:sz w:val="24"/>
          <w:szCs w:val="32"/>
          <w:lang w:val="en-US" w:eastAsia="zh-CN" w:bidi="ar-SA"/>
        </w:rPr>
        <w:t xml:space="preserve">。 </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4.2质量保证</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应答方应建立严格的质量保证体系，制定项目开发建设质量控制方案和实施措施，并督促落实各环节质量控制内容和目标；保证总体规划加工、开发与实施、系统运行与验收各个阶段工作满足采购人对质量的要求。</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应答方应根据整个项目工作计划，对阶段性工作成果进行审查和测试，并向项目单位提交阶段性工作成果。通过保证各阶段性成果的质量，最终保证整个项目质量。</w:t>
      </w:r>
    </w:p>
    <w:p>
      <w:pPr>
        <w:pStyle w:val="9"/>
        <w:ind w:firstLine="640"/>
        <w:rPr>
          <w:rFonts w:hint="eastAsia" w:ascii="Times New Roman" w:eastAsia="宋体" w:cs="Times New Roman"/>
          <w:kern w:val="2"/>
          <w:sz w:val="24"/>
          <w:szCs w:val="32"/>
          <w:lang w:val="en-US" w:eastAsia="zh-CN" w:bidi="ar-SA"/>
        </w:rPr>
      </w:pPr>
      <w:r>
        <w:rPr>
          <w:rFonts w:hint="eastAsia" w:ascii="Times New Roman" w:eastAsia="宋体" w:cs="Times New Roman"/>
          <w:kern w:val="2"/>
          <w:sz w:val="24"/>
          <w:szCs w:val="32"/>
          <w:lang w:val="en-US" w:eastAsia="zh-CN" w:bidi="ar-SA"/>
        </w:rPr>
        <w:t>投标人需提供在有效期内的质量、环境、职业健康等三体系认证证书，并提供有效证明。</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eastAsia="宋体" w:cs="Times New Roman"/>
          <w:kern w:val="2"/>
          <w:sz w:val="24"/>
          <w:szCs w:val="32"/>
          <w:lang w:val="en-US" w:eastAsia="zh-CN" w:bidi="ar-SA"/>
        </w:rPr>
        <w:t>投标人需提供近三年内已完成相关业绩证明，其中不少于5项机械加工项目。</w:t>
      </w:r>
    </w:p>
    <w:p>
      <w:pPr>
        <w:pStyle w:val="9"/>
        <w:ind w:left="0" w:leftChars="0" w:firstLine="0" w:firstLineChars="0"/>
        <w:outlineLvl w:val="0"/>
        <w:rPr>
          <w:rFonts w:hint="eastAsia" w:ascii="黑体" w:hAnsi="黑体" w:eastAsia="黑体"/>
          <w:b/>
          <w:bCs/>
          <w:sz w:val="28"/>
          <w:szCs w:val="21"/>
          <w:lang w:val="en-US" w:eastAsia="zh-CN"/>
        </w:rPr>
      </w:pPr>
      <w:r>
        <w:rPr>
          <w:rFonts w:hint="eastAsia" w:ascii="黑体" w:hAnsi="黑体" w:eastAsia="黑体"/>
          <w:b/>
          <w:bCs/>
          <w:sz w:val="28"/>
          <w:szCs w:val="21"/>
          <w:lang w:val="en-US" w:eastAsia="zh-CN"/>
        </w:rPr>
        <w:t>五、后续服务要求及其他</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5.1其他服务要求</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保证期内，响应方在接到用户维护请求12小时内做出回复，常见系统故障24小时内通过远程和现场用户相配合的方式解决问题或提出解决方案供用户参考，若仍无法解决则在下一48小时内派工程师现场解决问题。</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5.2实用化推广培训要求</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1） 承包方应能够为本系统的使用客户提供一套完整的培训计划，针对有关的技术人员，施以专业的培训，使所建成的系统能够发挥最大的效益；</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2）按进度要求完成高压电容器元件击穿定位与监测装置项目成员对成果的保管、现场使用方法、试验方法等的培训工作；</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3）项目完成后提供一年技术服务支持。</w:t>
      </w:r>
    </w:p>
    <w:p>
      <w:pPr>
        <w:pStyle w:val="9"/>
        <w:ind w:left="0" w:leftChars="0" w:firstLine="0" w:firstLineChars="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5.3保密要求</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1）保密范围</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项目参与人员及管理、辅助人员对因本项目实施过程所知悉的、未正式公开的一切资料和信息及加工组装测试所涉及成果和主要方案负有保密责任。</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2）保密期限</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自相关资料或信息以及加工组装所涉及成果和主要方案正式向社会公开之日或任务下达方书面解除任务承担方此任务项下保密义务之日起终止。</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5.4技术成果权益的归属和分享</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除特殊情况由双方另行协商外，履行本任务产生的发明创造和技术成果归发包方所有，就技术成果产生的专利权、使用收益权、转让权、申请奖励权、成果发布权等权属按以下条款处置。</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1）履行本任务产生的技术成果申请专利的权利归任务发包方享有。</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2）本任务产生的技术秘密的转让权属于任务发包方，任务承担方不得向第三方转让该技术秘密或其使用权，亦不得许可第三方实施使用，任务承担方擅自转让所产生的利益归任务发包方所有。</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3）履行本任务产生的技术成果（包括技术秘密）申请奖励的权利归任务发包方享有。</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4）本任务所产生加工成果的发表权归发包方所有。任务承担方应制定相应规章制度约束项目组成员的个人行为。</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 xml:space="preserve">5）使用履行本任务产生的技术成果参与国际标准、国家标准或行业标准等的制定或修订工作的权利属于任务发包方所有。 </w:t>
      </w:r>
    </w:p>
    <w:p>
      <w:pPr>
        <w:widowControl/>
        <w:spacing w:line="360" w:lineRule="auto"/>
        <w:ind w:firstLine="630" w:firstLineChars="300"/>
        <w:jc w:val="left"/>
        <w:textAlignment w:val="center"/>
      </w:pPr>
    </w:p>
    <w:sectPr>
      <w:headerReference r:id="rId4" w:type="default"/>
      <w:footerReference r:id="rId5" w:type="default"/>
      <w:pgSz w:w="11906" w:h="16838"/>
      <w:pgMar w:top="1440" w:right="1080" w:bottom="1440" w:left="1080" w:header="851" w:footer="992" w:gutter="0"/>
      <w:pgNumType w:start="1"/>
      <w:cols w:space="720"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3000509000000000000"/>
    <w:charset w:val="86"/>
    <w:family w:val="script"/>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instrText xml:space="preserve">PAGE  </w:instrText>
    </w:r>
    <w:r>
      <w:fldChar w:fldCharType="separate"/>
    </w:r>
    <w:r>
      <w:fldChar w:fldCharType="end"/>
    </w:r>
  </w:p>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fldChar w:fldCharType="begin"/>
    </w:r>
    <w:r>
      <w:instrText xml:space="preserve">PAGE  </w:instrText>
    </w:r>
    <w:r>
      <w:fldChar w:fldCharType="separate"/>
    </w:r>
    <w:r>
      <w:t>5</w:t>
    </w:r>
    <w:r>
      <w:fldChar w:fldCharType="end"/>
    </w:r>
  </w:p>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rFonts w:hint="eastAsia"/>
      </w:rPr>
    </w:pPr>
    <w:r>
      <w:drawing>
        <wp:inline distT="0" distB="0" distL="114300" distR="114300">
          <wp:extent cx="1554480" cy="273685"/>
          <wp:effectExtent l="0" t="0" r="7620" b="5715"/>
          <wp:docPr id="1" name="图片 1" descr="tt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tttt"/>
                  <pic:cNvPicPr>
                    <a:picLocks noChangeAspect="1"/>
                  </pic:cNvPicPr>
                </pic:nvPicPr>
                <pic:blipFill>
                  <a:blip r:embed="rId1"/>
                  <a:stretch>
                    <a:fillRect/>
                  </a:stretch>
                </pic:blipFill>
                <pic:spPr>
                  <a:xfrm>
                    <a:off x="0" y="0"/>
                    <a:ext cx="1554480" cy="27368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decimal"/>
      <w:suff w:val="space"/>
      <w:lvlText w:val="%1."/>
      <w:lvlJc w:val="left"/>
      <w:pPr>
        <w:ind w:left="0" w:firstLine="0"/>
      </w:pPr>
      <w:rPr>
        <w:rFonts w:hint="eastAsia"/>
      </w:rPr>
    </w:lvl>
    <w:lvl w:ilvl="1" w:tentative="0">
      <w:start w:val="1"/>
      <w:numFmt w:val="decimal"/>
      <w:pStyle w:val="4"/>
      <w:isLgl/>
      <w:suff w:val="space"/>
      <w:lvlText w:val="%1.%2"/>
      <w:lvlJc w:val="left"/>
      <w:pPr>
        <w:ind w:left="142" w:firstLine="0"/>
      </w:pPr>
      <w:rPr>
        <w:rFonts w:hint="eastAsia"/>
        <w:b w:val="0"/>
      </w:rPr>
    </w:lvl>
    <w:lvl w:ilvl="2" w:tentative="0">
      <w:start w:val="1"/>
      <w:numFmt w:val="decimal"/>
      <w:isLgl/>
      <w:suff w:val="space"/>
      <w:lvlText w:val="%1.%2.%3"/>
      <w:lvlJc w:val="left"/>
      <w:pPr>
        <w:ind w:left="0" w:firstLine="0"/>
      </w:pPr>
      <w:rPr>
        <w:rFonts w:hint="eastAsia"/>
        <w:b w:val="0"/>
        <w:i w:val="0"/>
      </w:rPr>
    </w:lvl>
    <w:lvl w:ilvl="3" w:tentative="0">
      <w:start w:val="1"/>
      <w:numFmt w:val="decimal"/>
      <w:isLgl/>
      <w:suff w:val="space"/>
      <w:lvlText w:val="%1.%2.%3.%4"/>
      <w:lvlJc w:val="left"/>
      <w:pPr>
        <w:ind w:left="2411"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750644"/>
    <w:rsid w:val="05137D43"/>
    <w:rsid w:val="07CB7A7F"/>
    <w:rsid w:val="085123CD"/>
    <w:rsid w:val="0A180DD2"/>
    <w:rsid w:val="0D344206"/>
    <w:rsid w:val="0EC864F6"/>
    <w:rsid w:val="0F162FE0"/>
    <w:rsid w:val="1C750644"/>
    <w:rsid w:val="22F23115"/>
    <w:rsid w:val="26697F27"/>
    <w:rsid w:val="27B47788"/>
    <w:rsid w:val="2A49521B"/>
    <w:rsid w:val="365831C4"/>
    <w:rsid w:val="396622C6"/>
    <w:rsid w:val="3BDF5FAE"/>
    <w:rsid w:val="3E277DFD"/>
    <w:rsid w:val="44780D81"/>
    <w:rsid w:val="4D3C70C3"/>
    <w:rsid w:val="4D7D11B1"/>
    <w:rsid w:val="4EC50E66"/>
    <w:rsid w:val="506C7CCF"/>
    <w:rsid w:val="574D43A9"/>
    <w:rsid w:val="5CDD75C9"/>
    <w:rsid w:val="62351307"/>
    <w:rsid w:val="628C5DDF"/>
    <w:rsid w:val="70432D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2"/>
    <w:basedOn w:val="1"/>
    <w:next w:val="1"/>
    <w:qFormat/>
    <w:uiPriority w:val="0"/>
    <w:pPr>
      <w:keepNext/>
      <w:keepLines/>
      <w:numPr>
        <w:ilvl w:val="1"/>
        <w:numId w:val="1"/>
      </w:numPr>
      <w:outlineLvl w:val="1"/>
    </w:pPr>
    <w:rPr>
      <w:rFonts w:ascii="Calibri" w:hAnsi="Arial" w:eastAsia="宋体" w:cs="Times New Roman"/>
      <w:b/>
      <w:bCs/>
      <w:szCs w:val="32"/>
    </w:rPr>
  </w:style>
  <w:style w:type="paragraph" w:styleId="5">
    <w:name w:val="heading 5"/>
    <w:basedOn w:val="1"/>
    <w:next w:val="1"/>
    <w:semiHidden/>
    <w:unhideWhenUsed/>
    <w:qFormat/>
    <w:uiPriority w:val="0"/>
    <w:pPr>
      <w:keepNext/>
      <w:keepLines/>
      <w:spacing w:before="20" w:beforeLines="0" w:beforeAutospacing="0" w:after="20" w:afterLines="0" w:afterAutospacing="0" w:line="372" w:lineRule="auto"/>
      <w:outlineLvl w:val="4"/>
    </w:pPr>
    <w:rPr>
      <w:rFonts w:asciiTheme="minorAscii" w:hAnsiTheme="minorAscii"/>
      <w:b/>
      <w:sz w:val="28"/>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line="240" w:lineRule="auto"/>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6">
    <w:name w:val="header"/>
    <w:basedOn w:val="1"/>
    <w:qFormat/>
    <w:uiPriority w:val="0"/>
    <w:pPr>
      <w:pBdr>
        <w:bottom w:val="single" w:color="auto" w:sz="6" w:space="1"/>
      </w:pBdr>
      <w:tabs>
        <w:tab w:val="center" w:pos="4153"/>
        <w:tab w:val="right" w:pos="8306"/>
      </w:tabs>
      <w:snapToGrid w:val="0"/>
      <w:spacing w:line="240" w:lineRule="auto"/>
      <w:jc w:val="center"/>
    </w:pPr>
    <w:rPr>
      <w:rFonts w:ascii="Calibri" w:hAnsi="Calibri" w:eastAsia="宋体" w:cs="Times New Roman"/>
      <w:kern w:val="0"/>
      <w:sz w:val="18"/>
      <w:szCs w:val="18"/>
    </w:rPr>
  </w:style>
  <w:style w:type="paragraph" w:customStyle="1" w:styleId="9">
    <w:name w:val="自编正文"/>
    <w:basedOn w:val="1"/>
    <w:qFormat/>
    <w:uiPriority w:val="0"/>
    <w:pPr>
      <w:spacing w:line="560" w:lineRule="exact"/>
      <w:ind w:firstLine="200" w:firstLineChars="200"/>
    </w:pPr>
    <w:rPr>
      <w:rFonts w:ascii="Calibri" w:hAnsi="Calibri" w:eastAsia="方正仿宋_GBK" w:cs="Times New Roman"/>
      <w:sz w:val="3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4571</Words>
  <Characters>4803</Characters>
  <Lines>0</Lines>
  <Paragraphs>0</Paragraphs>
  <TotalTime>9</TotalTime>
  <ScaleCrop>false</ScaleCrop>
  <LinksUpToDate>false</LinksUpToDate>
  <CharactersWithSpaces>4816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2025-08-01T06:51:00Z</dcterms:created>
  <dc:creator>盛俊杰</dc:creator>
  <cp:lastModifiedBy>黎业欣</cp:lastModifiedBy>
  <dcterms:modified xsi:type="dcterms:W3CDTF">2026-05-21T07:40:47Z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84412FFAA09C419EABC1AE52BABCFA67_13</vt:lpwstr>
  </property>
  <property fmtid="{D5CDD505-2E9C-101B-9397-08002B2CF9AE}" pid="4" name="KSOTemplateDocerSaveRecord">
    <vt:lpwstr>eyJoZGlkIjoiNmUwZThlNzcwZDVlN2I0ZTMzZDU3N2Y5OWY4OWFmZDkiLCJ1c2VySWQiOiIxMjA0ODk3OTI2In0=</vt:lpwstr>
  </property>
</Properties>
</file>