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DCCA0FC">
      <w:pPr>
        <w:rPr>
          <w:color w:val="auto"/>
          <w:highlight w:val="none"/>
        </w:rPr>
      </w:pPr>
      <w:r>
        <w:rPr>
          <w:rFonts w:hint="eastAsia"/>
          <w:color w:val="auto"/>
          <w:sz w:val="24"/>
          <w:highlight w:val="none"/>
        </w:rPr>
        <w:drawing>
          <wp:anchor distT="0" distB="0" distL="114300" distR="114300" simplePos="0" relativeHeight="251659264" behindDoc="0" locked="0" layoutInCell="1" allowOverlap="1">
            <wp:simplePos x="0" y="0"/>
            <wp:positionH relativeFrom="column">
              <wp:posOffset>-1724025</wp:posOffset>
            </wp:positionH>
            <wp:positionV relativeFrom="paragraph">
              <wp:posOffset>-1004570</wp:posOffset>
            </wp:positionV>
            <wp:extent cx="8915400" cy="3545205"/>
            <wp:effectExtent l="0" t="0" r="0" b="17145"/>
            <wp:wrapNone/>
            <wp:docPr id="867" name="图片 867" descr="模板-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7" name="图片 867" descr="模板-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a:xfrm>
                      <a:off x="0" y="0"/>
                      <a:ext cx="8915400" cy="3545205"/>
                    </a:xfrm>
                    <a:prstGeom prst="rect">
                      <a:avLst/>
                    </a:prstGeom>
                    <a:noFill/>
                    <a:ln>
                      <a:noFill/>
                    </a:ln>
                  </pic:spPr>
                </pic:pic>
              </a:graphicData>
            </a:graphic>
          </wp:anchor>
        </w:drawing>
      </w:r>
    </w:p>
    <w:p w14:paraId="36FC454C">
      <w:pPr>
        <w:rPr>
          <w:color w:val="auto"/>
          <w:highlight w:val="none"/>
        </w:rPr>
      </w:pPr>
    </w:p>
    <w:p w14:paraId="32B2433C">
      <w:pPr>
        <w:rPr>
          <w:color w:val="auto"/>
          <w:highlight w:val="none"/>
        </w:rPr>
      </w:pPr>
    </w:p>
    <w:p w14:paraId="2251452F">
      <w:pPr>
        <w:rPr>
          <w:color w:val="auto"/>
          <w:highlight w:val="none"/>
        </w:rPr>
      </w:pPr>
    </w:p>
    <w:p w14:paraId="14D05E42">
      <w:pPr>
        <w:rPr>
          <w:color w:val="auto"/>
          <w:highlight w:val="none"/>
        </w:rPr>
      </w:pPr>
    </w:p>
    <w:p w14:paraId="565FBD84">
      <w:pPr>
        <w:rPr>
          <w:color w:val="auto"/>
          <w:highlight w:val="none"/>
        </w:rPr>
      </w:pPr>
    </w:p>
    <w:p w14:paraId="0F5C072B">
      <w:pPr>
        <w:rPr>
          <w:color w:val="auto"/>
          <w:highlight w:val="none"/>
        </w:rPr>
      </w:pPr>
    </w:p>
    <w:p w14:paraId="3745F22A">
      <w:pPr>
        <w:rPr>
          <w:color w:val="auto"/>
          <w:highlight w:val="none"/>
        </w:rPr>
      </w:pPr>
    </w:p>
    <w:p w14:paraId="494EC8DC">
      <w:pPr>
        <w:rPr>
          <w:color w:val="auto"/>
          <w:highlight w:val="none"/>
        </w:rPr>
      </w:pPr>
    </w:p>
    <w:p w14:paraId="4AA2DD96">
      <w:pPr>
        <w:rPr>
          <w:color w:val="auto"/>
          <w:highlight w:val="none"/>
        </w:rPr>
      </w:pPr>
    </w:p>
    <w:p w14:paraId="26465A7F">
      <w:pPr>
        <w:rPr>
          <w:color w:val="auto"/>
          <w:highlight w:val="none"/>
        </w:rPr>
      </w:pPr>
    </w:p>
    <w:p w14:paraId="0F29ADA6">
      <w:pPr>
        <w:rPr>
          <w:color w:val="auto"/>
          <w:highlight w:val="none"/>
        </w:rPr>
      </w:pPr>
    </w:p>
    <w:p w14:paraId="619ED789">
      <w:pPr>
        <w:rPr>
          <w:color w:val="auto"/>
          <w:highlight w:val="none"/>
        </w:rPr>
      </w:pPr>
    </w:p>
    <w:p w14:paraId="32A87950">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eastAsia="黑体"/>
          <w:b/>
          <w:color w:val="auto"/>
          <w:sz w:val="48"/>
          <w:szCs w:val="44"/>
          <w:highlight w:val="none"/>
        </w:rPr>
      </w:pPr>
      <w:bookmarkStart w:id="0" w:name="_Toc28616"/>
      <w:bookmarkStart w:id="1" w:name="_Toc23817"/>
      <w:bookmarkStart w:id="2" w:name="_Toc32694"/>
      <w:r>
        <w:rPr>
          <w:rFonts w:hint="eastAsia" w:ascii="黑体" w:hAnsi="黑体" w:eastAsia="黑体" w:cs="Times New Roman"/>
          <w:b/>
          <w:bCs/>
          <w:color w:val="auto"/>
          <w:sz w:val="52"/>
          <w:highlight w:val="none"/>
        </w:rPr>
        <w:t>广州供电局</w:t>
      </w:r>
      <w:bookmarkEnd w:id="0"/>
      <w:bookmarkEnd w:id="1"/>
      <w:bookmarkEnd w:id="2"/>
      <w:r>
        <w:rPr>
          <w:rFonts w:hint="eastAsia" w:ascii="黑体" w:hAnsi="黑体" w:eastAsia="黑体" w:cs="Times New Roman"/>
          <w:b/>
          <w:bCs/>
          <w:color w:val="auto"/>
          <w:sz w:val="52"/>
          <w:highlight w:val="none"/>
        </w:rPr>
        <w:t>2026年数字技术平台适应性改造项目（区块链平台广州边缘节点升级-电政通</w:t>
      </w:r>
      <w:bookmarkStart w:id="150" w:name="_GoBack"/>
      <w:bookmarkEnd w:id="150"/>
      <w:r>
        <w:rPr>
          <w:rFonts w:hint="eastAsia" w:ascii="黑体" w:hAnsi="黑体" w:eastAsia="黑体" w:cs="Times New Roman"/>
          <w:b/>
          <w:bCs/>
          <w:color w:val="auto"/>
          <w:sz w:val="52"/>
          <w:highlight w:val="none"/>
        </w:rPr>
        <w:t>跨链数据核验）</w:t>
      </w:r>
      <w:r>
        <w:rPr>
          <w:rFonts w:hint="eastAsia" w:eastAsia="黑体"/>
          <w:b/>
          <w:color w:val="auto"/>
          <w:sz w:val="48"/>
          <w:szCs w:val="44"/>
          <w:highlight w:val="none"/>
        </w:rPr>
        <w:t>技术规范书</w:t>
      </w:r>
    </w:p>
    <w:p w14:paraId="01D0627A">
      <w:pPr>
        <w:rPr>
          <w:rFonts w:eastAsia="黑体"/>
          <w:b/>
          <w:color w:val="auto"/>
          <w:sz w:val="48"/>
          <w:szCs w:val="44"/>
          <w:highlight w:val="none"/>
        </w:rPr>
      </w:pPr>
    </w:p>
    <w:p w14:paraId="76C6BC86">
      <w:pPr>
        <w:rPr>
          <w:rFonts w:eastAsia="黑体"/>
          <w:b/>
          <w:color w:val="auto"/>
          <w:sz w:val="48"/>
          <w:szCs w:val="44"/>
          <w:highlight w:val="none"/>
        </w:rPr>
      </w:pPr>
    </w:p>
    <w:p w14:paraId="7378CBFB">
      <w:pPr>
        <w:rPr>
          <w:rFonts w:eastAsia="黑体"/>
          <w:b/>
          <w:color w:val="auto"/>
          <w:sz w:val="48"/>
          <w:szCs w:val="44"/>
          <w:highlight w:val="none"/>
        </w:rPr>
      </w:pPr>
    </w:p>
    <w:p w14:paraId="0BD07FCD">
      <w:pPr>
        <w:rPr>
          <w:rFonts w:eastAsia="黑体"/>
          <w:b/>
          <w:color w:val="auto"/>
          <w:sz w:val="48"/>
          <w:szCs w:val="44"/>
          <w:highlight w:val="none"/>
        </w:rPr>
      </w:pPr>
    </w:p>
    <w:p w14:paraId="0B66F191">
      <w:pPr>
        <w:rPr>
          <w:rFonts w:eastAsia="黑体"/>
          <w:b/>
          <w:color w:val="auto"/>
          <w:sz w:val="48"/>
          <w:szCs w:val="44"/>
          <w:highlight w:val="none"/>
        </w:rPr>
      </w:pPr>
    </w:p>
    <w:p w14:paraId="394CAF01">
      <w:pPr>
        <w:rPr>
          <w:rFonts w:eastAsia="黑体"/>
          <w:b/>
          <w:color w:val="auto"/>
          <w:sz w:val="48"/>
          <w:szCs w:val="44"/>
          <w:highlight w:val="none"/>
        </w:rPr>
      </w:pPr>
    </w:p>
    <w:p w14:paraId="587909AE">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b/>
          <w:color w:val="auto"/>
          <w:sz w:val="28"/>
          <w:szCs w:val="28"/>
          <w:highlight w:val="none"/>
        </w:rPr>
      </w:pPr>
      <w:bookmarkStart w:id="3" w:name="_Toc13132"/>
      <w:bookmarkStart w:id="4" w:name="_Toc21413"/>
      <w:bookmarkStart w:id="5" w:name="_Toc25356"/>
      <w:r>
        <w:rPr>
          <w:rFonts w:hint="eastAsia" w:ascii="宋体" w:hAnsi="宋体"/>
          <w:b/>
          <w:color w:val="auto"/>
          <w:sz w:val="28"/>
          <w:szCs w:val="28"/>
          <w:highlight w:val="none"/>
        </w:rPr>
        <w:t>广东电网有限责任公司广州供电局</w:t>
      </w:r>
      <w:bookmarkEnd w:id="3"/>
      <w:bookmarkEnd w:id="4"/>
      <w:bookmarkEnd w:id="5"/>
    </w:p>
    <w:p w14:paraId="68E2CB3C">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9"/>
        <w:rPr>
          <w:rFonts w:hint="eastAsia" w:ascii="宋体" w:hAnsi="宋体"/>
          <w:b/>
          <w:color w:val="auto"/>
          <w:sz w:val="32"/>
          <w:szCs w:val="32"/>
          <w:highlight w:val="none"/>
          <w:lang w:val="en-GB"/>
        </w:rPr>
      </w:pPr>
      <w:r>
        <w:rPr>
          <w:rFonts w:hint="eastAsia" w:ascii="宋体" w:hAnsi="宋体"/>
          <w:b/>
          <w:color w:val="auto"/>
          <w:highlight w:val="none"/>
        </w:rPr>
        <w:t xml:space="preserve">2026年   </w:t>
      </w:r>
      <w:r>
        <w:rPr>
          <w:rFonts w:hint="eastAsia" w:ascii="宋体" w:hAnsi="宋体"/>
          <w:b/>
          <w:color w:val="auto"/>
          <w:highlight w:val="none"/>
          <w:lang w:val="en-US" w:eastAsia="zh-CN"/>
        </w:rPr>
        <w:t>3</w:t>
      </w:r>
      <w:r>
        <w:rPr>
          <w:rFonts w:hint="eastAsia" w:ascii="宋体" w:hAnsi="宋体"/>
          <w:b/>
          <w:color w:val="auto"/>
          <w:highlight w:val="none"/>
        </w:rPr>
        <w:t xml:space="preserve">  </w:t>
      </w:r>
      <w:r>
        <w:rPr>
          <w:rFonts w:hint="eastAsia"/>
          <w:b/>
          <w:color w:val="auto"/>
          <w:highlight w:val="none"/>
        </w:rPr>
        <w:t>月</w:t>
      </w:r>
    </w:p>
    <w:p w14:paraId="4A9BBF34">
      <w:pPr>
        <w:jc w:val="center"/>
        <w:rPr>
          <w:rFonts w:hint="eastAsia" w:asciiTheme="minorEastAsia" w:hAnsiTheme="minorEastAsia"/>
          <w:b/>
          <w:bCs/>
          <w:color w:val="auto"/>
          <w:sz w:val="32"/>
          <w:szCs w:val="32"/>
          <w:highlight w:val="none"/>
        </w:rPr>
      </w:pPr>
    </w:p>
    <w:p w14:paraId="21A4491A">
      <w:pPr>
        <w:jc w:val="center"/>
        <w:rPr>
          <w:rFonts w:hint="eastAsia" w:asciiTheme="minorEastAsia" w:hAnsiTheme="minorEastAsia"/>
          <w:b/>
          <w:bCs/>
          <w:color w:val="auto"/>
          <w:sz w:val="32"/>
          <w:szCs w:val="32"/>
          <w:highlight w:val="none"/>
        </w:rPr>
      </w:pPr>
    </w:p>
    <w:p w14:paraId="2D1266DC">
      <w:pPr>
        <w:jc w:val="center"/>
        <w:rPr>
          <w:rFonts w:hint="eastAsia" w:asciiTheme="minorEastAsia" w:hAnsiTheme="minorEastAsia"/>
          <w:b/>
          <w:bCs/>
          <w:color w:val="auto"/>
          <w:sz w:val="32"/>
          <w:szCs w:val="32"/>
          <w:highlight w:val="none"/>
        </w:rPr>
        <w:sectPr>
          <w:pgSz w:w="11906" w:h="16838"/>
          <w:pgMar w:top="1440" w:right="1800" w:bottom="1440" w:left="1800" w:header="851" w:footer="992" w:gutter="0"/>
          <w:cols w:space="425" w:num="1"/>
          <w:docGrid w:type="lines" w:linePitch="312" w:charSpace="0"/>
        </w:sectPr>
      </w:pPr>
    </w:p>
    <w:p w14:paraId="50379A53">
      <w:pPr>
        <w:jc w:val="center"/>
        <w:rPr>
          <w:rFonts w:hint="eastAsia" w:asciiTheme="minorEastAsia" w:hAnsiTheme="minorEastAsia"/>
          <w:b/>
          <w:bCs/>
          <w:color w:val="auto"/>
          <w:sz w:val="32"/>
          <w:szCs w:val="32"/>
          <w:highlight w:val="none"/>
        </w:rPr>
      </w:pPr>
      <w:r>
        <w:rPr>
          <w:rFonts w:hint="eastAsia" w:asciiTheme="minorEastAsia" w:hAnsiTheme="minorEastAsia"/>
          <w:b/>
          <w:bCs/>
          <w:color w:val="auto"/>
          <w:sz w:val="32"/>
          <w:szCs w:val="32"/>
          <w:highlight w:val="none"/>
        </w:rPr>
        <w:t>目录</w:t>
      </w:r>
    </w:p>
    <w:sdt>
      <w:sdtPr>
        <w:rPr>
          <w:rFonts w:ascii="宋体" w:hAnsi="宋体" w:eastAsia="宋体" w:cstheme="minorBidi"/>
          <w:color w:val="auto"/>
          <w:kern w:val="2"/>
          <w:sz w:val="21"/>
          <w:szCs w:val="24"/>
          <w:highlight w:val="none"/>
          <w:lang w:val="en-US" w:eastAsia="zh-CN" w:bidi="ar-SA"/>
        </w:rPr>
        <w:id w:val="147479306"/>
        <w15:color w:val="DBDBDB"/>
        <w:docPartObj>
          <w:docPartGallery w:val="Table of Contents"/>
          <w:docPartUnique/>
        </w:docPartObj>
      </w:sdtPr>
      <w:sdtEndPr>
        <w:rPr>
          <w:rFonts w:hint="eastAsia" w:asciiTheme="minorEastAsia" w:hAnsiTheme="minorEastAsia" w:eastAsiaTheme="minorEastAsia" w:cstheme="minorBidi"/>
          <w:b/>
          <w:color w:val="auto"/>
          <w:kern w:val="2"/>
          <w:sz w:val="21"/>
          <w:szCs w:val="44"/>
          <w:highlight w:val="none"/>
          <w:lang w:val="en-US" w:eastAsia="zh-CN" w:bidi="ar-SA"/>
        </w:rPr>
      </w:sdtEndPr>
      <w:sdtContent>
        <w:p w14:paraId="02EA44BD">
          <w:pPr>
            <w:spacing w:before="0" w:beforeLines="0" w:after="0" w:afterLines="0" w:line="240" w:lineRule="auto"/>
            <w:ind w:left="0" w:leftChars="0" w:right="0" w:rightChars="0" w:firstLine="0" w:firstLineChars="0"/>
            <w:jc w:val="center"/>
            <w:rPr>
              <w:rFonts w:hint="eastAsia" w:asciiTheme="minorEastAsia" w:hAnsiTheme="minorEastAsia" w:eastAsiaTheme="minorEastAsia" w:cstheme="minorBidi"/>
              <w:b/>
              <w:color w:val="auto"/>
              <w:kern w:val="2"/>
              <w:sz w:val="21"/>
              <w:szCs w:val="44"/>
              <w:highlight w:val="none"/>
              <w:lang w:val="en-US" w:eastAsia="zh-CN" w:bidi="ar-SA"/>
            </w:rPr>
          </w:pPr>
          <w:r>
            <w:rPr>
              <w:rFonts w:hint="eastAsia" w:asciiTheme="minorEastAsia" w:hAnsiTheme="minorEastAsia"/>
              <w:color w:val="auto"/>
              <w:szCs w:val="44"/>
              <w:highlight w:val="none"/>
            </w:rPr>
            <w:fldChar w:fldCharType="begin"/>
          </w:r>
          <w:r>
            <w:rPr>
              <w:rFonts w:hint="eastAsia" w:asciiTheme="minorEastAsia" w:hAnsiTheme="minorEastAsia"/>
              <w:color w:val="auto"/>
              <w:szCs w:val="44"/>
              <w:highlight w:val="none"/>
            </w:rPr>
            <w:instrText xml:space="preserve">TOC \o "1-2" \h \u </w:instrText>
          </w:r>
          <w:r>
            <w:rPr>
              <w:rFonts w:hint="eastAsia" w:asciiTheme="minorEastAsia" w:hAnsiTheme="minorEastAsia"/>
              <w:color w:val="auto"/>
              <w:szCs w:val="44"/>
              <w:highlight w:val="none"/>
            </w:rPr>
            <w:fldChar w:fldCharType="separate"/>
          </w:r>
        </w:p>
        <w:p w14:paraId="366406F9">
          <w:pPr>
            <w:pStyle w:val="12"/>
            <w:tabs>
              <w:tab w:val="right" w:leader="dot" w:pos="8306"/>
            </w:tabs>
          </w:pPr>
          <w:r>
            <w:rPr>
              <w:rFonts w:hint="eastAsia" w:asciiTheme="minorEastAsia" w:hAnsiTheme="minorEastAsia"/>
              <w:color w:val="auto"/>
              <w:szCs w:val="44"/>
              <w:highlight w:val="none"/>
            </w:rPr>
            <w:fldChar w:fldCharType="begin"/>
          </w:r>
          <w:r>
            <w:rPr>
              <w:rFonts w:hint="eastAsia" w:asciiTheme="minorEastAsia" w:hAnsiTheme="minorEastAsia"/>
              <w:szCs w:val="44"/>
              <w:highlight w:val="none"/>
            </w:rPr>
            <w:instrText xml:space="preserve"> HYPERLINK \l _Toc12480 </w:instrText>
          </w:r>
          <w:r>
            <w:rPr>
              <w:rFonts w:hint="eastAsia" w:asciiTheme="minorEastAsia" w:hAnsiTheme="minorEastAsia"/>
              <w:szCs w:val="44"/>
              <w:highlight w:val="none"/>
            </w:rPr>
            <w:fldChar w:fldCharType="separate"/>
          </w:r>
          <w:r>
            <w:rPr>
              <w:rFonts w:hint="eastAsia" w:asciiTheme="minorEastAsia" w:hAnsiTheme="minorEastAsia" w:eastAsiaTheme="minorEastAsia"/>
              <w:i w:val="0"/>
            </w:rPr>
            <w:t xml:space="preserve">一、 </w:t>
          </w:r>
          <w:r>
            <w:rPr>
              <w:rFonts w:hint="eastAsia" w:asciiTheme="minorEastAsia" w:hAnsiTheme="minorEastAsia" w:eastAsiaTheme="minorEastAsia"/>
              <w:highlight w:val="none"/>
            </w:rPr>
            <w:t>总则</w:t>
          </w:r>
          <w:r>
            <w:tab/>
          </w:r>
          <w:r>
            <w:fldChar w:fldCharType="begin"/>
          </w:r>
          <w:r>
            <w:instrText xml:space="preserve"> PAGEREF _Toc12480 \h </w:instrText>
          </w:r>
          <w:r>
            <w:fldChar w:fldCharType="separate"/>
          </w:r>
          <w:r>
            <w:t>1</w:t>
          </w:r>
          <w:r>
            <w:fldChar w:fldCharType="end"/>
          </w:r>
          <w:r>
            <w:rPr>
              <w:rFonts w:hint="eastAsia" w:asciiTheme="minorEastAsia" w:hAnsiTheme="minorEastAsia"/>
              <w:color w:val="auto"/>
              <w:szCs w:val="44"/>
              <w:highlight w:val="none"/>
            </w:rPr>
            <w:fldChar w:fldCharType="end"/>
          </w:r>
        </w:p>
        <w:p w14:paraId="348AB0F0">
          <w:pPr>
            <w:pStyle w:val="13"/>
            <w:tabs>
              <w:tab w:val="right" w:leader="dot" w:pos="8306"/>
            </w:tabs>
          </w:pPr>
          <w:r>
            <w:rPr>
              <w:rFonts w:hint="eastAsia" w:asciiTheme="minorEastAsia" w:hAnsiTheme="minorEastAsia"/>
              <w:color w:val="auto"/>
              <w:szCs w:val="44"/>
              <w:highlight w:val="none"/>
            </w:rPr>
            <w:fldChar w:fldCharType="begin"/>
          </w:r>
          <w:r>
            <w:rPr>
              <w:rFonts w:hint="eastAsia" w:asciiTheme="minorEastAsia" w:hAnsiTheme="minorEastAsia"/>
              <w:szCs w:val="44"/>
              <w:highlight w:val="none"/>
            </w:rPr>
            <w:instrText xml:space="preserve"> HYPERLINK \l _Toc28696 </w:instrText>
          </w:r>
          <w:r>
            <w:rPr>
              <w:rFonts w:hint="eastAsia" w:asciiTheme="minorEastAsia" w:hAnsiTheme="minorEastAsia"/>
              <w:szCs w:val="44"/>
              <w:highlight w:val="none"/>
            </w:rPr>
            <w:fldChar w:fldCharType="separate"/>
          </w:r>
          <w:r>
            <w:rPr>
              <w:rFonts w:hint="eastAsia"/>
              <w:szCs w:val="24"/>
            </w:rPr>
            <w:t xml:space="preserve">1.1 </w:t>
          </w:r>
          <w:r>
            <w:rPr>
              <w:rFonts w:hint="eastAsia"/>
              <w:szCs w:val="24"/>
              <w:highlight w:val="none"/>
            </w:rPr>
            <w:t>依据的标准和规范</w:t>
          </w:r>
          <w:r>
            <w:tab/>
          </w:r>
          <w:r>
            <w:fldChar w:fldCharType="begin"/>
          </w:r>
          <w:r>
            <w:instrText xml:space="preserve"> PAGEREF _Toc28696 \h </w:instrText>
          </w:r>
          <w:r>
            <w:fldChar w:fldCharType="separate"/>
          </w:r>
          <w:r>
            <w:t>1</w:t>
          </w:r>
          <w:r>
            <w:fldChar w:fldCharType="end"/>
          </w:r>
          <w:r>
            <w:rPr>
              <w:rFonts w:hint="eastAsia" w:asciiTheme="minorEastAsia" w:hAnsiTheme="minorEastAsia"/>
              <w:color w:val="auto"/>
              <w:szCs w:val="44"/>
              <w:highlight w:val="none"/>
            </w:rPr>
            <w:fldChar w:fldCharType="end"/>
          </w:r>
        </w:p>
        <w:p w14:paraId="12072AC5">
          <w:pPr>
            <w:pStyle w:val="12"/>
            <w:tabs>
              <w:tab w:val="right" w:leader="dot" w:pos="8306"/>
            </w:tabs>
          </w:pPr>
          <w:r>
            <w:rPr>
              <w:rFonts w:hint="eastAsia" w:asciiTheme="minorEastAsia" w:hAnsiTheme="minorEastAsia"/>
              <w:color w:val="auto"/>
              <w:szCs w:val="44"/>
              <w:highlight w:val="none"/>
            </w:rPr>
            <w:fldChar w:fldCharType="begin"/>
          </w:r>
          <w:r>
            <w:rPr>
              <w:rFonts w:hint="eastAsia" w:asciiTheme="minorEastAsia" w:hAnsiTheme="minorEastAsia"/>
              <w:szCs w:val="44"/>
              <w:highlight w:val="none"/>
            </w:rPr>
            <w:instrText xml:space="preserve"> HYPERLINK \l _Toc8754 </w:instrText>
          </w:r>
          <w:r>
            <w:rPr>
              <w:rFonts w:hint="eastAsia" w:asciiTheme="minorEastAsia" w:hAnsiTheme="minorEastAsia"/>
              <w:szCs w:val="44"/>
              <w:highlight w:val="none"/>
            </w:rPr>
            <w:fldChar w:fldCharType="separate"/>
          </w:r>
          <w:r>
            <w:rPr>
              <w:rFonts w:hint="eastAsia" w:ascii="宋体" w:hAnsi="宋体" w:eastAsia="宋体" w:cs="宋体"/>
              <w:i w:val="0"/>
            </w:rPr>
            <w:t xml:space="preserve">二、 </w:t>
          </w:r>
          <w:r>
            <w:rPr>
              <w:rFonts w:hint="eastAsia" w:ascii="宋体" w:hAnsi="宋体" w:eastAsia="宋体" w:cs="宋体"/>
              <w:highlight w:val="none"/>
            </w:rPr>
            <w:t>项目概况</w:t>
          </w:r>
          <w:r>
            <w:tab/>
          </w:r>
          <w:r>
            <w:fldChar w:fldCharType="begin"/>
          </w:r>
          <w:r>
            <w:instrText xml:space="preserve"> PAGEREF _Toc8754 \h </w:instrText>
          </w:r>
          <w:r>
            <w:fldChar w:fldCharType="separate"/>
          </w:r>
          <w:r>
            <w:t>2</w:t>
          </w:r>
          <w:r>
            <w:fldChar w:fldCharType="end"/>
          </w:r>
          <w:r>
            <w:rPr>
              <w:rFonts w:hint="eastAsia" w:asciiTheme="minorEastAsia" w:hAnsiTheme="minorEastAsia"/>
              <w:color w:val="auto"/>
              <w:szCs w:val="44"/>
              <w:highlight w:val="none"/>
            </w:rPr>
            <w:fldChar w:fldCharType="end"/>
          </w:r>
        </w:p>
        <w:p w14:paraId="1E000FFE">
          <w:pPr>
            <w:pStyle w:val="13"/>
            <w:tabs>
              <w:tab w:val="right" w:leader="dot" w:pos="8306"/>
            </w:tabs>
          </w:pPr>
          <w:r>
            <w:rPr>
              <w:rFonts w:hint="eastAsia" w:asciiTheme="minorEastAsia" w:hAnsiTheme="minorEastAsia"/>
              <w:color w:val="auto"/>
              <w:szCs w:val="44"/>
              <w:highlight w:val="none"/>
            </w:rPr>
            <w:fldChar w:fldCharType="begin"/>
          </w:r>
          <w:r>
            <w:rPr>
              <w:rFonts w:hint="eastAsia" w:asciiTheme="minorEastAsia" w:hAnsiTheme="minorEastAsia"/>
              <w:szCs w:val="44"/>
              <w:highlight w:val="none"/>
            </w:rPr>
            <w:instrText xml:space="preserve"> HYPERLINK \l _Toc15278 </w:instrText>
          </w:r>
          <w:r>
            <w:rPr>
              <w:rFonts w:hint="eastAsia" w:asciiTheme="minorEastAsia" w:hAnsiTheme="minorEastAsia"/>
              <w:szCs w:val="44"/>
              <w:highlight w:val="none"/>
            </w:rPr>
            <w:fldChar w:fldCharType="separate"/>
          </w:r>
          <w:r>
            <w:rPr>
              <w:rFonts w:hint="eastAsia" w:ascii="宋体" w:hAnsi="宋体" w:eastAsia="宋体" w:cs="宋体"/>
              <w:bCs/>
            </w:rPr>
            <w:t xml:space="preserve">2.1 </w:t>
          </w:r>
          <w:r>
            <w:rPr>
              <w:rFonts w:hint="eastAsia" w:ascii="宋体" w:hAnsi="宋体" w:eastAsia="宋体" w:cs="宋体"/>
              <w:bCs/>
              <w:highlight w:val="none"/>
            </w:rPr>
            <w:t>项目要求</w:t>
          </w:r>
          <w:r>
            <w:tab/>
          </w:r>
          <w:r>
            <w:fldChar w:fldCharType="begin"/>
          </w:r>
          <w:r>
            <w:instrText xml:space="preserve"> PAGEREF _Toc15278 \h </w:instrText>
          </w:r>
          <w:r>
            <w:fldChar w:fldCharType="separate"/>
          </w:r>
          <w:r>
            <w:t>2</w:t>
          </w:r>
          <w:r>
            <w:fldChar w:fldCharType="end"/>
          </w:r>
          <w:r>
            <w:rPr>
              <w:rFonts w:hint="eastAsia" w:asciiTheme="minorEastAsia" w:hAnsiTheme="minorEastAsia"/>
              <w:color w:val="auto"/>
              <w:szCs w:val="44"/>
              <w:highlight w:val="none"/>
            </w:rPr>
            <w:fldChar w:fldCharType="end"/>
          </w:r>
        </w:p>
        <w:p w14:paraId="3E0C8E66">
          <w:pPr>
            <w:pStyle w:val="13"/>
            <w:tabs>
              <w:tab w:val="right" w:leader="dot" w:pos="8306"/>
            </w:tabs>
          </w:pPr>
          <w:r>
            <w:rPr>
              <w:rFonts w:hint="eastAsia" w:asciiTheme="minorEastAsia" w:hAnsiTheme="minorEastAsia"/>
              <w:color w:val="auto"/>
              <w:szCs w:val="44"/>
              <w:highlight w:val="none"/>
            </w:rPr>
            <w:fldChar w:fldCharType="begin"/>
          </w:r>
          <w:r>
            <w:rPr>
              <w:rFonts w:hint="eastAsia" w:asciiTheme="minorEastAsia" w:hAnsiTheme="minorEastAsia"/>
              <w:szCs w:val="44"/>
              <w:highlight w:val="none"/>
            </w:rPr>
            <w:instrText xml:space="preserve"> HYPERLINK \l _Toc8015 </w:instrText>
          </w:r>
          <w:r>
            <w:rPr>
              <w:rFonts w:hint="eastAsia" w:asciiTheme="minorEastAsia" w:hAnsiTheme="minorEastAsia"/>
              <w:szCs w:val="44"/>
              <w:highlight w:val="none"/>
            </w:rPr>
            <w:fldChar w:fldCharType="separate"/>
          </w:r>
          <w:r>
            <w:rPr>
              <w:rFonts w:hint="eastAsia" w:ascii="宋体" w:hAnsi="宋体" w:eastAsia="宋体" w:cs="宋体"/>
              <w:bCs/>
            </w:rPr>
            <w:t xml:space="preserve">2.2 </w:t>
          </w:r>
          <w:r>
            <w:rPr>
              <w:rFonts w:hint="eastAsia" w:ascii="宋体" w:hAnsi="宋体" w:eastAsia="宋体" w:cs="宋体"/>
              <w:bCs/>
              <w:highlight w:val="none"/>
            </w:rPr>
            <w:t>项目背景</w:t>
          </w:r>
          <w:r>
            <w:tab/>
          </w:r>
          <w:r>
            <w:fldChar w:fldCharType="begin"/>
          </w:r>
          <w:r>
            <w:instrText xml:space="preserve"> PAGEREF _Toc8015 \h </w:instrText>
          </w:r>
          <w:r>
            <w:fldChar w:fldCharType="separate"/>
          </w:r>
          <w:r>
            <w:t>3</w:t>
          </w:r>
          <w:r>
            <w:fldChar w:fldCharType="end"/>
          </w:r>
          <w:r>
            <w:rPr>
              <w:rFonts w:hint="eastAsia" w:asciiTheme="minorEastAsia" w:hAnsiTheme="minorEastAsia"/>
              <w:color w:val="auto"/>
              <w:szCs w:val="44"/>
              <w:highlight w:val="none"/>
            </w:rPr>
            <w:fldChar w:fldCharType="end"/>
          </w:r>
        </w:p>
        <w:p w14:paraId="33126A00">
          <w:pPr>
            <w:pStyle w:val="13"/>
            <w:tabs>
              <w:tab w:val="right" w:leader="dot" w:pos="8306"/>
            </w:tabs>
          </w:pPr>
          <w:r>
            <w:rPr>
              <w:rFonts w:hint="eastAsia" w:asciiTheme="minorEastAsia" w:hAnsiTheme="minorEastAsia"/>
              <w:color w:val="auto"/>
              <w:szCs w:val="44"/>
              <w:highlight w:val="none"/>
            </w:rPr>
            <w:fldChar w:fldCharType="begin"/>
          </w:r>
          <w:r>
            <w:rPr>
              <w:rFonts w:hint="eastAsia" w:asciiTheme="minorEastAsia" w:hAnsiTheme="minorEastAsia"/>
              <w:szCs w:val="44"/>
              <w:highlight w:val="none"/>
            </w:rPr>
            <w:instrText xml:space="preserve"> HYPERLINK \l _Toc26077 </w:instrText>
          </w:r>
          <w:r>
            <w:rPr>
              <w:rFonts w:hint="eastAsia" w:asciiTheme="minorEastAsia" w:hAnsiTheme="minorEastAsia"/>
              <w:szCs w:val="44"/>
              <w:highlight w:val="none"/>
            </w:rPr>
            <w:fldChar w:fldCharType="separate"/>
          </w:r>
          <w:r>
            <w:rPr>
              <w:rFonts w:hint="eastAsia"/>
              <w:szCs w:val="24"/>
            </w:rPr>
            <w:t xml:space="preserve">2.3 </w:t>
          </w:r>
          <w:r>
            <w:rPr>
              <w:rFonts w:hint="eastAsia"/>
              <w:szCs w:val="24"/>
              <w:highlight w:val="none"/>
            </w:rPr>
            <w:t>建设目标</w:t>
          </w:r>
          <w:r>
            <w:tab/>
          </w:r>
          <w:r>
            <w:fldChar w:fldCharType="begin"/>
          </w:r>
          <w:r>
            <w:instrText xml:space="preserve"> PAGEREF _Toc26077 \h </w:instrText>
          </w:r>
          <w:r>
            <w:fldChar w:fldCharType="separate"/>
          </w:r>
          <w:r>
            <w:t>3</w:t>
          </w:r>
          <w:r>
            <w:fldChar w:fldCharType="end"/>
          </w:r>
          <w:r>
            <w:rPr>
              <w:rFonts w:hint="eastAsia" w:asciiTheme="minorEastAsia" w:hAnsiTheme="minorEastAsia"/>
              <w:color w:val="auto"/>
              <w:szCs w:val="44"/>
              <w:highlight w:val="none"/>
            </w:rPr>
            <w:fldChar w:fldCharType="end"/>
          </w:r>
        </w:p>
        <w:p w14:paraId="71110D87">
          <w:pPr>
            <w:pStyle w:val="13"/>
            <w:tabs>
              <w:tab w:val="right" w:leader="dot" w:pos="8306"/>
            </w:tabs>
          </w:pPr>
          <w:r>
            <w:rPr>
              <w:rFonts w:hint="eastAsia" w:asciiTheme="minorEastAsia" w:hAnsiTheme="minorEastAsia"/>
              <w:color w:val="auto"/>
              <w:szCs w:val="44"/>
              <w:highlight w:val="none"/>
            </w:rPr>
            <w:fldChar w:fldCharType="begin"/>
          </w:r>
          <w:r>
            <w:rPr>
              <w:rFonts w:hint="eastAsia" w:asciiTheme="minorEastAsia" w:hAnsiTheme="minorEastAsia"/>
              <w:szCs w:val="44"/>
              <w:highlight w:val="none"/>
            </w:rPr>
            <w:instrText xml:space="preserve"> HYPERLINK \l _Toc30926 </w:instrText>
          </w:r>
          <w:r>
            <w:rPr>
              <w:rFonts w:hint="eastAsia" w:asciiTheme="minorEastAsia" w:hAnsiTheme="minorEastAsia"/>
              <w:szCs w:val="44"/>
              <w:highlight w:val="none"/>
            </w:rPr>
            <w:fldChar w:fldCharType="separate"/>
          </w:r>
          <w:r>
            <w:rPr>
              <w:rFonts w:hint="eastAsia"/>
              <w:szCs w:val="24"/>
            </w:rPr>
            <w:t xml:space="preserve">2.4 </w:t>
          </w:r>
          <w:r>
            <w:rPr>
              <w:rFonts w:hint="eastAsia"/>
              <w:szCs w:val="24"/>
              <w:highlight w:val="none"/>
            </w:rPr>
            <w:t>建设范围</w:t>
          </w:r>
          <w:r>
            <w:tab/>
          </w:r>
          <w:r>
            <w:fldChar w:fldCharType="begin"/>
          </w:r>
          <w:r>
            <w:instrText xml:space="preserve"> PAGEREF _Toc30926 \h </w:instrText>
          </w:r>
          <w:r>
            <w:fldChar w:fldCharType="separate"/>
          </w:r>
          <w:r>
            <w:t>5</w:t>
          </w:r>
          <w:r>
            <w:fldChar w:fldCharType="end"/>
          </w:r>
          <w:r>
            <w:rPr>
              <w:rFonts w:hint="eastAsia" w:asciiTheme="minorEastAsia" w:hAnsiTheme="minorEastAsia"/>
              <w:color w:val="auto"/>
              <w:szCs w:val="44"/>
              <w:highlight w:val="none"/>
            </w:rPr>
            <w:fldChar w:fldCharType="end"/>
          </w:r>
        </w:p>
        <w:p w14:paraId="0648BB1C">
          <w:pPr>
            <w:pStyle w:val="13"/>
            <w:tabs>
              <w:tab w:val="right" w:leader="dot" w:pos="8306"/>
            </w:tabs>
          </w:pPr>
          <w:r>
            <w:rPr>
              <w:rFonts w:hint="eastAsia" w:asciiTheme="minorEastAsia" w:hAnsiTheme="minorEastAsia"/>
              <w:color w:val="auto"/>
              <w:szCs w:val="44"/>
              <w:highlight w:val="none"/>
            </w:rPr>
            <w:fldChar w:fldCharType="begin"/>
          </w:r>
          <w:r>
            <w:rPr>
              <w:rFonts w:hint="eastAsia" w:asciiTheme="minorEastAsia" w:hAnsiTheme="minorEastAsia"/>
              <w:szCs w:val="44"/>
              <w:highlight w:val="none"/>
            </w:rPr>
            <w:instrText xml:space="preserve"> HYPERLINK \l _Toc7006 </w:instrText>
          </w:r>
          <w:r>
            <w:rPr>
              <w:rFonts w:hint="eastAsia" w:asciiTheme="minorEastAsia" w:hAnsiTheme="minorEastAsia"/>
              <w:szCs w:val="44"/>
              <w:highlight w:val="none"/>
            </w:rPr>
            <w:fldChar w:fldCharType="separate"/>
          </w:r>
          <w:r>
            <w:rPr>
              <w:rFonts w:hint="eastAsia"/>
              <w:szCs w:val="24"/>
            </w:rPr>
            <w:t xml:space="preserve">2.5 </w:t>
          </w:r>
          <w:r>
            <w:rPr>
              <w:rFonts w:hint="eastAsia"/>
              <w:szCs w:val="24"/>
              <w:highlight w:val="none"/>
            </w:rPr>
            <w:t>项目保质期</w:t>
          </w:r>
          <w:r>
            <w:tab/>
          </w:r>
          <w:r>
            <w:fldChar w:fldCharType="begin"/>
          </w:r>
          <w:r>
            <w:instrText xml:space="preserve"> PAGEREF _Toc7006 \h </w:instrText>
          </w:r>
          <w:r>
            <w:fldChar w:fldCharType="separate"/>
          </w:r>
          <w:r>
            <w:t>5</w:t>
          </w:r>
          <w:r>
            <w:fldChar w:fldCharType="end"/>
          </w:r>
          <w:r>
            <w:rPr>
              <w:rFonts w:hint="eastAsia" w:asciiTheme="minorEastAsia" w:hAnsiTheme="minorEastAsia"/>
              <w:color w:val="auto"/>
              <w:szCs w:val="44"/>
              <w:highlight w:val="none"/>
            </w:rPr>
            <w:fldChar w:fldCharType="end"/>
          </w:r>
        </w:p>
        <w:p w14:paraId="39DC7380">
          <w:pPr>
            <w:pStyle w:val="12"/>
            <w:tabs>
              <w:tab w:val="right" w:leader="dot" w:pos="8306"/>
            </w:tabs>
          </w:pPr>
          <w:r>
            <w:rPr>
              <w:rFonts w:hint="eastAsia" w:asciiTheme="minorEastAsia" w:hAnsiTheme="minorEastAsia"/>
              <w:color w:val="auto"/>
              <w:szCs w:val="44"/>
              <w:highlight w:val="none"/>
            </w:rPr>
            <w:fldChar w:fldCharType="begin"/>
          </w:r>
          <w:r>
            <w:rPr>
              <w:rFonts w:hint="eastAsia" w:asciiTheme="minorEastAsia" w:hAnsiTheme="minorEastAsia"/>
              <w:szCs w:val="44"/>
              <w:highlight w:val="none"/>
            </w:rPr>
            <w:instrText xml:space="preserve"> HYPERLINK \l _Toc13302 </w:instrText>
          </w:r>
          <w:r>
            <w:rPr>
              <w:rFonts w:hint="eastAsia" w:asciiTheme="minorEastAsia" w:hAnsiTheme="minorEastAsia"/>
              <w:szCs w:val="44"/>
              <w:highlight w:val="none"/>
            </w:rPr>
            <w:fldChar w:fldCharType="separate"/>
          </w:r>
          <w:r>
            <w:rPr>
              <w:rFonts w:hint="eastAsia" w:asciiTheme="minorEastAsia" w:hAnsiTheme="minorEastAsia" w:eastAsiaTheme="minorEastAsia" w:cstheme="minorEastAsia"/>
              <w:i w:val="0"/>
            </w:rPr>
            <w:t xml:space="preserve">三、 </w:t>
          </w:r>
          <w:r>
            <w:rPr>
              <w:rFonts w:hint="eastAsia" w:asciiTheme="minorEastAsia" w:hAnsiTheme="minorEastAsia" w:eastAsiaTheme="minorEastAsia" w:cstheme="minorEastAsia"/>
              <w:highlight w:val="none"/>
            </w:rPr>
            <w:t>项目内容与要求</w:t>
          </w:r>
          <w:r>
            <w:tab/>
          </w:r>
          <w:r>
            <w:fldChar w:fldCharType="begin"/>
          </w:r>
          <w:r>
            <w:instrText xml:space="preserve"> PAGEREF _Toc13302 \h </w:instrText>
          </w:r>
          <w:r>
            <w:fldChar w:fldCharType="separate"/>
          </w:r>
          <w:r>
            <w:t>6</w:t>
          </w:r>
          <w:r>
            <w:fldChar w:fldCharType="end"/>
          </w:r>
          <w:r>
            <w:rPr>
              <w:rFonts w:hint="eastAsia" w:asciiTheme="minorEastAsia" w:hAnsiTheme="minorEastAsia"/>
              <w:color w:val="auto"/>
              <w:szCs w:val="44"/>
              <w:highlight w:val="none"/>
            </w:rPr>
            <w:fldChar w:fldCharType="end"/>
          </w:r>
        </w:p>
        <w:p w14:paraId="64C6D852">
          <w:pPr>
            <w:pStyle w:val="13"/>
            <w:tabs>
              <w:tab w:val="right" w:leader="dot" w:pos="8306"/>
            </w:tabs>
          </w:pPr>
          <w:r>
            <w:rPr>
              <w:rFonts w:hint="eastAsia" w:asciiTheme="minorEastAsia" w:hAnsiTheme="minorEastAsia"/>
              <w:color w:val="auto"/>
              <w:szCs w:val="44"/>
              <w:highlight w:val="none"/>
            </w:rPr>
            <w:fldChar w:fldCharType="begin"/>
          </w:r>
          <w:r>
            <w:rPr>
              <w:rFonts w:hint="eastAsia" w:asciiTheme="minorEastAsia" w:hAnsiTheme="minorEastAsia"/>
              <w:szCs w:val="44"/>
              <w:highlight w:val="none"/>
            </w:rPr>
            <w:instrText xml:space="preserve"> HYPERLINK \l _Toc29183 </w:instrText>
          </w:r>
          <w:r>
            <w:rPr>
              <w:rFonts w:hint="eastAsia" w:asciiTheme="minorEastAsia" w:hAnsiTheme="minorEastAsia"/>
              <w:szCs w:val="44"/>
              <w:highlight w:val="none"/>
            </w:rPr>
            <w:fldChar w:fldCharType="separate"/>
          </w:r>
          <w:r>
            <w:rPr>
              <w:rFonts w:hint="eastAsia" w:asciiTheme="minorEastAsia" w:hAnsiTheme="minorEastAsia" w:cstheme="minorEastAsia"/>
              <w:szCs w:val="24"/>
            </w:rPr>
            <w:t xml:space="preserve">3.1 </w:t>
          </w:r>
          <w:r>
            <w:rPr>
              <w:rFonts w:hint="eastAsia" w:asciiTheme="minorEastAsia" w:hAnsiTheme="minorEastAsia" w:cstheme="minorEastAsia"/>
              <w:szCs w:val="24"/>
              <w:highlight w:val="none"/>
            </w:rPr>
            <w:t>项目准备工作</w:t>
          </w:r>
          <w:r>
            <w:tab/>
          </w:r>
          <w:r>
            <w:fldChar w:fldCharType="begin"/>
          </w:r>
          <w:r>
            <w:instrText xml:space="preserve"> PAGEREF _Toc29183 \h </w:instrText>
          </w:r>
          <w:r>
            <w:fldChar w:fldCharType="separate"/>
          </w:r>
          <w:r>
            <w:t>6</w:t>
          </w:r>
          <w:r>
            <w:fldChar w:fldCharType="end"/>
          </w:r>
          <w:r>
            <w:rPr>
              <w:rFonts w:hint="eastAsia" w:asciiTheme="minorEastAsia" w:hAnsiTheme="minorEastAsia"/>
              <w:color w:val="auto"/>
              <w:szCs w:val="44"/>
              <w:highlight w:val="none"/>
            </w:rPr>
            <w:fldChar w:fldCharType="end"/>
          </w:r>
        </w:p>
        <w:p w14:paraId="6FB10FBF">
          <w:pPr>
            <w:pStyle w:val="13"/>
            <w:tabs>
              <w:tab w:val="right" w:leader="dot" w:pos="8306"/>
            </w:tabs>
          </w:pPr>
          <w:r>
            <w:rPr>
              <w:rFonts w:hint="eastAsia" w:asciiTheme="minorEastAsia" w:hAnsiTheme="minorEastAsia"/>
              <w:color w:val="auto"/>
              <w:szCs w:val="44"/>
              <w:highlight w:val="none"/>
            </w:rPr>
            <w:fldChar w:fldCharType="begin"/>
          </w:r>
          <w:r>
            <w:rPr>
              <w:rFonts w:hint="eastAsia" w:asciiTheme="minorEastAsia" w:hAnsiTheme="minorEastAsia"/>
              <w:szCs w:val="44"/>
              <w:highlight w:val="none"/>
            </w:rPr>
            <w:instrText xml:space="preserve"> HYPERLINK \l _Toc18018 </w:instrText>
          </w:r>
          <w:r>
            <w:rPr>
              <w:rFonts w:hint="eastAsia" w:asciiTheme="minorEastAsia" w:hAnsiTheme="minorEastAsia"/>
              <w:szCs w:val="44"/>
              <w:highlight w:val="none"/>
            </w:rPr>
            <w:fldChar w:fldCharType="separate"/>
          </w:r>
          <w:r>
            <w:rPr>
              <w:rFonts w:hint="eastAsia" w:asciiTheme="minorEastAsia" w:hAnsiTheme="minorEastAsia" w:cstheme="minorEastAsia"/>
              <w:szCs w:val="24"/>
            </w:rPr>
            <w:t xml:space="preserve">3.2 </w:t>
          </w:r>
          <w:r>
            <w:rPr>
              <w:rFonts w:hint="eastAsia" w:asciiTheme="minorEastAsia" w:hAnsiTheme="minorEastAsia" w:cstheme="minorEastAsia"/>
              <w:szCs w:val="24"/>
              <w:highlight w:val="none"/>
            </w:rPr>
            <w:t>项目管理要求</w:t>
          </w:r>
          <w:r>
            <w:tab/>
          </w:r>
          <w:r>
            <w:fldChar w:fldCharType="begin"/>
          </w:r>
          <w:r>
            <w:instrText xml:space="preserve"> PAGEREF _Toc18018 \h </w:instrText>
          </w:r>
          <w:r>
            <w:fldChar w:fldCharType="separate"/>
          </w:r>
          <w:r>
            <w:t>6</w:t>
          </w:r>
          <w:r>
            <w:fldChar w:fldCharType="end"/>
          </w:r>
          <w:r>
            <w:rPr>
              <w:rFonts w:hint="eastAsia" w:asciiTheme="minorEastAsia" w:hAnsiTheme="minorEastAsia"/>
              <w:color w:val="auto"/>
              <w:szCs w:val="44"/>
              <w:highlight w:val="none"/>
            </w:rPr>
            <w:fldChar w:fldCharType="end"/>
          </w:r>
        </w:p>
        <w:p w14:paraId="1C73A256">
          <w:pPr>
            <w:pStyle w:val="13"/>
            <w:tabs>
              <w:tab w:val="right" w:leader="dot" w:pos="8306"/>
            </w:tabs>
          </w:pPr>
          <w:r>
            <w:rPr>
              <w:rFonts w:hint="eastAsia" w:asciiTheme="minorEastAsia" w:hAnsiTheme="minorEastAsia"/>
              <w:color w:val="auto"/>
              <w:szCs w:val="44"/>
              <w:highlight w:val="none"/>
            </w:rPr>
            <w:fldChar w:fldCharType="begin"/>
          </w:r>
          <w:r>
            <w:rPr>
              <w:rFonts w:hint="eastAsia" w:asciiTheme="minorEastAsia" w:hAnsiTheme="minorEastAsia"/>
              <w:szCs w:val="44"/>
              <w:highlight w:val="none"/>
            </w:rPr>
            <w:instrText xml:space="preserve"> HYPERLINK \l _Toc27633 </w:instrText>
          </w:r>
          <w:r>
            <w:rPr>
              <w:rFonts w:hint="eastAsia" w:asciiTheme="minorEastAsia" w:hAnsiTheme="minorEastAsia"/>
              <w:szCs w:val="44"/>
              <w:highlight w:val="none"/>
            </w:rPr>
            <w:fldChar w:fldCharType="separate"/>
          </w:r>
          <w:r>
            <w:rPr>
              <w:rFonts w:hint="eastAsia" w:asciiTheme="minorEastAsia" w:hAnsiTheme="minorEastAsia" w:cstheme="minorEastAsia"/>
              <w:szCs w:val="24"/>
            </w:rPr>
            <w:t xml:space="preserve">3.3 </w:t>
          </w:r>
          <w:r>
            <w:rPr>
              <w:rFonts w:hint="eastAsia" w:asciiTheme="minorEastAsia" w:hAnsiTheme="minorEastAsia" w:cstheme="minorEastAsia"/>
              <w:szCs w:val="24"/>
              <w:highlight w:val="none"/>
            </w:rPr>
            <w:t>项目参与人员要求</w:t>
          </w:r>
          <w:r>
            <w:tab/>
          </w:r>
          <w:r>
            <w:fldChar w:fldCharType="begin"/>
          </w:r>
          <w:r>
            <w:instrText xml:space="preserve"> PAGEREF _Toc27633 \h </w:instrText>
          </w:r>
          <w:r>
            <w:fldChar w:fldCharType="separate"/>
          </w:r>
          <w:r>
            <w:t>7</w:t>
          </w:r>
          <w:r>
            <w:fldChar w:fldCharType="end"/>
          </w:r>
          <w:r>
            <w:rPr>
              <w:rFonts w:hint="eastAsia" w:asciiTheme="minorEastAsia" w:hAnsiTheme="minorEastAsia"/>
              <w:color w:val="auto"/>
              <w:szCs w:val="44"/>
              <w:highlight w:val="none"/>
            </w:rPr>
            <w:fldChar w:fldCharType="end"/>
          </w:r>
        </w:p>
        <w:p w14:paraId="78D1541B">
          <w:pPr>
            <w:pStyle w:val="13"/>
            <w:tabs>
              <w:tab w:val="right" w:leader="dot" w:pos="8306"/>
            </w:tabs>
          </w:pPr>
          <w:r>
            <w:rPr>
              <w:rFonts w:hint="eastAsia" w:asciiTheme="minorEastAsia" w:hAnsiTheme="minorEastAsia"/>
              <w:color w:val="auto"/>
              <w:szCs w:val="44"/>
              <w:highlight w:val="none"/>
            </w:rPr>
            <w:fldChar w:fldCharType="begin"/>
          </w:r>
          <w:r>
            <w:rPr>
              <w:rFonts w:hint="eastAsia" w:asciiTheme="minorEastAsia" w:hAnsiTheme="minorEastAsia"/>
              <w:szCs w:val="44"/>
              <w:highlight w:val="none"/>
            </w:rPr>
            <w:instrText xml:space="preserve"> HYPERLINK \l _Toc26769 </w:instrText>
          </w:r>
          <w:r>
            <w:rPr>
              <w:rFonts w:hint="eastAsia" w:asciiTheme="minorEastAsia" w:hAnsiTheme="minorEastAsia"/>
              <w:szCs w:val="44"/>
              <w:highlight w:val="none"/>
            </w:rPr>
            <w:fldChar w:fldCharType="separate"/>
          </w:r>
          <w:r>
            <w:rPr>
              <w:rFonts w:hint="eastAsia" w:eastAsia="宋体" w:cs="Times New Roman"/>
              <w:szCs w:val="24"/>
            </w:rPr>
            <w:t xml:space="preserve">3.4 </w:t>
          </w:r>
          <w:r>
            <w:rPr>
              <w:rFonts w:hint="eastAsia" w:eastAsia="宋体" w:cs="Times New Roman"/>
              <w:szCs w:val="24"/>
              <w:highlight w:val="none"/>
            </w:rPr>
            <w:t>实施保证</w:t>
          </w:r>
          <w:r>
            <w:tab/>
          </w:r>
          <w:r>
            <w:fldChar w:fldCharType="begin"/>
          </w:r>
          <w:r>
            <w:instrText xml:space="preserve"> PAGEREF _Toc26769 \h </w:instrText>
          </w:r>
          <w:r>
            <w:fldChar w:fldCharType="separate"/>
          </w:r>
          <w:r>
            <w:t>8</w:t>
          </w:r>
          <w:r>
            <w:fldChar w:fldCharType="end"/>
          </w:r>
          <w:r>
            <w:rPr>
              <w:rFonts w:hint="eastAsia" w:asciiTheme="minorEastAsia" w:hAnsiTheme="minorEastAsia"/>
              <w:color w:val="auto"/>
              <w:szCs w:val="44"/>
              <w:highlight w:val="none"/>
            </w:rPr>
            <w:fldChar w:fldCharType="end"/>
          </w:r>
        </w:p>
        <w:p w14:paraId="09E10423">
          <w:pPr>
            <w:pStyle w:val="13"/>
            <w:tabs>
              <w:tab w:val="right" w:leader="dot" w:pos="8306"/>
            </w:tabs>
          </w:pPr>
          <w:r>
            <w:rPr>
              <w:rFonts w:hint="eastAsia" w:asciiTheme="minorEastAsia" w:hAnsiTheme="minorEastAsia"/>
              <w:color w:val="auto"/>
              <w:szCs w:val="44"/>
              <w:highlight w:val="none"/>
            </w:rPr>
            <w:fldChar w:fldCharType="begin"/>
          </w:r>
          <w:r>
            <w:rPr>
              <w:rFonts w:hint="eastAsia" w:asciiTheme="minorEastAsia" w:hAnsiTheme="minorEastAsia"/>
              <w:szCs w:val="44"/>
              <w:highlight w:val="none"/>
            </w:rPr>
            <w:instrText xml:space="preserve"> HYPERLINK \l _Toc27260 </w:instrText>
          </w:r>
          <w:r>
            <w:rPr>
              <w:rFonts w:hint="eastAsia" w:asciiTheme="minorEastAsia" w:hAnsiTheme="minorEastAsia"/>
              <w:szCs w:val="44"/>
              <w:highlight w:val="none"/>
            </w:rPr>
            <w:fldChar w:fldCharType="separate"/>
          </w:r>
          <w:r>
            <w:rPr>
              <w:rFonts w:hint="eastAsia" w:eastAsia="宋体" w:cs="Times New Roman"/>
              <w:szCs w:val="24"/>
            </w:rPr>
            <w:t xml:space="preserve">3.5 </w:t>
          </w:r>
          <w:r>
            <w:rPr>
              <w:rFonts w:hint="eastAsia" w:eastAsia="宋体" w:cs="Times New Roman"/>
              <w:szCs w:val="24"/>
              <w:highlight w:val="none"/>
            </w:rPr>
            <w:t>项目功能需求与设计要求</w:t>
          </w:r>
          <w:r>
            <w:tab/>
          </w:r>
          <w:r>
            <w:fldChar w:fldCharType="begin"/>
          </w:r>
          <w:r>
            <w:instrText xml:space="preserve"> PAGEREF _Toc27260 \h </w:instrText>
          </w:r>
          <w:r>
            <w:fldChar w:fldCharType="separate"/>
          </w:r>
          <w:r>
            <w:t>11</w:t>
          </w:r>
          <w:r>
            <w:fldChar w:fldCharType="end"/>
          </w:r>
          <w:r>
            <w:rPr>
              <w:rFonts w:hint="eastAsia" w:asciiTheme="minorEastAsia" w:hAnsiTheme="minorEastAsia"/>
              <w:color w:val="auto"/>
              <w:szCs w:val="44"/>
              <w:highlight w:val="none"/>
            </w:rPr>
            <w:fldChar w:fldCharType="end"/>
          </w:r>
        </w:p>
        <w:p w14:paraId="685CFE52">
          <w:pPr>
            <w:pStyle w:val="13"/>
            <w:tabs>
              <w:tab w:val="right" w:leader="dot" w:pos="8306"/>
            </w:tabs>
          </w:pPr>
          <w:r>
            <w:rPr>
              <w:rFonts w:hint="eastAsia" w:asciiTheme="minorEastAsia" w:hAnsiTheme="minorEastAsia"/>
              <w:color w:val="auto"/>
              <w:szCs w:val="44"/>
              <w:highlight w:val="none"/>
            </w:rPr>
            <w:fldChar w:fldCharType="begin"/>
          </w:r>
          <w:r>
            <w:rPr>
              <w:rFonts w:hint="eastAsia" w:asciiTheme="minorEastAsia" w:hAnsiTheme="minorEastAsia"/>
              <w:szCs w:val="44"/>
              <w:highlight w:val="none"/>
            </w:rPr>
            <w:instrText xml:space="preserve"> HYPERLINK \l _Toc32328 </w:instrText>
          </w:r>
          <w:r>
            <w:rPr>
              <w:rFonts w:hint="eastAsia" w:asciiTheme="minorEastAsia" w:hAnsiTheme="minorEastAsia"/>
              <w:szCs w:val="44"/>
              <w:highlight w:val="none"/>
            </w:rPr>
            <w:fldChar w:fldCharType="separate"/>
          </w:r>
          <w:r>
            <w:rPr>
              <w:rFonts w:hint="eastAsia" w:eastAsia="宋体" w:cs="Times New Roman"/>
              <w:szCs w:val="24"/>
            </w:rPr>
            <w:t xml:space="preserve">3.6 </w:t>
          </w:r>
          <w:r>
            <w:rPr>
              <w:rFonts w:hint="eastAsia" w:eastAsia="宋体" w:cs="Times New Roman"/>
              <w:szCs w:val="24"/>
              <w:highlight w:val="none"/>
            </w:rPr>
            <w:t>技术要求</w:t>
          </w:r>
          <w:r>
            <w:tab/>
          </w:r>
          <w:r>
            <w:fldChar w:fldCharType="begin"/>
          </w:r>
          <w:r>
            <w:instrText xml:space="preserve"> PAGEREF _Toc32328 \h </w:instrText>
          </w:r>
          <w:r>
            <w:fldChar w:fldCharType="separate"/>
          </w:r>
          <w:r>
            <w:t>15</w:t>
          </w:r>
          <w:r>
            <w:fldChar w:fldCharType="end"/>
          </w:r>
          <w:r>
            <w:rPr>
              <w:rFonts w:hint="eastAsia" w:asciiTheme="minorEastAsia" w:hAnsiTheme="minorEastAsia"/>
              <w:color w:val="auto"/>
              <w:szCs w:val="44"/>
              <w:highlight w:val="none"/>
            </w:rPr>
            <w:fldChar w:fldCharType="end"/>
          </w:r>
        </w:p>
        <w:p w14:paraId="2670C383">
          <w:pPr>
            <w:pStyle w:val="13"/>
            <w:tabs>
              <w:tab w:val="right" w:leader="dot" w:pos="8306"/>
            </w:tabs>
          </w:pPr>
          <w:r>
            <w:rPr>
              <w:rFonts w:hint="eastAsia" w:asciiTheme="minorEastAsia" w:hAnsiTheme="minorEastAsia"/>
              <w:color w:val="auto"/>
              <w:szCs w:val="44"/>
              <w:highlight w:val="none"/>
            </w:rPr>
            <w:fldChar w:fldCharType="begin"/>
          </w:r>
          <w:r>
            <w:rPr>
              <w:rFonts w:hint="eastAsia" w:asciiTheme="minorEastAsia" w:hAnsiTheme="minorEastAsia"/>
              <w:szCs w:val="44"/>
              <w:highlight w:val="none"/>
            </w:rPr>
            <w:instrText xml:space="preserve"> HYPERLINK \l _Toc13162 </w:instrText>
          </w:r>
          <w:r>
            <w:rPr>
              <w:rFonts w:hint="eastAsia" w:asciiTheme="minorEastAsia" w:hAnsiTheme="minorEastAsia"/>
              <w:szCs w:val="44"/>
              <w:highlight w:val="none"/>
            </w:rPr>
            <w:fldChar w:fldCharType="separate"/>
          </w:r>
          <w:r>
            <w:rPr>
              <w:rFonts w:hint="eastAsia" w:asciiTheme="minorEastAsia" w:hAnsiTheme="minorEastAsia" w:cstheme="minorEastAsia"/>
              <w:bCs/>
              <w:szCs w:val="24"/>
              <w:highlight w:val="none"/>
            </w:rPr>
            <w:t>3.7 自主可控要求</w:t>
          </w:r>
          <w:r>
            <w:tab/>
          </w:r>
          <w:r>
            <w:fldChar w:fldCharType="begin"/>
          </w:r>
          <w:r>
            <w:instrText xml:space="preserve"> PAGEREF _Toc13162 \h </w:instrText>
          </w:r>
          <w:r>
            <w:fldChar w:fldCharType="separate"/>
          </w:r>
          <w:r>
            <w:t>17</w:t>
          </w:r>
          <w:r>
            <w:fldChar w:fldCharType="end"/>
          </w:r>
          <w:r>
            <w:rPr>
              <w:rFonts w:hint="eastAsia" w:asciiTheme="minorEastAsia" w:hAnsiTheme="minorEastAsia"/>
              <w:color w:val="auto"/>
              <w:szCs w:val="44"/>
              <w:highlight w:val="none"/>
            </w:rPr>
            <w:fldChar w:fldCharType="end"/>
          </w:r>
        </w:p>
        <w:p w14:paraId="75286DFB">
          <w:pPr>
            <w:pStyle w:val="13"/>
            <w:tabs>
              <w:tab w:val="right" w:leader="dot" w:pos="8306"/>
            </w:tabs>
          </w:pPr>
          <w:r>
            <w:rPr>
              <w:rFonts w:hint="eastAsia" w:asciiTheme="minorEastAsia" w:hAnsiTheme="minorEastAsia"/>
              <w:color w:val="auto"/>
              <w:szCs w:val="44"/>
              <w:highlight w:val="none"/>
            </w:rPr>
            <w:fldChar w:fldCharType="begin"/>
          </w:r>
          <w:r>
            <w:rPr>
              <w:rFonts w:hint="eastAsia" w:asciiTheme="minorEastAsia" w:hAnsiTheme="minorEastAsia"/>
              <w:szCs w:val="44"/>
              <w:highlight w:val="none"/>
            </w:rPr>
            <w:instrText xml:space="preserve"> HYPERLINK \l _Toc19166 </w:instrText>
          </w:r>
          <w:r>
            <w:rPr>
              <w:rFonts w:hint="eastAsia" w:asciiTheme="minorEastAsia" w:hAnsiTheme="minorEastAsia"/>
              <w:szCs w:val="44"/>
              <w:highlight w:val="none"/>
            </w:rPr>
            <w:fldChar w:fldCharType="separate"/>
          </w:r>
          <w:r>
            <w:rPr>
              <w:rFonts w:hint="eastAsia" w:asciiTheme="minorEastAsia" w:hAnsiTheme="minorEastAsia" w:cstheme="minorEastAsia"/>
              <w:bCs/>
              <w:szCs w:val="24"/>
              <w:highlight w:val="none"/>
            </w:rPr>
            <w:t>3.8技术标准与规范引用</w:t>
          </w:r>
          <w:r>
            <w:tab/>
          </w:r>
          <w:r>
            <w:fldChar w:fldCharType="begin"/>
          </w:r>
          <w:r>
            <w:instrText xml:space="preserve"> PAGEREF _Toc19166 \h </w:instrText>
          </w:r>
          <w:r>
            <w:fldChar w:fldCharType="separate"/>
          </w:r>
          <w:r>
            <w:t>18</w:t>
          </w:r>
          <w:r>
            <w:fldChar w:fldCharType="end"/>
          </w:r>
          <w:r>
            <w:rPr>
              <w:rFonts w:hint="eastAsia" w:asciiTheme="minorEastAsia" w:hAnsiTheme="minorEastAsia"/>
              <w:color w:val="auto"/>
              <w:szCs w:val="44"/>
              <w:highlight w:val="none"/>
            </w:rPr>
            <w:fldChar w:fldCharType="end"/>
          </w:r>
        </w:p>
        <w:p w14:paraId="0B79EE93">
          <w:pPr>
            <w:pStyle w:val="13"/>
            <w:tabs>
              <w:tab w:val="right" w:leader="dot" w:pos="8306"/>
            </w:tabs>
          </w:pPr>
          <w:r>
            <w:rPr>
              <w:rFonts w:hint="eastAsia" w:asciiTheme="minorEastAsia" w:hAnsiTheme="minorEastAsia"/>
              <w:color w:val="auto"/>
              <w:szCs w:val="44"/>
              <w:highlight w:val="none"/>
            </w:rPr>
            <w:fldChar w:fldCharType="begin"/>
          </w:r>
          <w:r>
            <w:rPr>
              <w:rFonts w:hint="eastAsia" w:asciiTheme="minorEastAsia" w:hAnsiTheme="minorEastAsia"/>
              <w:szCs w:val="44"/>
              <w:highlight w:val="none"/>
            </w:rPr>
            <w:instrText xml:space="preserve"> HYPERLINK \l _Toc1702 </w:instrText>
          </w:r>
          <w:r>
            <w:rPr>
              <w:rFonts w:hint="eastAsia" w:asciiTheme="minorEastAsia" w:hAnsiTheme="minorEastAsia"/>
              <w:szCs w:val="44"/>
              <w:highlight w:val="none"/>
            </w:rPr>
            <w:fldChar w:fldCharType="separate"/>
          </w:r>
          <w:r>
            <w:rPr>
              <w:rFonts w:hint="eastAsia" w:ascii="Times New Roman" w:hAnsi="Times New Roman" w:eastAsia="宋体" w:cs="宋体"/>
              <w:bCs/>
              <w:kern w:val="0"/>
              <w:szCs w:val="32"/>
              <w:highlight w:val="none"/>
            </w:rPr>
            <w:t>3.9安全技术方案</w:t>
          </w:r>
          <w:r>
            <w:tab/>
          </w:r>
          <w:r>
            <w:fldChar w:fldCharType="begin"/>
          </w:r>
          <w:r>
            <w:instrText xml:space="preserve"> PAGEREF _Toc1702 \h </w:instrText>
          </w:r>
          <w:r>
            <w:fldChar w:fldCharType="separate"/>
          </w:r>
          <w:r>
            <w:t>19</w:t>
          </w:r>
          <w:r>
            <w:fldChar w:fldCharType="end"/>
          </w:r>
          <w:r>
            <w:rPr>
              <w:rFonts w:hint="eastAsia" w:asciiTheme="minorEastAsia" w:hAnsiTheme="minorEastAsia"/>
              <w:color w:val="auto"/>
              <w:szCs w:val="44"/>
              <w:highlight w:val="none"/>
            </w:rPr>
            <w:fldChar w:fldCharType="end"/>
          </w:r>
        </w:p>
        <w:p w14:paraId="469CD129">
          <w:pPr>
            <w:pStyle w:val="13"/>
            <w:tabs>
              <w:tab w:val="right" w:leader="dot" w:pos="8306"/>
            </w:tabs>
          </w:pPr>
          <w:r>
            <w:rPr>
              <w:rFonts w:hint="eastAsia" w:asciiTheme="minorEastAsia" w:hAnsiTheme="minorEastAsia"/>
              <w:color w:val="auto"/>
              <w:szCs w:val="44"/>
              <w:highlight w:val="none"/>
            </w:rPr>
            <w:fldChar w:fldCharType="begin"/>
          </w:r>
          <w:r>
            <w:rPr>
              <w:rFonts w:hint="eastAsia" w:asciiTheme="minorEastAsia" w:hAnsiTheme="minorEastAsia"/>
              <w:szCs w:val="44"/>
              <w:highlight w:val="none"/>
            </w:rPr>
            <w:instrText xml:space="preserve"> HYPERLINK \l _Toc6358 </w:instrText>
          </w:r>
          <w:r>
            <w:rPr>
              <w:rFonts w:hint="eastAsia" w:asciiTheme="minorEastAsia" w:hAnsiTheme="minorEastAsia"/>
              <w:szCs w:val="44"/>
              <w:highlight w:val="none"/>
            </w:rPr>
            <w:fldChar w:fldCharType="separate"/>
          </w:r>
          <w:r>
            <w:rPr>
              <w:rFonts w:hint="eastAsia" w:eastAsia="宋体" w:cs="Times New Roman"/>
              <w:szCs w:val="24"/>
              <w:highlight w:val="none"/>
            </w:rPr>
            <w:t>3.10性能要求</w:t>
          </w:r>
          <w:r>
            <w:tab/>
          </w:r>
          <w:r>
            <w:fldChar w:fldCharType="begin"/>
          </w:r>
          <w:r>
            <w:instrText xml:space="preserve"> PAGEREF _Toc6358 \h </w:instrText>
          </w:r>
          <w:r>
            <w:fldChar w:fldCharType="separate"/>
          </w:r>
          <w:r>
            <w:t>27</w:t>
          </w:r>
          <w:r>
            <w:fldChar w:fldCharType="end"/>
          </w:r>
          <w:r>
            <w:rPr>
              <w:rFonts w:hint="eastAsia" w:asciiTheme="minorEastAsia" w:hAnsiTheme="minorEastAsia"/>
              <w:color w:val="auto"/>
              <w:szCs w:val="44"/>
              <w:highlight w:val="none"/>
            </w:rPr>
            <w:fldChar w:fldCharType="end"/>
          </w:r>
        </w:p>
        <w:p w14:paraId="7CD5E8A1">
          <w:pPr>
            <w:pStyle w:val="13"/>
            <w:tabs>
              <w:tab w:val="right" w:leader="dot" w:pos="8306"/>
            </w:tabs>
          </w:pPr>
          <w:r>
            <w:rPr>
              <w:rFonts w:hint="eastAsia" w:asciiTheme="minorEastAsia" w:hAnsiTheme="minorEastAsia"/>
              <w:color w:val="auto"/>
              <w:szCs w:val="44"/>
              <w:highlight w:val="none"/>
            </w:rPr>
            <w:fldChar w:fldCharType="begin"/>
          </w:r>
          <w:r>
            <w:rPr>
              <w:rFonts w:hint="eastAsia" w:asciiTheme="minorEastAsia" w:hAnsiTheme="minorEastAsia"/>
              <w:szCs w:val="44"/>
              <w:highlight w:val="none"/>
            </w:rPr>
            <w:instrText xml:space="preserve"> HYPERLINK \l _Toc28122 </w:instrText>
          </w:r>
          <w:r>
            <w:rPr>
              <w:rFonts w:hint="eastAsia" w:asciiTheme="minorEastAsia" w:hAnsiTheme="minorEastAsia"/>
              <w:szCs w:val="44"/>
              <w:highlight w:val="none"/>
            </w:rPr>
            <w:fldChar w:fldCharType="separate"/>
          </w:r>
          <w:r>
            <w:rPr>
              <w:rFonts w:hint="eastAsia" w:eastAsia="宋体" w:cs="Times New Roman"/>
              <w:szCs w:val="24"/>
              <w:highlight w:val="none"/>
            </w:rPr>
            <w:t>3.11实施工作要求</w:t>
          </w:r>
          <w:r>
            <w:tab/>
          </w:r>
          <w:r>
            <w:fldChar w:fldCharType="begin"/>
          </w:r>
          <w:r>
            <w:instrText xml:space="preserve"> PAGEREF _Toc28122 \h </w:instrText>
          </w:r>
          <w:r>
            <w:fldChar w:fldCharType="separate"/>
          </w:r>
          <w:r>
            <w:t>27</w:t>
          </w:r>
          <w:r>
            <w:fldChar w:fldCharType="end"/>
          </w:r>
          <w:r>
            <w:rPr>
              <w:rFonts w:hint="eastAsia" w:asciiTheme="minorEastAsia" w:hAnsiTheme="minorEastAsia"/>
              <w:color w:val="auto"/>
              <w:szCs w:val="44"/>
              <w:highlight w:val="none"/>
            </w:rPr>
            <w:fldChar w:fldCharType="end"/>
          </w:r>
        </w:p>
        <w:p w14:paraId="14345EC2">
          <w:pPr>
            <w:pStyle w:val="13"/>
            <w:tabs>
              <w:tab w:val="right" w:leader="dot" w:pos="8306"/>
            </w:tabs>
          </w:pPr>
          <w:r>
            <w:rPr>
              <w:rFonts w:hint="eastAsia" w:asciiTheme="minorEastAsia" w:hAnsiTheme="minorEastAsia"/>
              <w:color w:val="auto"/>
              <w:szCs w:val="44"/>
              <w:highlight w:val="none"/>
            </w:rPr>
            <w:fldChar w:fldCharType="begin"/>
          </w:r>
          <w:r>
            <w:rPr>
              <w:rFonts w:hint="eastAsia" w:asciiTheme="minorEastAsia" w:hAnsiTheme="minorEastAsia"/>
              <w:szCs w:val="44"/>
              <w:highlight w:val="none"/>
            </w:rPr>
            <w:instrText xml:space="preserve"> HYPERLINK \l _Toc30595 </w:instrText>
          </w:r>
          <w:r>
            <w:rPr>
              <w:rFonts w:hint="eastAsia" w:asciiTheme="minorEastAsia" w:hAnsiTheme="minorEastAsia"/>
              <w:szCs w:val="44"/>
              <w:highlight w:val="none"/>
            </w:rPr>
            <w:fldChar w:fldCharType="separate"/>
          </w:r>
          <w:r>
            <w:rPr>
              <w:rFonts w:hint="eastAsia" w:eastAsia="宋体" w:cs="Times New Roman"/>
              <w:szCs w:val="24"/>
              <w:highlight w:val="none"/>
            </w:rPr>
            <w:t>3.12测试要求</w:t>
          </w:r>
          <w:r>
            <w:tab/>
          </w:r>
          <w:r>
            <w:fldChar w:fldCharType="begin"/>
          </w:r>
          <w:r>
            <w:instrText xml:space="preserve"> PAGEREF _Toc30595 \h </w:instrText>
          </w:r>
          <w:r>
            <w:fldChar w:fldCharType="separate"/>
          </w:r>
          <w:r>
            <w:t>30</w:t>
          </w:r>
          <w:r>
            <w:fldChar w:fldCharType="end"/>
          </w:r>
          <w:r>
            <w:rPr>
              <w:rFonts w:hint="eastAsia" w:asciiTheme="minorEastAsia" w:hAnsiTheme="minorEastAsia"/>
              <w:color w:val="auto"/>
              <w:szCs w:val="44"/>
              <w:highlight w:val="none"/>
            </w:rPr>
            <w:fldChar w:fldCharType="end"/>
          </w:r>
        </w:p>
        <w:p w14:paraId="2CA3D21F">
          <w:pPr>
            <w:pStyle w:val="13"/>
            <w:tabs>
              <w:tab w:val="right" w:leader="dot" w:pos="8306"/>
            </w:tabs>
          </w:pPr>
          <w:r>
            <w:rPr>
              <w:rFonts w:hint="eastAsia" w:asciiTheme="minorEastAsia" w:hAnsiTheme="minorEastAsia"/>
              <w:color w:val="auto"/>
              <w:szCs w:val="44"/>
              <w:highlight w:val="none"/>
            </w:rPr>
            <w:fldChar w:fldCharType="begin"/>
          </w:r>
          <w:r>
            <w:rPr>
              <w:rFonts w:hint="eastAsia" w:asciiTheme="minorEastAsia" w:hAnsiTheme="minorEastAsia"/>
              <w:szCs w:val="44"/>
              <w:highlight w:val="none"/>
            </w:rPr>
            <w:instrText xml:space="preserve"> HYPERLINK \l _Toc32284 </w:instrText>
          </w:r>
          <w:r>
            <w:rPr>
              <w:rFonts w:hint="eastAsia" w:asciiTheme="minorEastAsia" w:hAnsiTheme="minorEastAsia"/>
              <w:szCs w:val="44"/>
              <w:highlight w:val="none"/>
            </w:rPr>
            <w:fldChar w:fldCharType="separate"/>
          </w:r>
          <w:r>
            <w:rPr>
              <w:rFonts w:hint="eastAsia" w:eastAsia="宋体" w:cs="Times New Roman"/>
              <w:szCs w:val="24"/>
              <w:highlight w:val="none"/>
            </w:rPr>
            <w:t>3.13项目转分包要求</w:t>
          </w:r>
          <w:r>
            <w:tab/>
          </w:r>
          <w:r>
            <w:fldChar w:fldCharType="begin"/>
          </w:r>
          <w:r>
            <w:instrText xml:space="preserve"> PAGEREF _Toc32284 \h </w:instrText>
          </w:r>
          <w:r>
            <w:fldChar w:fldCharType="separate"/>
          </w:r>
          <w:r>
            <w:t>30</w:t>
          </w:r>
          <w:r>
            <w:fldChar w:fldCharType="end"/>
          </w:r>
          <w:r>
            <w:rPr>
              <w:rFonts w:hint="eastAsia" w:asciiTheme="minorEastAsia" w:hAnsiTheme="minorEastAsia"/>
              <w:color w:val="auto"/>
              <w:szCs w:val="44"/>
              <w:highlight w:val="none"/>
            </w:rPr>
            <w:fldChar w:fldCharType="end"/>
          </w:r>
        </w:p>
        <w:p w14:paraId="3A3C5BD4">
          <w:pPr>
            <w:pStyle w:val="12"/>
            <w:tabs>
              <w:tab w:val="right" w:leader="dot" w:pos="8306"/>
            </w:tabs>
          </w:pPr>
          <w:r>
            <w:rPr>
              <w:rFonts w:hint="eastAsia" w:asciiTheme="minorEastAsia" w:hAnsiTheme="minorEastAsia"/>
              <w:color w:val="auto"/>
              <w:szCs w:val="44"/>
              <w:highlight w:val="none"/>
            </w:rPr>
            <w:fldChar w:fldCharType="begin"/>
          </w:r>
          <w:r>
            <w:rPr>
              <w:rFonts w:hint="eastAsia" w:asciiTheme="minorEastAsia" w:hAnsiTheme="minorEastAsia"/>
              <w:szCs w:val="44"/>
              <w:highlight w:val="none"/>
            </w:rPr>
            <w:instrText xml:space="preserve"> HYPERLINK \l _Toc1668 </w:instrText>
          </w:r>
          <w:r>
            <w:rPr>
              <w:rFonts w:hint="eastAsia" w:asciiTheme="minorEastAsia" w:hAnsiTheme="minorEastAsia"/>
              <w:szCs w:val="44"/>
              <w:highlight w:val="none"/>
            </w:rPr>
            <w:fldChar w:fldCharType="separate"/>
          </w:r>
          <w:r>
            <w:rPr>
              <w:rFonts w:hint="eastAsia" w:asciiTheme="minorEastAsia" w:hAnsiTheme="minorEastAsia" w:eastAsiaTheme="minorEastAsia" w:cstheme="minorEastAsia"/>
              <w:i w:val="0"/>
            </w:rPr>
            <w:t xml:space="preserve">四、 </w:t>
          </w:r>
          <w:r>
            <w:rPr>
              <w:rFonts w:hint="eastAsia" w:asciiTheme="minorEastAsia" w:hAnsiTheme="minorEastAsia" w:eastAsiaTheme="minorEastAsia" w:cstheme="minorEastAsia"/>
              <w:highlight w:val="none"/>
            </w:rPr>
            <w:t>项目实施</w:t>
          </w:r>
          <w:r>
            <w:rPr>
              <w:rFonts w:hint="eastAsia" w:asciiTheme="minorEastAsia" w:hAnsiTheme="minorEastAsia" w:eastAsiaTheme="minorEastAsia" w:cstheme="minorEastAsia"/>
              <w:highlight w:val="none"/>
            </w:rPr>
            <w:t xml:space="preserve"> </w:t>
          </w:r>
          <w:r>
            <w:rPr>
              <w:rFonts w:hint="eastAsia" w:asciiTheme="minorEastAsia" w:hAnsiTheme="minorEastAsia" w:eastAsiaTheme="minorEastAsia" w:cstheme="minorEastAsia"/>
              <w:highlight w:val="none"/>
            </w:rPr>
            <w:t>技术联络组</w:t>
          </w:r>
          <w:r>
            <w:tab/>
          </w:r>
          <w:r>
            <w:fldChar w:fldCharType="begin"/>
          </w:r>
          <w:r>
            <w:instrText xml:space="preserve"> PAGEREF _Toc1668 \h </w:instrText>
          </w:r>
          <w:r>
            <w:fldChar w:fldCharType="separate"/>
          </w:r>
          <w:r>
            <w:t>31</w:t>
          </w:r>
          <w:r>
            <w:fldChar w:fldCharType="end"/>
          </w:r>
          <w:r>
            <w:rPr>
              <w:rFonts w:hint="eastAsia" w:asciiTheme="minorEastAsia" w:hAnsiTheme="minorEastAsia"/>
              <w:color w:val="auto"/>
              <w:szCs w:val="44"/>
              <w:highlight w:val="none"/>
            </w:rPr>
            <w:fldChar w:fldCharType="end"/>
          </w:r>
        </w:p>
        <w:p w14:paraId="6CD30EFA">
          <w:pPr>
            <w:pStyle w:val="13"/>
            <w:tabs>
              <w:tab w:val="right" w:leader="dot" w:pos="8306"/>
            </w:tabs>
          </w:pPr>
          <w:r>
            <w:rPr>
              <w:rFonts w:hint="eastAsia" w:asciiTheme="minorEastAsia" w:hAnsiTheme="minorEastAsia"/>
              <w:color w:val="auto"/>
              <w:szCs w:val="44"/>
              <w:highlight w:val="none"/>
            </w:rPr>
            <w:fldChar w:fldCharType="begin"/>
          </w:r>
          <w:r>
            <w:rPr>
              <w:rFonts w:hint="eastAsia" w:asciiTheme="minorEastAsia" w:hAnsiTheme="minorEastAsia"/>
              <w:szCs w:val="44"/>
              <w:highlight w:val="none"/>
            </w:rPr>
            <w:instrText xml:space="preserve"> HYPERLINK \l _Toc17385 </w:instrText>
          </w:r>
          <w:r>
            <w:rPr>
              <w:rFonts w:hint="eastAsia" w:asciiTheme="minorEastAsia" w:hAnsiTheme="minorEastAsia"/>
              <w:szCs w:val="44"/>
              <w:highlight w:val="none"/>
            </w:rPr>
            <w:fldChar w:fldCharType="separate"/>
          </w:r>
          <w:r>
            <w:rPr>
              <w:rFonts w:hint="eastAsia" w:asciiTheme="minorEastAsia" w:hAnsiTheme="minorEastAsia" w:eastAsiaTheme="minorEastAsia" w:cstheme="minorEastAsia"/>
              <w:highlight w:val="none"/>
            </w:rPr>
            <w:t>招标人验收组</w:t>
          </w:r>
          <w:r>
            <w:tab/>
          </w:r>
          <w:r>
            <w:fldChar w:fldCharType="begin"/>
          </w:r>
          <w:r>
            <w:instrText xml:space="preserve"> PAGEREF _Toc17385 \h </w:instrText>
          </w:r>
          <w:r>
            <w:fldChar w:fldCharType="separate"/>
          </w:r>
          <w:r>
            <w:t>31</w:t>
          </w:r>
          <w:r>
            <w:fldChar w:fldCharType="end"/>
          </w:r>
          <w:r>
            <w:rPr>
              <w:rFonts w:hint="eastAsia" w:asciiTheme="minorEastAsia" w:hAnsiTheme="minorEastAsia"/>
              <w:color w:val="auto"/>
              <w:szCs w:val="44"/>
              <w:highlight w:val="none"/>
            </w:rPr>
            <w:fldChar w:fldCharType="end"/>
          </w:r>
        </w:p>
        <w:p w14:paraId="13E26339">
          <w:pPr>
            <w:pStyle w:val="13"/>
            <w:tabs>
              <w:tab w:val="right" w:leader="dot" w:pos="8306"/>
            </w:tabs>
          </w:pPr>
          <w:r>
            <w:rPr>
              <w:rFonts w:hint="eastAsia" w:asciiTheme="minorEastAsia" w:hAnsiTheme="minorEastAsia"/>
              <w:color w:val="auto"/>
              <w:szCs w:val="44"/>
              <w:highlight w:val="none"/>
            </w:rPr>
            <w:fldChar w:fldCharType="begin"/>
          </w:r>
          <w:r>
            <w:rPr>
              <w:rFonts w:hint="eastAsia" w:asciiTheme="minorEastAsia" w:hAnsiTheme="minorEastAsia"/>
              <w:szCs w:val="44"/>
              <w:highlight w:val="none"/>
            </w:rPr>
            <w:instrText xml:space="preserve"> HYPERLINK \l _Toc18003 </w:instrText>
          </w:r>
          <w:r>
            <w:rPr>
              <w:rFonts w:hint="eastAsia" w:asciiTheme="minorEastAsia" w:hAnsiTheme="minorEastAsia"/>
              <w:szCs w:val="44"/>
              <w:highlight w:val="none"/>
            </w:rPr>
            <w:fldChar w:fldCharType="separate"/>
          </w:r>
          <w:r>
            <w:rPr>
              <w:rFonts w:hint="eastAsia" w:asciiTheme="minorEastAsia" w:hAnsiTheme="minorEastAsia" w:cstheme="minorEastAsia"/>
              <w:bCs/>
              <w:szCs w:val="24"/>
              <w:highlight w:val="none"/>
            </w:rPr>
            <w:t>4.1时间进度安排</w:t>
          </w:r>
          <w:r>
            <w:tab/>
          </w:r>
          <w:r>
            <w:fldChar w:fldCharType="begin"/>
          </w:r>
          <w:r>
            <w:instrText xml:space="preserve"> PAGEREF _Toc18003 \h </w:instrText>
          </w:r>
          <w:r>
            <w:fldChar w:fldCharType="separate"/>
          </w:r>
          <w:r>
            <w:t>31</w:t>
          </w:r>
          <w:r>
            <w:fldChar w:fldCharType="end"/>
          </w:r>
          <w:r>
            <w:rPr>
              <w:rFonts w:hint="eastAsia" w:asciiTheme="minorEastAsia" w:hAnsiTheme="minorEastAsia"/>
              <w:color w:val="auto"/>
              <w:szCs w:val="44"/>
              <w:highlight w:val="none"/>
            </w:rPr>
            <w:fldChar w:fldCharType="end"/>
          </w:r>
        </w:p>
        <w:p w14:paraId="7FA9CFF7">
          <w:pPr>
            <w:pStyle w:val="13"/>
            <w:tabs>
              <w:tab w:val="right" w:leader="dot" w:pos="8306"/>
            </w:tabs>
          </w:pPr>
          <w:r>
            <w:rPr>
              <w:rFonts w:hint="eastAsia" w:asciiTheme="minorEastAsia" w:hAnsiTheme="minorEastAsia"/>
              <w:color w:val="auto"/>
              <w:szCs w:val="44"/>
              <w:highlight w:val="none"/>
            </w:rPr>
            <w:fldChar w:fldCharType="begin"/>
          </w:r>
          <w:r>
            <w:rPr>
              <w:rFonts w:hint="eastAsia" w:asciiTheme="minorEastAsia" w:hAnsiTheme="minorEastAsia"/>
              <w:szCs w:val="44"/>
              <w:highlight w:val="none"/>
            </w:rPr>
            <w:instrText xml:space="preserve"> HYPERLINK \l _Toc5112 </w:instrText>
          </w:r>
          <w:r>
            <w:rPr>
              <w:rFonts w:hint="eastAsia" w:asciiTheme="minorEastAsia" w:hAnsiTheme="minorEastAsia"/>
              <w:szCs w:val="44"/>
              <w:highlight w:val="none"/>
            </w:rPr>
            <w:fldChar w:fldCharType="separate"/>
          </w:r>
          <w:r>
            <w:rPr>
              <w:rFonts w:hint="eastAsia" w:asciiTheme="minorEastAsia" w:hAnsiTheme="minorEastAsia" w:cstheme="minorEastAsia"/>
              <w:bCs/>
              <w:szCs w:val="24"/>
              <w:highlight w:val="none"/>
            </w:rPr>
            <w:t>4.2技术联络</w:t>
          </w:r>
          <w:r>
            <w:tab/>
          </w:r>
          <w:r>
            <w:fldChar w:fldCharType="begin"/>
          </w:r>
          <w:r>
            <w:instrText xml:space="preserve"> PAGEREF _Toc5112 \h </w:instrText>
          </w:r>
          <w:r>
            <w:fldChar w:fldCharType="separate"/>
          </w:r>
          <w:r>
            <w:t>31</w:t>
          </w:r>
          <w:r>
            <w:fldChar w:fldCharType="end"/>
          </w:r>
          <w:r>
            <w:rPr>
              <w:rFonts w:hint="eastAsia" w:asciiTheme="minorEastAsia" w:hAnsiTheme="minorEastAsia"/>
              <w:color w:val="auto"/>
              <w:szCs w:val="44"/>
              <w:highlight w:val="none"/>
            </w:rPr>
            <w:fldChar w:fldCharType="end"/>
          </w:r>
        </w:p>
        <w:p w14:paraId="7A2581E9">
          <w:pPr>
            <w:pStyle w:val="13"/>
            <w:tabs>
              <w:tab w:val="right" w:leader="dot" w:pos="8306"/>
            </w:tabs>
          </w:pPr>
          <w:r>
            <w:rPr>
              <w:rFonts w:hint="eastAsia" w:asciiTheme="minorEastAsia" w:hAnsiTheme="minorEastAsia"/>
              <w:color w:val="auto"/>
              <w:szCs w:val="44"/>
              <w:highlight w:val="none"/>
            </w:rPr>
            <w:fldChar w:fldCharType="begin"/>
          </w:r>
          <w:r>
            <w:rPr>
              <w:rFonts w:hint="eastAsia" w:asciiTheme="minorEastAsia" w:hAnsiTheme="minorEastAsia"/>
              <w:szCs w:val="44"/>
              <w:highlight w:val="none"/>
            </w:rPr>
            <w:instrText xml:space="preserve"> HYPERLINK \l _Toc24140 </w:instrText>
          </w:r>
          <w:r>
            <w:rPr>
              <w:rFonts w:hint="eastAsia" w:asciiTheme="minorEastAsia" w:hAnsiTheme="minorEastAsia"/>
              <w:szCs w:val="44"/>
              <w:highlight w:val="none"/>
            </w:rPr>
            <w:fldChar w:fldCharType="separate"/>
          </w:r>
          <w:r>
            <w:rPr>
              <w:rFonts w:hint="eastAsia" w:asciiTheme="minorEastAsia" w:hAnsiTheme="minorEastAsia" w:cstheme="minorEastAsia"/>
              <w:bCs/>
              <w:szCs w:val="24"/>
              <w:highlight w:val="none"/>
            </w:rPr>
            <w:t>4.3验收</w:t>
          </w:r>
          <w:r>
            <w:tab/>
          </w:r>
          <w:r>
            <w:fldChar w:fldCharType="begin"/>
          </w:r>
          <w:r>
            <w:instrText xml:space="preserve"> PAGEREF _Toc24140 \h </w:instrText>
          </w:r>
          <w:r>
            <w:fldChar w:fldCharType="separate"/>
          </w:r>
          <w:r>
            <w:t>31</w:t>
          </w:r>
          <w:r>
            <w:fldChar w:fldCharType="end"/>
          </w:r>
          <w:r>
            <w:rPr>
              <w:rFonts w:hint="eastAsia" w:asciiTheme="minorEastAsia" w:hAnsiTheme="minorEastAsia"/>
              <w:color w:val="auto"/>
              <w:szCs w:val="44"/>
              <w:highlight w:val="none"/>
            </w:rPr>
            <w:fldChar w:fldCharType="end"/>
          </w:r>
        </w:p>
        <w:p w14:paraId="1B952D05">
          <w:pPr>
            <w:pStyle w:val="13"/>
            <w:tabs>
              <w:tab w:val="right" w:leader="dot" w:pos="8306"/>
            </w:tabs>
          </w:pPr>
          <w:r>
            <w:rPr>
              <w:rFonts w:hint="eastAsia" w:asciiTheme="minorEastAsia" w:hAnsiTheme="minorEastAsia"/>
              <w:color w:val="auto"/>
              <w:szCs w:val="44"/>
              <w:highlight w:val="none"/>
            </w:rPr>
            <w:fldChar w:fldCharType="begin"/>
          </w:r>
          <w:r>
            <w:rPr>
              <w:rFonts w:hint="eastAsia" w:asciiTheme="minorEastAsia" w:hAnsiTheme="minorEastAsia"/>
              <w:szCs w:val="44"/>
              <w:highlight w:val="none"/>
            </w:rPr>
            <w:instrText xml:space="preserve"> HYPERLINK \l _Toc4018 </w:instrText>
          </w:r>
          <w:r>
            <w:rPr>
              <w:rFonts w:hint="eastAsia" w:asciiTheme="minorEastAsia" w:hAnsiTheme="minorEastAsia"/>
              <w:szCs w:val="44"/>
              <w:highlight w:val="none"/>
            </w:rPr>
            <w:fldChar w:fldCharType="separate"/>
          </w:r>
          <w:r>
            <w:rPr>
              <w:rFonts w:hint="eastAsia" w:asciiTheme="minorEastAsia" w:hAnsiTheme="minorEastAsia" w:cstheme="minorEastAsia"/>
              <w:bCs/>
              <w:szCs w:val="24"/>
              <w:highlight w:val="none"/>
            </w:rPr>
            <w:t>4.4培训</w:t>
          </w:r>
          <w:r>
            <w:tab/>
          </w:r>
          <w:r>
            <w:fldChar w:fldCharType="begin"/>
          </w:r>
          <w:r>
            <w:instrText xml:space="preserve"> PAGEREF _Toc4018 \h </w:instrText>
          </w:r>
          <w:r>
            <w:fldChar w:fldCharType="separate"/>
          </w:r>
          <w:r>
            <w:t>32</w:t>
          </w:r>
          <w:r>
            <w:fldChar w:fldCharType="end"/>
          </w:r>
          <w:r>
            <w:rPr>
              <w:rFonts w:hint="eastAsia" w:asciiTheme="minorEastAsia" w:hAnsiTheme="minorEastAsia"/>
              <w:color w:val="auto"/>
              <w:szCs w:val="44"/>
              <w:highlight w:val="none"/>
            </w:rPr>
            <w:fldChar w:fldCharType="end"/>
          </w:r>
        </w:p>
        <w:p w14:paraId="2C2D11E6">
          <w:pPr>
            <w:pStyle w:val="13"/>
            <w:tabs>
              <w:tab w:val="right" w:leader="dot" w:pos="8306"/>
            </w:tabs>
          </w:pPr>
          <w:r>
            <w:rPr>
              <w:rFonts w:hint="eastAsia" w:asciiTheme="minorEastAsia" w:hAnsiTheme="minorEastAsia"/>
              <w:color w:val="auto"/>
              <w:szCs w:val="44"/>
              <w:highlight w:val="none"/>
            </w:rPr>
            <w:fldChar w:fldCharType="begin"/>
          </w:r>
          <w:r>
            <w:rPr>
              <w:rFonts w:hint="eastAsia" w:asciiTheme="minorEastAsia" w:hAnsiTheme="minorEastAsia"/>
              <w:szCs w:val="44"/>
              <w:highlight w:val="none"/>
            </w:rPr>
            <w:instrText xml:space="preserve"> HYPERLINK \l _Toc3021 </w:instrText>
          </w:r>
          <w:r>
            <w:rPr>
              <w:rFonts w:hint="eastAsia" w:asciiTheme="minorEastAsia" w:hAnsiTheme="minorEastAsia"/>
              <w:szCs w:val="44"/>
              <w:highlight w:val="none"/>
            </w:rPr>
            <w:fldChar w:fldCharType="separate"/>
          </w:r>
          <w:r>
            <w:rPr>
              <w:rFonts w:hint="eastAsia" w:asciiTheme="minorEastAsia" w:hAnsiTheme="minorEastAsia" w:cstheme="minorEastAsia"/>
              <w:bCs/>
              <w:szCs w:val="24"/>
              <w:highlight w:val="none"/>
            </w:rPr>
            <w:t>4.5项目交付项</w:t>
          </w:r>
          <w:r>
            <w:tab/>
          </w:r>
          <w:r>
            <w:fldChar w:fldCharType="begin"/>
          </w:r>
          <w:r>
            <w:instrText xml:space="preserve"> PAGEREF _Toc3021 \h </w:instrText>
          </w:r>
          <w:r>
            <w:fldChar w:fldCharType="separate"/>
          </w:r>
          <w:r>
            <w:t>33</w:t>
          </w:r>
          <w:r>
            <w:fldChar w:fldCharType="end"/>
          </w:r>
          <w:r>
            <w:rPr>
              <w:rFonts w:hint="eastAsia" w:asciiTheme="minorEastAsia" w:hAnsiTheme="minorEastAsia"/>
              <w:color w:val="auto"/>
              <w:szCs w:val="44"/>
              <w:highlight w:val="none"/>
            </w:rPr>
            <w:fldChar w:fldCharType="end"/>
          </w:r>
        </w:p>
        <w:p w14:paraId="64CECEA3">
          <w:pPr>
            <w:pStyle w:val="13"/>
            <w:tabs>
              <w:tab w:val="right" w:leader="dot" w:pos="8306"/>
            </w:tabs>
          </w:pPr>
          <w:r>
            <w:rPr>
              <w:rFonts w:hint="eastAsia" w:asciiTheme="minorEastAsia" w:hAnsiTheme="minorEastAsia"/>
              <w:color w:val="auto"/>
              <w:szCs w:val="44"/>
              <w:highlight w:val="none"/>
            </w:rPr>
            <w:fldChar w:fldCharType="begin"/>
          </w:r>
          <w:r>
            <w:rPr>
              <w:rFonts w:hint="eastAsia" w:asciiTheme="minorEastAsia" w:hAnsiTheme="minorEastAsia"/>
              <w:szCs w:val="44"/>
              <w:highlight w:val="none"/>
            </w:rPr>
            <w:instrText xml:space="preserve"> HYPERLINK \l _Toc25162 </w:instrText>
          </w:r>
          <w:r>
            <w:rPr>
              <w:rFonts w:hint="eastAsia" w:asciiTheme="minorEastAsia" w:hAnsiTheme="minorEastAsia"/>
              <w:szCs w:val="44"/>
              <w:highlight w:val="none"/>
            </w:rPr>
            <w:fldChar w:fldCharType="separate"/>
          </w:r>
          <w:r>
            <w:rPr>
              <w:rFonts w:hint="eastAsia" w:asciiTheme="minorEastAsia" w:hAnsiTheme="minorEastAsia" w:cstheme="minorEastAsia"/>
              <w:bCs/>
              <w:szCs w:val="24"/>
              <w:highlight w:val="none"/>
            </w:rPr>
            <w:t>4.6知识产权要求</w:t>
          </w:r>
          <w:r>
            <w:tab/>
          </w:r>
          <w:r>
            <w:fldChar w:fldCharType="begin"/>
          </w:r>
          <w:r>
            <w:instrText xml:space="preserve"> PAGEREF _Toc25162 \h </w:instrText>
          </w:r>
          <w:r>
            <w:fldChar w:fldCharType="separate"/>
          </w:r>
          <w:r>
            <w:t>34</w:t>
          </w:r>
          <w:r>
            <w:fldChar w:fldCharType="end"/>
          </w:r>
          <w:r>
            <w:rPr>
              <w:rFonts w:hint="eastAsia" w:asciiTheme="minorEastAsia" w:hAnsiTheme="minorEastAsia"/>
              <w:color w:val="auto"/>
              <w:szCs w:val="44"/>
              <w:highlight w:val="none"/>
            </w:rPr>
            <w:fldChar w:fldCharType="end"/>
          </w:r>
        </w:p>
        <w:p w14:paraId="123FAB8F">
          <w:pPr>
            <w:pStyle w:val="12"/>
            <w:tabs>
              <w:tab w:val="right" w:leader="dot" w:pos="8306"/>
            </w:tabs>
          </w:pPr>
          <w:r>
            <w:rPr>
              <w:rFonts w:hint="eastAsia" w:asciiTheme="minorEastAsia" w:hAnsiTheme="minorEastAsia"/>
              <w:color w:val="auto"/>
              <w:szCs w:val="44"/>
              <w:highlight w:val="none"/>
            </w:rPr>
            <w:fldChar w:fldCharType="begin"/>
          </w:r>
          <w:r>
            <w:rPr>
              <w:rFonts w:hint="eastAsia" w:asciiTheme="minorEastAsia" w:hAnsiTheme="minorEastAsia"/>
              <w:szCs w:val="44"/>
              <w:highlight w:val="none"/>
            </w:rPr>
            <w:instrText xml:space="preserve"> HYPERLINK \l _Toc19287 </w:instrText>
          </w:r>
          <w:r>
            <w:rPr>
              <w:rFonts w:hint="eastAsia" w:asciiTheme="minorEastAsia" w:hAnsiTheme="minorEastAsia"/>
              <w:szCs w:val="44"/>
              <w:highlight w:val="none"/>
            </w:rPr>
            <w:fldChar w:fldCharType="separate"/>
          </w:r>
          <w:r>
            <w:rPr>
              <w:rFonts w:hint="eastAsia" w:asciiTheme="minorEastAsia" w:hAnsiTheme="minorEastAsia" w:eastAsiaTheme="minorEastAsia" w:cstheme="minorEastAsia"/>
              <w:i w:val="0"/>
            </w:rPr>
            <w:t xml:space="preserve">五、 </w:t>
          </w:r>
          <w:r>
            <w:rPr>
              <w:rFonts w:hint="eastAsia" w:asciiTheme="minorEastAsia" w:hAnsiTheme="minorEastAsia" w:eastAsiaTheme="minorEastAsia" w:cstheme="minorEastAsia"/>
              <w:highlight w:val="none"/>
            </w:rPr>
            <w:t>服务方案</w:t>
          </w:r>
          <w:r>
            <w:tab/>
          </w:r>
          <w:r>
            <w:fldChar w:fldCharType="begin"/>
          </w:r>
          <w:r>
            <w:instrText xml:space="preserve"> PAGEREF _Toc19287 \h </w:instrText>
          </w:r>
          <w:r>
            <w:fldChar w:fldCharType="separate"/>
          </w:r>
          <w:r>
            <w:t>34</w:t>
          </w:r>
          <w:r>
            <w:fldChar w:fldCharType="end"/>
          </w:r>
          <w:r>
            <w:rPr>
              <w:rFonts w:hint="eastAsia" w:asciiTheme="minorEastAsia" w:hAnsiTheme="minorEastAsia"/>
              <w:color w:val="auto"/>
              <w:szCs w:val="44"/>
              <w:highlight w:val="none"/>
            </w:rPr>
            <w:fldChar w:fldCharType="end"/>
          </w:r>
        </w:p>
        <w:p w14:paraId="7E845428">
          <w:pPr>
            <w:pStyle w:val="12"/>
            <w:tabs>
              <w:tab w:val="right" w:leader="dot" w:pos="8306"/>
            </w:tabs>
          </w:pPr>
          <w:r>
            <w:rPr>
              <w:rFonts w:hint="eastAsia" w:asciiTheme="minorEastAsia" w:hAnsiTheme="minorEastAsia"/>
              <w:color w:val="auto"/>
              <w:szCs w:val="44"/>
              <w:highlight w:val="none"/>
            </w:rPr>
            <w:fldChar w:fldCharType="begin"/>
          </w:r>
          <w:r>
            <w:rPr>
              <w:rFonts w:hint="eastAsia" w:asciiTheme="minorEastAsia" w:hAnsiTheme="minorEastAsia"/>
              <w:szCs w:val="44"/>
              <w:highlight w:val="none"/>
            </w:rPr>
            <w:instrText xml:space="preserve"> HYPERLINK \l _Toc9172 </w:instrText>
          </w:r>
          <w:r>
            <w:rPr>
              <w:rFonts w:hint="eastAsia" w:asciiTheme="minorEastAsia" w:hAnsiTheme="minorEastAsia"/>
              <w:szCs w:val="44"/>
              <w:highlight w:val="none"/>
            </w:rPr>
            <w:fldChar w:fldCharType="separate"/>
          </w:r>
          <w:r>
            <w:rPr>
              <w:rFonts w:hint="eastAsia" w:asciiTheme="minorEastAsia" w:hAnsiTheme="minorEastAsia" w:eastAsiaTheme="minorEastAsia" w:cstheme="minorEastAsia"/>
              <w:i w:val="0"/>
              <w:iCs w:val="0"/>
            </w:rPr>
            <w:t xml:space="preserve">六、 </w:t>
          </w:r>
          <w:r>
            <w:rPr>
              <w:rFonts w:hint="eastAsia" w:asciiTheme="minorEastAsia" w:hAnsiTheme="minorEastAsia" w:eastAsiaTheme="minorEastAsia" w:cstheme="minorEastAsia"/>
              <w:i w:val="0"/>
              <w:iCs w:val="0"/>
              <w:highlight w:val="none"/>
            </w:rPr>
            <w:t>服务团队及服务能力</w:t>
          </w:r>
          <w:r>
            <w:tab/>
          </w:r>
          <w:r>
            <w:fldChar w:fldCharType="begin"/>
          </w:r>
          <w:r>
            <w:instrText xml:space="preserve"> PAGEREF _Toc9172 \h </w:instrText>
          </w:r>
          <w:r>
            <w:fldChar w:fldCharType="separate"/>
          </w:r>
          <w:r>
            <w:t>34</w:t>
          </w:r>
          <w:r>
            <w:fldChar w:fldCharType="end"/>
          </w:r>
          <w:r>
            <w:rPr>
              <w:rFonts w:hint="eastAsia" w:asciiTheme="minorEastAsia" w:hAnsiTheme="minorEastAsia"/>
              <w:color w:val="auto"/>
              <w:szCs w:val="44"/>
              <w:highlight w:val="none"/>
            </w:rPr>
            <w:fldChar w:fldCharType="end"/>
          </w:r>
        </w:p>
        <w:p w14:paraId="31E6FA53">
          <w:pPr>
            <w:pStyle w:val="13"/>
            <w:tabs>
              <w:tab w:val="right" w:leader="dot" w:pos="8306"/>
            </w:tabs>
          </w:pPr>
          <w:r>
            <w:rPr>
              <w:rFonts w:hint="eastAsia" w:asciiTheme="minorEastAsia" w:hAnsiTheme="minorEastAsia"/>
              <w:color w:val="auto"/>
              <w:szCs w:val="44"/>
              <w:highlight w:val="none"/>
            </w:rPr>
            <w:fldChar w:fldCharType="begin"/>
          </w:r>
          <w:r>
            <w:rPr>
              <w:rFonts w:hint="eastAsia" w:asciiTheme="minorEastAsia" w:hAnsiTheme="minorEastAsia"/>
              <w:szCs w:val="44"/>
              <w:highlight w:val="none"/>
            </w:rPr>
            <w:instrText xml:space="preserve"> HYPERLINK \l _Toc5093 </w:instrText>
          </w:r>
          <w:r>
            <w:rPr>
              <w:rFonts w:hint="eastAsia" w:asciiTheme="minorEastAsia" w:hAnsiTheme="minorEastAsia"/>
              <w:szCs w:val="44"/>
              <w:highlight w:val="none"/>
            </w:rPr>
            <w:fldChar w:fldCharType="separate"/>
          </w:r>
          <w:r>
            <w:rPr>
              <w:rFonts w:hint="eastAsia" w:asciiTheme="minorEastAsia" w:hAnsiTheme="minorEastAsia" w:cstheme="minorEastAsia"/>
              <w:i w:val="0"/>
              <w:iCs w:val="0"/>
              <w:szCs w:val="24"/>
              <w:highlight w:val="none"/>
            </w:rPr>
            <w:t>（一）团队规模</w:t>
          </w:r>
          <w:r>
            <w:tab/>
          </w:r>
          <w:r>
            <w:fldChar w:fldCharType="begin"/>
          </w:r>
          <w:r>
            <w:instrText xml:space="preserve"> PAGEREF _Toc5093 \h </w:instrText>
          </w:r>
          <w:r>
            <w:fldChar w:fldCharType="separate"/>
          </w:r>
          <w:r>
            <w:t>34</w:t>
          </w:r>
          <w:r>
            <w:fldChar w:fldCharType="end"/>
          </w:r>
          <w:r>
            <w:rPr>
              <w:rFonts w:hint="eastAsia" w:asciiTheme="minorEastAsia" w:hAnsiTheme="minorEastAsia"/>
              <w:color w:val="auto"/>
              <w:szCs w:val="44"/>
              <w:highlight w:val="none"/>
            </w:rPr>
            <w:fldChar w:fldCharType="end"/>
          </w:r>
        </w:p>
        <w:p w14:paraId="73C914B4">
          <w:pPr>
            <w:pStyle w:val="13"/>
            <w:tabs>
              <w:tab w:val="right" w:leader="dot" w:pos="8306"/>
            </w:tabs>
          </w:pPr>
          <w:r>
            <w:rPr>
              <w:rFonts w:hint="eastAsia" w:asciiTheme="minorEastAsia" w:hAnsiTheme="minorEastAsia"/>
              <w:color w:val="auto"/>
              <w:szCs w:val="44"/>
              <w:highlight w:val="none"/>
            </w:rPr>
            <w:fldChar w:fldCharType="begin"/>
          </w:r>
          <w:r>
            <w:rPr>
              <w:rFonts w:hint="eastAsia" w:asciiTheme="minorEastAsia" w:hAnsiTheme="minorEastAsia"/>
              <w:szCs w:val="44"/>
              <w:highlight w:val="none"/>
            </w:rPr>
            <w:instrText xml:space="preserve"> HYPERLINK \l _Toc31174 </w:instrText>
          </w:r>
          <w:r>
            <w:rPr>
              <w:rFonts w:hint="eastAsia" w:asciiTheme="minorEastAsia" w:hAnsiTheme="minorEastAsia"/>
              <w:szCs w:val="44"/>
              <w:highlight w:val="none"/>
            </w:rPr>
            <w:fldChar w:fldCharType="separate"/>
          </w:r>
          <w:r>
            <w:rPr>
              <w:rFonts w:hint="eastAsia" w:asciiTheme="minorEastAsia" w:hAnsiTheme="minorEastAsia" w:cstheme="minorEastAsia"/>
              <w:i w:val="0"/>
              <w:iCs w:val="0"/>
              <w:szCs w:val="24"/>
              <w:highlight w:val="none"/>
            </w:rPr>
            <w:t>（二）团队能力要求</w:t>
          </w:r>
          <w:r>
            <w:tab/>
          </w:r>
          <w:r>
            <w:fldChar w:fldCharType="begin"/>
          </w:r>
          <w:r>
            <w:instrText xml:space="preserve"> PAGEREF _Toc31174 \h </w:instrText>
          </w:r>
          <w:r>
            <w:fldChar w:fldCharType="separate"/>
          </w:r>
          <w:r>
            <w:t>35</w:t>
          </w:r>
          <w:r>
            <w:fldChar w:fldCharType="end"/>
          </w:r>
          <w:r>
            <w:rPr>
              <w:rFonts w:hint="eastAsia" w:asciiTheme="minorEastAsia" w:hAnsiTheme="minorEastAsia"/>
              <w:color w:val="auto"/>
              <w:szCs w:val="44"/>
              <w:highlight w:val="none"/>
            </w:rPr>
            <w:fldChar w:fldCharType="end"/>
          </w:r>
        </w:p>
        <w:p w14:paraId="7C908307">
          <w:pPr>
            <w:pStyle w:val="13"/>
            <w:tabs>
              <w:tab w:val="right" w:leader="dot" w:pos="8306"/>
            </w:tabs>
          </w:pPr>
          <w:r>
            <w:rPr>
              <w:rFonts w:hint="eastAsia" w:asciiTheme="minorEastAsia" w:hAnsiTheme="minorEastAsia"/>
              <w:color w:val="auto"/>
              <w:szCs w:val="44"/>
              <w:highlight w:val="none"/>
            </w:rPr>
            <w:fldChar w:fldCharType="begin"/>
          </w:r>
          <w:r>
            <w:rPr>
              <w:rFonts w:hint="eastAsia" w:asciiTheme="minorEastAsia" w:hAnsiTheme="minorEastAsia"/>
              <w:szCs w:val="44"/>
              <w:highlight w:val="none"/>
            </w:rPr>
            <w:instrText xml:space="preserve"> HYPERLINK \l _Toc32213 </w:instrText>
          </w:r>
          <w:r>
            <w:rPr>
              <w:rFonts w:hint="eastAsia" w:asciiTheme="minorEastAsia" w:hAnsiTheme="minorEastAsia"/>
              <w:szCs w:val="44"/>
              <w:highlight w:val="none"/>
            </w:rPr>
            <w:fldChar w:fldCharType="separate"/>
          </w:r>
          <w:r>
            <w:rPr>
              <w:rFonts w:hint="eastAsia" w:asciiTheme="minorEastAsia" w:hAnsiTheme="minorEastAsia" w:cstheme="minorEastAsia"/>
              <w:i w:val="0"/>
              <w:iCs w:val="0"/>
              <w:szCs w:val="24"/>
              <w:highlight w:val="none"/>
              <w:lang w:eastAsia="zh-CN"/>
            </w:rPr>
            <w:t>（</w:t>
          </w:r>
          <w:r>
            <w:rPr>
              <w:rFonts w:hint="eastAsia" w:asciiTheme="minorEastAsia" w:hAnsiTheme="minorEastAsia" w:cstheme="minorEastAsia"/>
              <w:i w:val="0"/>
              <w:iCs w:val="0"/>
              <w:szCs w:val="24"/>
              <w:highlight w:val="none"/>
              <w:lang w:val="en-US" w:eastAsia="zh-CN"/>
            </w:rPr>
            <w:t>三</w:t>
          </w:r>
          <w:r>
            <w:rPr>
              <w:rFonts w:hint="eastAsia" w:asciiTheme="minorEastAsia" w:hAnsiTheme="minorEastAsia" w:cstheme="minorEastAsia"/>
              <w:i w:val="0"/>
              <w:iCs w:val="0"/>
              <w:szCs w:val="24"/>
              <w:highlight w:val="none"/>
              <w:lang w:eastAsia="zh-CN"/>
            </w:rPr>
            <w:t>）</w:t>
          </w:r>
          <w:r>
            <w:rPr>
              <w:rFonts w:hint="eastAsia" w:asciiTheme="minorEastAsia" w:hAnsiTheme="minorEastAsia" w:cstheme="minorEastAsia"/>
              <w:i w:val="0"/>
              <w:iCs w:val="0"/>
              <w:szCs w:val="24"/>
              <w:highlight w:val="none"/>
              <w:lang w:val="en-US" w:eastAsia="zh-CN"/>
            </w:rPr>
            <w:t>项目负责人要求</w:t>
          </w:r>
          <w:r>
            <w:tab/>
          </w:r>
          <w:r>
            <w:fldChar w:fldCharType="begin"/>
          </w:r>
          <w:r>
            <w:instrText xml:space="preserve"> PAGEREF _Toc32213 \h </w:instrText>
          </w:r>
          <w:r>
            <w:fldChar w:fldCharType="separate"/>
          </w:r>
          <w:r>
            <w:t>35</w:t>
          </w:r>
          <w:r>
            <w:fldChar w:fldCharType="end"/>
          </w:r>
          <w:r>
            <w:rPr>
              <w:rFonts w:hint="eastAsia" w:asciiTheme="minorEastAsia" w:hAnsiTheme="minorEastAsia"/>
              <w:color w:val="auto"/>
              <w:szCs w:val="44"/>
              <w:highlight w:val="none"/>
            </w:rPr>
            <w:fldChar w:fldCharType="end"/>
          </w:r>
        </w:p>
        <w:p w14:paraId="399C5AA2">
          <w:pPr>
            <w:pStyle w:val="12"/>
            <w:tabs>
              <w:tab w:val="right" w:leader="dot" w:pos="8306"/>
            </w:tabs>
          </w:pPr>
          <w:r>
            <w:rPr>
              <w:rFonts w:hint="eastAsia" w:asciiTheme="minorEastAsia" w:hAnsiTheme="minorEastAsia"/>
              <w:color w:val="auto"/>
              <w:szCs w:val="44"/>
              <w:highlight w:val="none"/>
            </w:rPr>
            <w:fldChar w:fldCharType="begin"/>
          </w:r>
          <w:r>
            <w:rPr>
              <w:rFonts w:hint="eastAsia" w:asciiTheme="minorEastAsia" w:hAnsiTheme="minorEastAsia"/>
              <w:szCs w:val="44"/>
              <w:highlight w:val="none"/>
            </w:rPr>
            <w:instrText xml:space="preserve"> HYPERLINK \l _Toc2245 </w:instrText>
          </w:r>
          <w:r>
            <w:rPr>
              <w:rFonts w:hint="eastAsia" w:asciiTheme="minorEastAsia" w:hAnsiTheme="minorEastAsia"/>
              <w:szCs w:val="44"/>
              <w:highlight w:val="none"/>
            </w:rPr>
            <w:fldChar w:fldCharType="separate"/>
          </w:r>
          <w:r>
            <w:rPr>
              <w:rFonts w:hint="eastAsia" w:asciiTheme="minorEastAsia" w:hAnsiTheme="minorEastAsia" w:eastAsiaTheme="minorEastAsia" w:cstheme="minorEastAsia"/>
              <w:i w:val="0"/>
            </w:rPr>
            <w:t xml:space="preserve">七、 </w:t>
          </w:r>
          <w:r>
            <w:rPr>
              <w:rFonts w:hint="eastAsia" w:asciiTheme="minorEastAsia" w:hAnsiTheme="minorEastAsia" w:eastAsiaTheme="minorEastAsia" w:cstheme="minorEastAsia"/>
              <w:highlight w:val="none"/>
            </w:rPr>
            <w:t>进度计划及保证措施</w:t>
          </w:r>
          <w:r>
            <w:tab/>
          </w:r>
          <w:r>
            <w:fldChar w:fldCharType="begin"/>
          </w:r>
          <w:r>
            <w:instrText xml:space="preserve"> PAGEREF _Toc2245 \h </w:instrText>
          </w:r>
          <w:r>
            <w:fldChar w:fldCharType="separate"/>
          </w:r>
          <w:r>
            <w:t>35</w:t>
          </w:r>
          <w:r>
            <w:fldChar w:fldCharType="end"/>
          </w:r>
          <w:r>
            <w:rPr>
              <w:rFonts w:hint="eastAsia" w:asciiTheme="minorEastAsia" w:hAnsiTheme="minorEastAsia"/>
              <w:color w:val="auto"/>
              <w:szCs w:val="44"/>
              <w:highlight w:val="none"/>
            </w:rPr>
            <w:fldChar w:fldCharType="end"/>
          </w:r>
        </w:p>
        <w:p w14:paraId="064861A9">
          <w:pPr>
            <w:pStyle w:val="12"/>
            <w:tabs>
              <w:tab w:val="right" w:leader="dot" w:pos="8306"/>
            </w:tabs>
          </w:pPr>
          <w:r>
            <w:rPr>
              <w:rFonts w:hint="eastAsia" w:asciiTheme="minorEastAsia" w:hAnsiTheme="minorEastAsia"/>
              <w:color w:val="auto"/>
              <w:szCs w:val="44"/>
              <w:highlight w:val="none"/>
            </w:rPr>
            <w:fldChar w:fldCharType="begin"/>
          </w:r>
          <w:r>
            <w:rPr>
              <w:rFonts w:hint="eastAsia" w:asciiTheme="minorEastAsia" w:hAnsiTheme="minorEastAsia"/>
              <w:szCs w:val="44"/>
              <w:highlight w:val="none"/>
            </w:rPr>
            <w:instrText xml:space="preserve"> HYPERLINK \l _Toc14856 </w:instrText>
          </w:r>
          <w:r>
            <w:rPr>
              <w:rFonts w:hint="eastAsia" w:asciiTheme="minorEastAsia" w:hAnsiTheme="minorEastAsia"/>
              <w:szCs w:val="44"/>
              <w:highlight w:val="none"/>
            </w:rPr>
            <w:fldChar w:fldCharType="separate"/>
          </w:r>
          <w:r>
            <w:rPr>
              <w:rFonts w:hint="eastAsia" w:asciiTheme="minorEastAsia" w:hAnsiTheme="minorEastAsia" w:eastAsiaTheme="minorEastAsia" w:cstheme="minorEastAsia"/>
              <w:i w:val="0"/>
            </w:rPr>
            <w:t xml:space="preserve">八、 </w:t>
          </w:r>
          <w:r>
            <w:rPr>
              <w:rFonts w:hint="eastAsia" w:asciiTheme="minorEastAsia" w:hAnsiTheme="minorEastAsia" w:eastAsiaTheme="minorEastAsia" w:cstheme="minorEastAsia"/>
              <w:highlight w:val="none"/>
            </w:rPr>
            <w:t>服务质量保证措施</w:t>
          </w:r>
          <w:r>
            <w:tab/>
          </w:r>
          <w:r>
            <w:fldChar w:fldCharType="begin"/>
          </w:r>
          <w:r>
            <w:instrText xml:space="preserve"> PAGEREF _Toc14856 \h </w:instrText>
          </w:r>
          <w:r>
            <w:fldChar w:fldCharType="separate"/>
          </w:r>
          <w:r>
            <w:t>36</w:t>
          </w:r>
          <w:r>
            <w:fldChar w:fldCharType="end"/>
          </w:r>
          <w:r>
            <w:rPr>
              <w:rFonts w:hint="eastAsia" w:asciiTheme="minorEastAsia" w:hAnsiTheme="minorEastAsia"/>
              <w:color w:val="auto"/>
              <w:szCs w:val="44"/>
              <w:highlight w:val="none"/>
            </w:rPr>
            <w:fldChar w:fldCharType="end"/>
          </w:r>
        </w:p>
        <w:p w14:paraId="68C65F8A">
          <w:pPr>
            <w:pStyle w:val="12"/>
            <w:tabs>
              <w:tab w:val="right" w:leader="dot" w:pos="8306"/>
            </w:tabs>
          </w:pPr>
          <w:r>
            <w:rPr>
              <w:rFonts w:hint="eastAsia" w:asciiTheme="minorEastAsia" w:hAnsiTheme="minorEastAsia"/>
              <w:color w:val="auto"/>
              <w:szCs w:val="44"/>
              <w:highlight w:val="none"/>
            </w:rPr>
            <w:fldChar w:fldCharType="begin"/>
          </w:r>
          <w:r>
            <w:rPr>
              <w:rFonts w:hint="eastAsia" w:asciiTheme="minorEastAsia" w:hAnsiTheme="minorEastAsia"/>
              <w:szCs w:val="44"/>
              <w:highlight w:val="none"/>
            </w:rPr>
            <w:instrText xml:space="preserve"> HYPERLINK \l _Toc10681 </w:instrText>
          </w:r>
          <w:r>
            <w:rPr>
              <w:rFonts w:hint="eastAsia" w:asciiTheme="minorEastAsia" w:hAnsiTheme="minorEastAsia"/>
              <w:szCs w:val="44"/>
              <w:highlight w:val="none"/>
            </w:rPr>
            <w:fldChar w:fldCharType="separate"/>
          </w:r>
          <w:r>
            <w:rPr>
              <w:rFonts w:hint="eastAsia" w:asciiTheme="minorEastAsia" w:hAnsiTheme="minorEastAsia" w:eastAsiaTheme="minorEastAsia" w:cstheme="minorEastAsia"/>
              <w:i w:val="0"/>
            </w:rPr>
            <w:t xml:space="preserve">九、 </w:t>
          </w:r>
          <w:r>
            <w:rPr>
              <w:rFonts w:hint="eastAsia" w:asciiTheme="minorEastAsia" w:hAnsiTheme="minorEastAsia" w:eastAsiaTheme="minorEastAsia" w:cstheme="minorEastAsia"/>
              <w:highlight w:val="none"/>
            </w:rPr>
            <w:t>服务承诺</w:t>
          </w:r>
          <w:r>
            <w:tab/>
          </w:r>
          <w:r>
            <w:fldChar w:fldCharType="begin"/>
          </w:r>
          <w:r>
            <w:instrText xml:space="preserve"> PAGEREF _Toc10681 \h </w:instrText>
          </w:r>
          <w:r>
            <w:fldChar w:fldCharType="separate"/>
          </w:r>
          <w:r>
            <w:t>36</w:t>
          </w:r>
          <w:r>
            <w:fldChar w:fldCharType="end"/>
          </w:r>
          <w:r>
            <w:rPr>
              <w:rFonts w:hint="eastAsia" w:asciiTheme="minorEastAsia" w:hAnsiTheme="minorEastAsia"/>
              <w:color w:val="auto"/>
              <w:szCs w:val="44"/>
              <w:highlight w:val="none"/>
            </w:rPr>
            <w:fldChar w:fldCharType="end"/>
          </w:r>
        </w:p>
        <w:p w14:paraId="796746DE">
          <w:pPr>
            <w:pStyle w:val="12"/>
            <w:tabs>
              <w:tab w:val="right" w:leader="dot" w:pos="8306"/>
            </w:tabs>
          </w:pPr>
          <w:r>
            <w:rPr>
              <w:rFonts w:hint="eastAsia" w:asciiTheme="minorEastAsia" w:hAnsiTheme="minorEastAsia"/>
              <w:color w:val="auto"/>
              <w:szCs w:val="44"/>
              <w:highlight w:val="none"/>
            </w:rPr>
            <w:fldChar w:fldCharType="begin"/>
          </w:r>
          <w:r>
            <w:rPr>
              <w:rFonts w:hint="eastAsia" w:asciiTheme="minorEastAsia" w:hAnsiTheme="minorEastAsia"/>
              <w:szCs w:val="44"/>
              <w:highlight w:val="none"/>
            </w:rPr>
            <w:instrText xml:space="preserve"> HYPERLINK \l _Toc9005 </w:instrText>
          </w:r>
          <w:r>
            <w:rPr>
              <w:rFonts w:hint="eastAsia" w:asciiTheme="minorEastAsia" w:hAnsiTheme="minorEastAsia"/>
              <w:szCs w:val="44"/>
              <w:highlight w:val="none"/>
            </w:rPr>
            <w:fldChar w:fldCharType="separate"/>
          </w:r>
          <w:r>
            <w:rPr>
              <w:rFonts w:hint="eastAsia" w:asciiTheme="minorEastAsia" w:hAnsiTheme="minorEastAsia" w:eastAsiaTheme="minorEastAsia" w:cstheme="minorEastAsia"/>
              <w:i w:val="0"/>
            </w:rPr>
            <w:t xml:space="preserve">十、 </w:t>
          </w:r>
          <w:r>
            <w:rPr>
              <w:rFonts w:hint="eastAsia" w:asciiTheme="minorEastAsia" w:hAnsiTheme="minorEastAsia" w:eastAsiaTheme="minorEastAsia" w:cstheme="minorEastAsia"/>
              <w:highlight w:val="none"/>
            </w:rPr>
            <w:t>售后服务和技术支持</w:t>
          </w:r>
          <w:r>
            <w:tab/>
          </w:r>
          <w:r>
            <w:fldChar w:fldCharType="begin"/>
          </w:r>
          <w:r>
            <w:instrText xml:space="preserve"> PAGEREF _Toc9005 \h </w:instrText>
          </w:r>
          <w:r>
            <w:fldChar w:fldCharType="separate"/>
          </w:r>
          <w:r>
            <w:t>36</w:t>
          </w:r>
          <w:r>
            <w:fldChar w:fldCharType="end"/>
          </w:r>
          <w:r>
            <w:rPr>
              <w:rFonts w:hint="eastAsia" w:asciiTheme="minorEastAsia" w:hAnsiTheme="minorEastAsia"/>
              <w:color w:val="auto"/>
              <w:szCs w:val="44"/>
              <w:highlight w:val="none"/>
            </w:rPr>
            <w:fldChar w:fldCharType="end"/>
          </w:r>
        </w:p>
        <w:p w14:paraId="1FB9D868">
          <w:pPr>
            <w:pStyle w:val="13"/>
            <w:tabs>
              <w:tab w:val="right" w:leader="dot" w:pos="8306"/>
            </w:tabs>
          </w:pPr>
          <w:r>
            <w:rPr>
              <w:rFonts w:hint="eastAsia" w:asciiTheme="minorEastAsia" w:hAnsiTheme="minorEastAsia"/>
              <w:color w:val="auto"/>
              <w:szCs w:val="44"/>
              <w:highlight w:val="none"/>
            </w:rPr>
            <w:fldChar w:fldCharType="begin"/>
          </w:r>
          <w:r>
            <w:rPr>
              <w:rFonts w:hint="eastAsia" w:asciiTheme="minorEastAsia" w:hAnsiTheme="minorEastAsia"/>
              <w:szCs w:val="44"/>
              <w:highlight w:val="none"/>
            </w:rPr>
            <w:instrText xml:space="preserve"> HYPERLINK \l _Toc9322 </w:instrText>
          </w:r>
          <w:r>
            <w:rPr>
              <w:rFonts w:hint="eastAsia" w:asciiTheme="minorEastAsia" w:hAnsiTheme="minorEastAsia"/>
              <w:szCs w:val="44"/>
              <w:highlight w:val="none"/>
            </w:rPr>
            <w:fldChar w:fldCharType="separate"/>
          </w:r>
          <w:r>
            <w:rPr>
              <w:rFonts w:hint="eastAsia" w:ascii="宋体" w:hAnsi="宋体" w:eastAsia="宋体" w:cs="宋体"/>
              <w:bCs/>
            </w:rPr>
            <w:t xml:space="preserve">10.1 </w:t>
          </w:r>
          <w:r>
            <w:rPr>
              <w:rFonts w:hint="eastAsia" w:ascii="宋体" w:hAnsi="宋体" w:eastAsia="宋体" w:cs="宋体"/>
              <w:bCs/>
              <w:highlight w:val="none"/>
            </w:rPr>
            <w:t>质保期服务内容</w:t>
          </w:r>
          <w:r>
            <w:tab/>
          </w:r>
          <w:r>
            <w:fldChar w:fldCharType="begin"/>
          </w:r>
          <w:r>
            <w:instrText xml:space="preserve"> PAGEREF _Toc9322 \h </w:instrText>
          </w:r>
          <w:r>
            <w:fldChar w:fldCharType="separate"/>
          </w:r>
          <w:r>
            <w:t>36</w:t>
          </w:r>
          <w:r>
            <w:fldChar w:fldCharType="end"/>
          </w:r>
          <w:r>
            <w:rPr>
              <w:rFonts w:hint="eastAsia" w:asciiTheme="minorEastAsia" w:hAnsiTheme="minorEastAsia"/>
              <w:color w:val="auto"/>
              <w:szCs w:val="44"/>
              <w:highlight w:val="none"/>
            </w:rPr>
            <w:fldChar w:fldCharType="end"/>
          </w:r>
        </w:p>
        <w:p w14:paraId="3E3CAAC0">
          <w:pPr>
            <w:pStyle w:val="13"/>
            <w:tabs>
              <w:tab w:val="right" w:leader="dot" w:pos="8306"/>
            </w:tabs>
          </w:pPr>
          <w:r>
            <w:rPr>
              <w:rFonts w:hint="eastAsia" w:asciiTheme="minorEastAsia" w:hAnsiTheme="minorEastAsia"/>
              <w:color w:val="auto"/>
              <w:szCs w:val="44"/>
              <w:highlight w:val="none"/>
            </w:rPr>
            <w:fldChar w:fldCharType="begin"/>
          </w:r>
          <w:r>
            <w:rPr>
              <w:rFonts w:hint="eastAsia" w:asciiTheme="minorEastAsia" w:hAnsiTheme="minorEastAsia"/>
              <w:szCs w:val="44"/>
              <w:highlight w:val="none"/>
            </w:rPr>
            <w:instrText xml:space="preserve"> HYPERLINK \l _Toc16986 </w:instrText>
          </w:r>
          <w:r>
            <w:rPr>
              <w:rFonts w:hint="eastAsia" w:asciiTheme="minorEastAsia" w:hAnsiTheme="minorEastAsia"/>
              <w:szCs w:val="44"/>
              <w:highlight w:val="none"/>
            </w:rPr>
            <w:fldChar w:fldCharType="separate"/>
          </w:r>
          <w:r>
            <w:rPr>
              <w:rFonts w:hint="eastAsia" w:ascii="宋体" w:hAnsi="宋体" w:eastAsia="宋体" w:cs="宋体"/>
              <w:bCs/>
            </w:rPr>
            <w:t xml:space="preserve">10.2 </w:t>
          </w:r>
          <w:r>
            <w:rPr>
              <w:rFonts w:hint="eastAsia" w:ascii="宋体" w:hAnsi="宋体" w:eastAsia="宋体" w:cs="宋体"/>
              <w:bCs/>
              <w:highlight w:val="none"/>
            </w:rPr>
            <w:t>技术服务承诺</w:t>
          </w:r>
          <w:r>
            <w:tab/>
          </w:r>
          <w:r>
            <w:fldChar w:fldCharType="begin"/>
          </w:r>
          <w:r>
            <w:instrText xml:space="preserve"> PAGEREF _Toc16986 \h </w:instrText>
          </w:r>
          <w:r>
            <w:fldChar w:fldCharType="separate"/>
          </w:r>
          <w:r>
            <w:t>38</w:t>
          </w:r>
          <w:r>
            <w:fldChar w:fldCharType="end"/>
          </w:r>
          <w:r>
            <w:rPr>
              <w:rFonts w:hint="eastAsia" w:asciiTheme="minorEastAsia" w:hAnsiTheme="minorEastAsia"/>
              <w:color w:val="auto"/>
              <w:szCs w:val="44"/>
              <w:highlight w:val="none"/>
            </w:rPr>
            <w:fldChar w:fldCharType="end"/>
          </w:r>
        </w:p>
        <w:p w14:paraId="2523DE9E">
          <w:pPr>
            <w:pStyle w:val="12"/>
            <w:tabs>
              <w:tab w:val="right" w:leader="dot" w:pos="8306"/>
            </w:tabs>
          </w:pPr>
          <w:r>
            <w:rPr>
              <w:rFonts w:hint="eastAsia" w:asciiTheme="minorEastAsia" w:hAnsiTheme="minorEastAsia"/>
              <w:color w:val="auto"/>
              <w:szCs w:val="44"/>
              <w:highlight w:val="none"/>
            </w:rPr>
            <w:fldChar w:fldCharType="begin"/>
          </w:r>
          <w:r>
            <w:rPr>
              <w:rFonts w:hint="eastAsia" w:asciiTheme="minorEastAsia" w:hAnsiTheme="minorEastAsia"/>
              <w:szCs w:val="44"/>
              <w:highlight w:val="none"/>
            </w:rPr>
            <w:instrText xml:space="preserve"> HYPERLINK \l _Toc1090 </w:instrText>
          </w:r>
          <w:r>
            <w:rPr>
              <w:rFonts w:hint="eastAsia" w:asciiTheme="minorEastAsia" w:hAnsiTheme="minorEastAsia"/>
              <w:szCs w:val="44"/>
              <w:highlight w:val="none"/>
            </w:rPr>
            <w:fldChar w:fldCharType="separate"/>
          </w:r>
          <w:r>
            <w:rPr>
              <w:rFonts w:hint="eastAsia" w:asciiTheme="minorEastAsia" w:hAnsiTheme="minorEastAsia" w:eastAsiaTheme="minorEastAsia" w:cstheme="minorEastAsia"/>
              <w:bCs/>
              <w:i w:val="0"/>
            </w:rPr>
            <w:t xml:space="preserve">十一、 </w:t>
          </w:r>
          <w:r>
            <w:rPr>
              <w:rFonts w:hint="eastAsia" w:asciiTheme="minorEastAsia" w:hAnsiTheme="minorEastAsia" w:eastAsiaTheme="minorEastAsia" w:cstheme="minorEastAsia"/>
              <w:bCs/>
              <w:highlight w:val="none"/>
            </w:rPr>
            <w:t>响应要求及服务评价标准</w:t>
          </w:r>
          <w:r>
            <w:tab/>
          </w:r>
          <w:r>
            <w:fldChar w:fldCharType="begin"/>
          </w:r>
          <w:r>
            <w:instrText xml:space="preserve"> PAGEREF _Toc1090 \h </w:instrText>
          </w:r>
          <w:r>
            <w:fldChar w:fldCharType="separate"/>
          </w:r>
          <w:r>
            <w:t>38</w:t>
          </w:r>
          <w:r>
            <w:fldChar w:fldCharType="end"/>
          </w:r>
          <w:r>
            <w:rPr>
              <w:rFonts w:hint="eastAsia" w:asciiTheme="minorEastAsia" w:hAnsiTheme="minorEastAsia"/>
              <w:color w:val="auto"/>
              <w:szCs w:val="44"/>
              <w:highlight w:val="none"/>
            </w:rPr>
            <w:fldChar w:fldCharType="end"/>
          </w:r>
        </w:p>
        <w:p w14:paraId="26145BD3">
          <w:pPr>
            <w:pStyle w:val="13"/>
            <w:tabs>
              <w:tab w:val="right" w:leader="dot" w:pos="8306"/>
            </w:tabs>
          </w:pPr>
          <w:r>
            <w:rPr>
              <w:rFonts w:hint="eastAsia" w:asciiTheme="minorEastAsia" w:hAnsiTheme="minorEastAsia"/>
              <w:color w:val="auto"/>
              <w:szCs w:val="44"/>
              <w:highlight w:val="none"/>
            </w:rPr>
            <w:fldChar w:fldCharType="begin"/>
          </w:r>
          <w:r>
            <w:rPr>
              <w:rFonts w:hint="eastAsia" w:asciiTheme="minorEastAsia" w:hAnsiTheme="minorEastAsia"/>
              <w:szCs w:val="44"/>
              <w:highlight w:val="none"/>
            </w:rPr>
            <w:instrText xml:space="preserve"> HYPERLINK \l _Toc10582 </w:instrText>
          </w:r>
          <w:r>
            <w:rPr>
              <w:rFonts w:hint="eastAsia" w:asciiTheme="minorEastAsia" w:hAnsiTheme="minorEastAsia"/>
              <w:szCs w:val="44"/>
              <w:highlight w:val="none"/>
            </w:rPr>
            <w:fldChar w:fldCharType="separate"/>
          </w:r>
          <w:r>
            <w:rPr>
              <w:rFonts w:hint="eastAsia" w:asciiTheme="minorEastAsia" w:hAnsiTheme="minorEastAsia" w:cstheme="minorEastAsia"/>
              <w:szCs w:val="24"/>
            </w:rPr>
            <w:t xml:space="preserve">11.1 </w:t>
          </w:r>
          <w:r>
            <w:rPr>
              <w:rFonts w:hint="eastAsia" w:asciiTheme="minorEastAsia" w:hAnsiTheme="minorEastAsia" w:cstheme="minorEastAsia"/>
              <w:szCs w:val="24"/>
              <w:highlight w:val="none"/>
            </w:rPr>
            <w:t>事件响应服务要求</w:t>
          </w:r>
          <w:r>
            <w:tab/>
          </w:r>
          <w:r>
            <w:fldChar w:fldCharType="begin"/>
          </w:r>
          <w:r>
            <w:instrText xml:space="preserve"> PAGEREF _Toc10582 \h </w:instrText>
          </w:r>
          <w:r>
            <w:fldChar w:fldCharType="separate"/>
          </w:r>
          <w:r>
            <w:t>38</w:t>
          </w:r>
          <w:r>
            <w:fldChar w:fldCharType="end"/>
          </w:r>
          <w:r>
            <w:rPr>
              <w:rFonts w:hint="eastAsia" w:asciiTheme="minorEastAsia" w:hAnsiTheme="minorEastAsia"/>
              <w:color w:val="auto"/>
              <w:szCs w:val="44"/>
              <w:highlight w:val="none"/>
            </w:rPr>
            <w:fldChar w:fldCharType="end"/>
          </w:r>
        </w:p>
        <w:p w14:paraId="1B525824">
          <w:pPr>
            <w:pStyle w:val="13"/>
            <w:tabs>
              <w:tab w:val="right" w:leader="dot" w:pos="8306"/>
            </w:tabs>
          </w:pPr>
          <w:r>
            <w:rPr>
              <w:rFonts w:hint="eastAsia" w:asciiTheme="minorEastAsia" w:hAnsiTheme="minorEastAsia"/>
              <w:color w:val="auto"/>
              <w:szCs w:val="44"/>
              <w:highlight w:val="none"/>
            </w:rPr>
            <w:fldChar w:fldCharType="begin"/>
          </w:r>
          <w:r>
            <w:rPr>
              <w:rFonts w:hint="eastAsia" w:asciiTheme="minorEastAsia" w:hAnsiTheme="minorEastAsia"/>
              <w:szCs w:val="44"/>
              <w:highlight w:val="none"/>
            </w:rPr>
            <w:instrText xml:space="preserve"> HYPERLINK \l _Toc32741 </w:instrText>
          </w:r>
          <w:r>
            <w:rPr>
              <w:rFonts w:hint="eastAsia" w:asciiTheme="minorEastAsia" w:hAnsiTheme="minorEastAsia"/>
              <w:szCs w:val="44"/>
              <w:highlight w:val="none"/>
            </w:rPr>
            <w:fldChar w:fldCharType="separate"/>
          </w:r>
          <w:r>
            <w:rPr>
              <w:rFonts w:hint="eastAsia"/>
              <w:szCs w:val="24"/>
            </w:rPr>
            <w:t xml:space="preserve">11.2 </w:t>
          </w:r>
          <w:r>
            <w:rPr>
              <w:rFonts w:hint="eastAsia"/>
              <w:szCs w:val="24"/>
              <w:highlight w:val="none"/>
            </w:rPr>
            <w:t>服务水平评价</w:t>
          </w:r>
          <w:r>
            <w:tab/>
          </w:r>
          <w:r>
            <w:fldChar w:fldCharType="begin"/>
          </w:r>
          <w:r>
            <w:instrText xml:space="preserve"> PAGEREF _Toc32741 \h </w:instrText>
          </w:r>
          <w:r>
            <w:fldChar w:fldCharType="separate"/>
          </w:r>
          <w:r>
            <w:t>40</w:t>
          </w:r>
          <w:r>
            <w:fldChar w:fldCharType="end"/>
          </w:r>
          <w:r>
            <w:rPr>
              <w:rFonts w:hint="eastAsia" w:asciiTheme="minorEastAsia" w:hAnsiTheme="minorEastAsia"/>
              <w:color w:val="auto"/>
              <w:szCs w:val="44"/>
              <w:highlight w:val="none"/>
            </w:rPr>
            <w:fldChar w:fldCharType="end"/>
          </w:r>
        </w:p>
        <w:p w14:paraId="09F4AA10">
          <w:pPr>
            <w:pStyle w:val="12"/>
            <w:tabs>
              <w:tab w:val="right" w:leader="dot" w:pos="8306"/>
            </w:tabs>
          </w:pPr>
          <w:r>
            <w:rPr>
              <w:rFonts w:hint="eastAsia" w:asciiTheme="minorEastAsia" w:hAnsiTheme="minorEastAsia"/>
              <w:color w:val="auto"/>
              <w:szCs w:val="44"/>
              <w:highlight w:val="none"/>
            </w:rPr>
            <w:fldChar w:fldCharType="begin"/>
          </w:r>
          <w:r>
            <w:rPr>
              <w:rFonts w:hint="eastAsia" w:asciiTheme="minorEastAsia" w:hAnsiTheme="minorEastAsia"/>
              <w:szCs w:val="44"/>
              <w:highlight w:val="none"/>
            </w:rPr>
            <w:instrText xml:space="preserve"> HYPERLINK \l _Toc22594 </w:instrText>
          </w:r>
          <w:r>
            <w:rPr>
              <w:rFonts w:hint="eastAsia" w:asciiTheme="minorEastAsia" w:hAnsiTheme="minorEastAsia"/>
              <w:szCs w:val="44"/>
              <w:highlight w:val="none"/>
            </w:rPr>
            <w:fldChar w:fldCharType="separate"/>
          </w:r>
          <w:r>
            <w:rPr>
              <w:rFonts w:hint="eastAsia" w:asciiTheme="minorEastAsia" w:hAnsiTheme="minorEastAsia" w:eastAsiaTheme="minorEastAsia" w:cstheme="minorEastAsia"/>
              <w:bCs/>
              <w:i w:val="0"/>
            </w:rPr>
            <w:t xml:space="preserve">十二、 </w:t>
          </w:r>
          <w:r>
            <w:rPr>
              <w:rFonts w:hint="eastAsia" w:asciiTheme="minorEastAsia" w:hAnsiTheme="minorEastAsia" w:eastAsiaTheme="minorEastAsia" w:cstheme="minorEastAsia"/>
              <w:bCs/>
              <w:highlight w:val="none"/>
            </w:rPr>
            <w:t>主要条款/参数优异性表格响应表</w:t>
          </w:r>
          <w:r>
            <w:tab/>
          </w:r>
          <w:r>
            <w:fldChar w:fldCharType="begin"/>
          </w:r>
          <w:r>
            <w:instrText xml:space="preserve"> PAGEREF _Toc22594 \h </w:instrText>
          </w:r>
          <w:r>
            <w:fldChar w:fldCharType="separate"/>
          </w:r>
          <w:r>
            <w:t>45</w:t>
          </w:r>
          <w:r>
            <w:fldChar w:fldCharType="end"/>
          </w:r>
          <w:r>
            <w:rPr>
              <w:rFonts w:hint="eastAsia" w:asciiTheme="minorEastAsia" w:hAnsiTheme="minorEastAsia"/>
              <w:color w:val="auto"/>
              <w:szCs w:val="44"/>
              <w:highlight w:val="none"/>
            </w:rPr>
            <w:fldChar w:fldCharType="end"/>
          </w:r>
        </w:p>
        <w:p w14:paraId="27DFF25A">
          <w:pPr>
            <w:pStyle w:val="12"/>
            <w:tabs>
              <w:tab w:val="right" w:leader="dot" w:pos="8306"/>
            </w:tabs>
          </w:pPr>
          <w:r>
            <w:rPr>
              <w:rFonts w:hint="eastAsia" w:asciiTheme="minorEastAsia" w:hAnsiTheme="minorEastAsia"/>
              <w:color w:val="auto"/>
              <w:szCs w:val="44"/>
              <w:highlight w:val="none"/>
            </w:rPr>
            <w:fldChar w:fldCharType="begin"/>
          </w:r>
          <w:r>
            <w:rPr>
              <w:rFonts w:hint="eastAsia" w:asciiTheme="minorEastAsia" w:hAnsiTheme="minorEastAsia"/>
              <w:szCs w:val="44"/>
              <w:highlight w:val="none"/>
            </w:rPr>
            <w:instrText xml:space="preserve"> HYPERLINK \l _Toc29374 </w:instrText>
          </w:r>
          <w:r>
            <w:rPr>
              <w:rFonts w:hint="eastAsia" w:asciiTheme="minorEastAsia" w:hAnsiTheme="minorEastAsia"/>
              <w:szCs w:val="44"/>
              <w:highlight w:val="none"/>
            </w:rPr>
            <w:fldChar w:fldCharType="separate"/>
          </w:r>
          <w:r>
            <w:rPr>
              <w:rFonts w:hint="eastAsia" w:asciiTheme="minorEastAsia" w:hAnsiTheme="minorEastAsia" w:eastAsiaTheme="minorEastAsia" w:cstheme="minorEastAsia"/>
              <w:bCs/>
              <w:i w:val="0"/>
            </w:rPr>
            <w:t xml:space="preserve">十三、 </w:t>
          </w:r>
          <w:r>
            <w:rPr>
              <w:rFonts w:hint="eastAsia" w:asciiTheme="minorEastAsia" w:hAnsiTheme="minorEastAsia" w:eastAsiaTheme="minorEastAsia" w:cstheme="minorEastAsia"/>
              <w:bCs/>
              <w:highlight w:val="none"/>
            </w:rPr>
            <w:t>技术条款/技术参数点对点应答表</w:t>
          </w:r>
          <w:r>
            <w:tab/>
          </w:r>
          <w:r>
            <w:fldChar w:fldCharType="begin"/>
          </w:r>
          <w:r>
            <w:instrText xml:space="preserve"> PAGEREF _Toc29374 \h </w:instrText>
          </w:r>
          <w:r>
            <w:fldChar w:fldCharType="separate"/>
          </w:r>
          <w:r>
            <w:t>46</w:t>
          </w:r>
          <w:r>
            <w:fldChar w:fldCharType="end"/>
          </w:r>
          <w:r>
            <w:rPr>
              <w:rFonts w:hint="eastAsia" w:asciiTheme="minorEastAsia" w:hAnsiTheme="minorEastAsia"/>
              <w:color w:val="auto"/>
              <w:szCs w:val="44"/>
              <w:highlight w:val="none"/>
            </w:rPr>
            <w:fldChar w:fldCharType="end"/>
          </w:r>
        </w:p>
        <w:p w14:paraId="7F06334A">
          <w:pPr>
            <w:pStyle w:val="12"/>
            <w:tabs>
              <w:tab w:val="right" w:leader="dot" w:pos="8306"/>
            </w:tabs>
          </w:pPr>
          <w:r>
            <w:rPr>
              <w:rFonts w:hint="eastAsia" w:asciiTheme="minorEastAsia" w:hAnsiTheme="minorEastAsia"/>
              <w:color w:val="auto"/>
              <w:szCs w:val="44"/>
              <w:highlight w:val="none"/>
            </w:rPr>
            <w:fldChar w:fldCharType="begin"/>
          </w:r>
          <w:r>
            <w:rPr>
              <w:rFonts w:hint="eastAsia" w:asciiTheme="minorEastAsia" w:hAnsiTheme="minorEastAsia"/>
              <w:szCs w:val="44"/>
              <w:highlight w:val="none"/>
            </w:rPr>
            <w:instrText xml:space="preserve"> HYPERLINK \l _Toc20868 </w:instrText>
          </w:r>
          <w:r>
            <w:rPr>
              <w:rFonts w:hint="eastAsia" w:asciiTheme="minorEastAsia" w:hAnsiTheme="minorEastAsia"/>
              <w:szCs w:val="44"/>
              <w:highlight w:val="none"/>
            </w:rPr>
            <w:fldChar w:fldCharType="separate"/>
          </w:r>
          <w:r>
            <w:rPr>
              <w:rFonts w:hint="eastAsia" w:asciiTheme="minorEastAsia" w:hAnsiTheme="minorEastAsia" w:eastAsiaTheme="minorEastAsia" w:cstheme="minorEastAsia"/>
              <w:bCs/>
              <w:i w:val="0"/>
            </w:rPr>
            <w:t xml:space="preserve">十四、 </w:t>
          </w:r>
          <w:r>
            <w:rPr>
              <w:rFonts w:hint="eastAsia" w:asciiTheme="minorEastAsia" w:hAnsiTheme="minorEastAsia" w:eastAsiaTheme="minorEastAsia" w:cstheme="minorEastAsia"/>
              <w:bCs/>
              <w:highlight w:val="none"/>
            </w:rPr>
            <w:t>服务团队优异性表</w:t>
          </w:r>
          <w:r>
            <w:tab/>
          </w:r>
          <w:r>
            <w:fldChar w:fldCharType="begin"/>
          </w:r>
          <w:r>
            <w:instrText xml:space="preserve"> PAGEREF _Toc20868 \h </w:instrText>
          </w:r>
          <w:r>
            <w:fldChar w:fldCharType="separate"/>
          </w:r>
          <w:r>
            <w:t>47</w:t>
          </w:r>
          <w:r>
            <w:fldChar w:fldCharType="end"/>
          </w:r>
          <w:r>
            <w:rPr>
              <w:rFonts w:hint="eastAsia" w:asciiTheme="minorEastAsia" w:hAnsiTheme="minorEastAsia"/>
              <w:color w:val="auto"/>
              <w:szCs w:val="44"/>
              <w:highlight w:val="none"/>
            </w:rPr>
            <w:fldChar w:fldCharType="end"/>
          </w:r>
        </w:p>
        <w:p w14:paraId="06D330AD">
          <w:pPr>
            <w:pStyle w:val="12"/>
            <w:tabs>
              <w:tab w:val="right" w:leader="dot" w:pos="8306"/>
            </w:tabs>
          </w:pPr>
          <w:r>
            <w:rPr>
              <w:rFonts w:hint="eastAsia" w:asciiTheme="minorEastAsia" w:hAnsiTheme="minorEastAsia"/>
              <w:color w:val="auto"/>
              <w:szCs w:val="44"/>
              <w:highlight w:val="none"/>
            </w:rPr>
            <w:fldChar w:fldCharType="begin"/>
          </w:r>
          <w:r>
            <w:rPr>
              <w:rFonts w:hint="eastAsia" w:asciiTheme="minorEastAsia" w:hAnsiTheme="minorEastAsia"/>
              <w:szCs w:val="44"/>
              <w:highlight w:val="none"/>
            </w:rPr>
            <w:instrText xml:space="preserve"> HYPERLINK \l _Toc8111 </w:instrText>
          </w:r>
          <w:r>
            <w:rPr>
              <w:rFonts w:hint="eastAsia" w:asciiTheme="minorEastAsia" w:hAnsiTheme="minorEastAsia"/>
              <w:szCs w:val="44"/>
              <w:highlight w:val="none"/>
            </w:rPr>
            <w:fldChar w:fldCharType="separate"/>
          </w:r>
          <w:r>
            <w:rPr>
              <w:rFonts w:hint="eastAsia" w:asciiTheme="minorEastAsia" w:hAnsiTheme="minorEastAsia" w:eastAsiaTheme="minorEastAsia" w:cstheme="minorEastAsia"/>
              <w:bCs/>
              <w:i w:val="0"/>
            </w:rPr>
            <w:t xml:space="preserve">十五、 </w:t>
          </w:r>
          <w:r>
            <w:rPr>
              <w:rFonts w:hint="eastAsia" w:asciiTheme="minorEastAsia" w:hAnsiTheme="minorEastAsia" w:eastAsiaTheme="minorEastAsia" w:cstheme="minorEastAsia"/>
              <w:bCs/>
              <w:highlight w:val="none"/>
            </w:rPr>
            <w:t>一般服务团队条款/参数应答表</w:t>
          </w:r>
          <w:r>
            <w:tab/>
          </w:r>
          <w:r>
            <w:fldChar w:fldCharType="begin"/>
          </w:r>
          <w:r>
            <w:instrText xml:space="preserve"> PAGEREF _Toc8111 \h </w:instrText>
          </w:r>
          <w:r>
            <w:fldChar w:fldCharType="separate"/>
          </w:r>
          <w:r>
            <w:t>47</w:t>
          </w:r>
          <w:r>
            <w:fldChar w:fldCharType="end"/>
          </w:r>
          <w:r>
            <w:rPr>
              <w:rFonts w:hint="eastAsia" w:asciiTheme="minorEastAsia" w:hAnsiTheme="minorEastAsia"/>
              <w:color w:val="auto"/>
              <w:szCs w:val="44"/>
              <w:highlight w:val="none"/>
            </w:rPr>
            <w:fldChar w:fldCharType="end"/>
          </w:r>
        </w:p>
        <w:p w14:paraId="75005A2A">
          <w:pPr>
            <w:pStyle w:val="12"/>
            <w:tabs>
              <w:tab w:val="right" w:leader="dot" w:pos="8306"/>
            </w:tabs>
          </w:pPr>
          <w:r>
            <w:rPr>
              <w:rFonts w:hint="eastAsia" w:asciiTheme="minorEastAsia" w:hAnsiTheme="minorEastAsia"/>
              <w:color w:val="auto"/>
              <w:szCs w:val="44"/>
              <w:highlight w:val="none"/>
            </w:rPr>
            <w:fldChar w:fldCharType="begin"/>
          </w:r>
          <w:r>
            <w:rPr>
              <w:rFonts w:hint="eastAsia" w:asciiTheme="minorEastAsia" w:hAnsiTheme="minorEastAsia"/>
              <w:szCs w:val="44"/>
              <w:highlight w:val="none"/>
            </w:rPr>
            <w:instrText xml:space="preserve"> HYPERLINK \l _Toc22056 </w:instrText>
          </w:r>
          <w:r>
            <w:rPr>
              <w:rFonts w:hint="eastAsia" w:asciiTheme="minorEastAsia" w:hAnsiTheme="minorEastAsia"/>
              <w:szCs w:val="44"/>
              <w:highlight w:val="none"/>
            </w:rPr>
            <w:fldChar w:fldCharType="separate"/>
          </w:r>
          <w:r>
            <w:rPr>
              <w:rFonts w:hint="eastAsia" w:asciiTheme="minorEastAsia" w:hAnsiTheme="minorEastAsia" w:eastAsiaTheme="minorEastAsia" w:cstheme="minorEastAsia"/>
              <w:bCs/>
              <w:i w:val="0"/>
            </w:rPr>
            <w:t xml:space="preserve">十六、 </w:t>
          </w:r>
          <w:r>
            <w:rPr>
              <w:rFonts w:hint="eastAsia" w:asciiTheme="minorEastAsia" w:hAnsiTheme="minorEastAsia" w:eastAsiaTheme="minorEastAsia" w:cstheme="minorEastAsia"/>
              <w:bCs/>
              <w:highlight w:val="none"/>
            </w:rPr>
            <w:t>评价申辩</w:t>
          </w:r>
          <w:r>
            <w:tab/>
          </w:r>
          <w:r>
            <w:fldChar w:fldCharType="begin"/>
          </w:r>
          <w:r>
            <w:instrText xml:space="preserve"> PAGEREF _Toc22056 \h </w:instrText>
          </w:r>
          <w:r>
            <w:fldChar w:fldCharType="separate"/>
          </w:r>
          <w:r>
            <w:t>48</w:t>
          </w:r>
          <w:r>
            <w:fldChar w:fldCharType="end"/>
          </w:r>
          <w:r>
            <w:rPr>
              <w:rFonts w:hint="eastAsia" w:asciiTheme="minorEastAsia" w:hAnsiTheme="minorEastAsia"/>
              <w:color w:val="auto"/>
              <w:szCs w:val="44"/>
              <w:highlight w:val="none"/>
            </w:rPr>
            <w:fldChar w:fldCharType="end"/>
          </w:r>
        </w:p>
        <w:p w14:paraId="46C3FB62">
          <w:pPr>
            <w:pStyle w:val="12"/>
            <w:tabs>
              <w:tab w:val="right" w:leader="dot" w:pos="8306"/>
            </w:tabs>
          </w:pPr>
          <w:r>
            <w:rPr>
              <w:rFonts w:hint="eastAsia" w:asciiTheme="minorEastAsia" w:hAnsiTheme="minorEastAsia"/>
              <w:color w:val="auto"/>
              <w:szCs w:val="44"/>
              <w:highlight w:val="none"/>
            </w:rPr>
            <w:fldChar w:fldCharType="begin"/>
          </w:r>
          <w:r>
            <w:rPr>
              <w:rFonts w:hint="eastAsia" w:asciiTheme="minorEastAsia" w:hAnsiTheme="minorEastAsia"/>
              <w:szCs w:val="44"/>
              <w:highlight w:val="none"/>
            </w:rPr>
            <w:instrText xml:space="preserve"> HYPERLINK \l _Toc28292 </w:instrText>
          </w:r>
          <w:r>
            <w:rPr>
              <w:rFonts w:hint="eastAsia" w:asciiTheme="minorEastAsia" w:hAnsiTheme="minorEastAsia"/>
              <w:szCs w:val="44"/>
              <w:highlight w:val="none"/>
            </w:rPr>
            <w:fldChar w:fldCharType="separate"/>
          </w:r>
          <w:r>
            <w:rPr>
              <w:rFonts w:hint="eastAsia" w:asciiTheme="minorEastAsia" w:hAnsiTheme="minorEastAsia" w:eastAsiaTheme="minorEastAsia" w:cstheme="minorEastAsia"/>
              <w:bCs/>
              <w:i w:val="0"/>
            </w:rPr>
            <w:t xml:space="preserve">十七、 </w:t>
          </w:r>
          <w:r>
            <w:rPr>
              <w:rFonts w:hint="eastAsia" w:asciiTheme="minorEastAsia" w:hAnsiTheme="minorEastAsia" w:eastAsiaTheme="minorEastAsia" w:cstheme="minorEastAsia"/>
              <w:bCs/>
              <w:highlight w:val="none"/>
            </w:rPr>
            <w:t>违约责任</w:t>
          </w:r>
          <w:r>
            <w:tab/>
          </w:r>
          <w:r>
            <w:fldChar w:fldCharType="begin"/>
          </w:r>
          <w:r>
            <w:instrText xml:space="preserve"> PAGEREF _Toc28292 \h </w:instrText>
          </w:r>
          <w:r>
            <w:fldChar w:fldCharType="separate"/>
          </w:r>
          <w:r>
            <w:t>48</w:t>
          </w:r>
          <w:r>
            <w:fldChar w:fldCharType="end"/>
          </w:r>
          <w:r>
            <w:rPr>
              <w:rFonts w:hint="eastAsia" w:asciiTheme="minorEastAsia" w:hAnsiTheme="minorEastAsia"/>
              <w:color w:val="auto"/>
              <w:szCs w:val="44"/>
              <w:highlight w:val="none"/>
            </w:rPr>
            <w:fldChar w:fldCharType="end"/>
          </w:r>
        </w:p>
        <w:p w14:paraId="795719A8">
          <w:pPr>
            <w:pStyle w:val="13"/>
            <w:tabs>
              <w:tab w:val="right" w:leader="dot" w:pos="8306"/>
            </w:tabs>
          </w:pPr>
          <w:r>
            <w:rPr>
              <w:rFonts w:hint="eastAsia" w:asciiTheme="minorEastAsia" w:hAnsiTheme="minorEastAsia"/>
              <w:color w:val="auto"/>
              <w:szCs w:val="44"/>
              <w:highlight w:val="none"/>
            </w:rPr>
            <w:fldChar w:fldCharType="begin"/>
          </w:r>
          <w:r>
            <w:rPr>
              <w:rFonts w:hint="eastAsia" w:asciiTheme="minorEastAsia" w:hAnsiTheme="minorEastAsia"/>
              <w:szCs w:val="44"/>
              <w:highlight w:val="none"/>
            </w:rPr>
            <w:instrText xml:space="preserve"> HYPERLINK \l _Toc22024 </w:instrText>
          </w:r>
          <w:r>
            <w:rPr>
              <w:rFonts w:hint="eastAsia" w:asciiTheme="minorEastAsia" w:hAnsiTheme="minorEastAsia"/>
              <w:szCs w:val="44"/>
              <w:highlight w:val="none"/>
            </w:rPr>
            <w:fldChar w:fldCharType="separate"/>
          </w:r>
          <w:r>
            <w:rPr>
              <w:rFonts w:hint="eastAsia"/>
              <w:szCs w:val="24"/>
              <w:highlight w:val="none"/>
            </w:rPr>
            <w:t>1</w:t>
          </w:r>
          <w:r>
            <w:rPr>
              <w:rFonts w:hint="eastAsia"/>
              <w:szCs w:val="24"/>
              <w:highlight w:val="none"/>
              <w:lang w:val="en-US" w:eastAsia="zh-CN"/>
            </w:rPr>
            <w:t>7</w:t>
          </w:r>
          <w:r>
            <w:rPr>
              <w:rFonts w:hint="eastAsia"/>
              <w:szCs w:val="24"/>
              <w:highlight w:val="none"/>
            </w:rPr>
            <w:t>.1合同终止条款</w:t>
          </w:r>
          <w:r>
            <w:tab/>
          </w:r>
          <w:r>
            <w:fldChar w:fldCharType="begin"/>
          </w:r>
          <w:r>
            <w:instrText xml:space="preserve"> PAGEREF _Toc22024 \h </w:instrText>
          </w:r>
          <w:r>
            <w:fldChar w:fldCharType="separate"/>
          </w:r>
          <w:r>
            <w:t>48</w:t>
          </w:r>
          <w:r>
            <w:fldChar w:fldCharType="end"/>
          </w:r>
          <w:r>
            <w:rPr>
              <w:rFonts w:hint="eastAsia" w:asciiTheme="minorEastAsia" w:hAnsiTheme="minorEastAsia"/>
              <w:color w:val="auto"/>
              <w:szCs w:val="44"/>
              <w:highlight w:val="none"/>
            </w:rPr>
            <w:fldChar w:fldCharType="end"/>
          </w:r>
        </w:p>
        <w:p w14:paraId="7EA29F28">
          <w:pPr>
            <w:pStyle w:val="13"/>
            <w:tabs>
              <w:tab w:val="right" w:leader="dot" w:pos="8306"/>
            </w:tabs>
          </w:pPr>
          <w:r>
            <w:rPr>
              <w:rFonts w:hint="eastAsia" w:asciiTheme="minorEastAsia" w:hAnsiTheme="minorEastAsia"/>
              <w:color w:val="auto"/>
              <w:szCs w:val="44"/>
              <w:highlight w:val="none"/>
            </w:rPr>
            <w:fldChar w:fldCharType="begin"/>
          </w:r>
          <w:r>
            <w:rPr>
              <w:rFonts w:hint="eastAsia" w:asciiTheme="minorEastAsia" w:hAnsiTheme="minorEastAsia"/>
              <w:szCs w:val="44"/>
              <w:highlight w:val="none"/>
            </w:rPr>
            <w:instrText xml:space="preserve"> HYPERLINK \l _Toc8678 </w:instrText>
          </w:r>
          <w:r>
            <w:rPr>
              <w:rFonts w:hint="eastAsia" w:asciiTheme="minorEastAsia" w:hAnsiTheme="minorEastAsia"/>
              <w:szCs w:val="44"/>
              <w:highlight w:val="none"/>
            </w:rPr>
            <w:fldChar w:fldCharType="separate"/>
          </w:r>
          <w:r>
            <w:rPr>
              <w:rFonts w:hint="eastAsia"/>
              <w:szCs w:val="24"/>
              <w:highlight w:val="none"/>
            </w:rPr>
            <w:t>1</w:t>
          </w:r>
          <w:r>
            <w:rPr>
              <w:rFonts w:hint="eastAsia"/>
              <w:szCs w:val="24"/>
              <w:highlight w:val="none"/>
              <w:lang w:val="en-US" w:eastAsia="zh-CN"/>
            </w:rPr>
            <w:t>7</w:t>
          </w:r>
          <w:r>
            <w:rPr>
              <w:rFonts w:hint="eastAsia"/>
              <w:szCs w:val="24"/>
              <w:highlight w:val="none"/>
            </w:rPr>
            <w:t>.2评分扣款说明</w:t>
          </w:r>
          <w:r>
            <w:tab/>
          </w:r>
          <w:r>
            <w:fldChar w:fldCharType="begin"/>
          </w:r>
          <w:r>
            <w:instrText xml:space="preserve"> PAGEREF _Toc8678 \h </w:instrText>
          </w:r>
          <w:r>
            <w:fldChar w:fldCharType="separate"/>
          </w:r>
          <w:r>
            <w:t>49</w:t>
          </w:r>
          <w:r>
            <w:fldChar w:fldCharType="end"/>
          </w:r>
          <w:r>
            <w:rPr>
              <w:rFonts w:hint="eastAsia" w:asciiTheme="minorEastAsia" w:hAnsiTheme="minorEastAsia"/>
              <w:color w:val="auto"/>
              <w:szCs w:val="44"/>
              <w:highlight w:val="none"/>
            </w:rPr>
            <w:fldChar w:fldCharType="end"/>
          </w:r>
        </w:p>
        <w:p w14:paraId="254FD317">
          <w:pPr>
            <w:pStyle w:val="12"/>
            <w:tabs>
              <w:tab w:val="right" w:leader="dot" w:pos="8306"/>
            </w:tabs>
          </w:pPr>
          <w:r>
            <w:rPr>
              <w:rFonts w:hint="eastAsia" w:asciiTheme="minorEastAsia" w:hAnsiTheme="minorEastAsia"/>
              <w:color w:val="auto"/>
              <w:szCs w:val="44"/>
              <w:highlight w:val="none"/>
            </w:rPr>
            <w:fldChar w:fldCharType="begin"/>
          </w:r>
          <w:r>
            <w:rPr>
              <w:rFonts w:hint="eastAsia" w:asciiTheme="minorEastAsia" w:hAnsiTheme="minorEastAsia"/>
              <w:szCs w:val="44"/>
              <w:highlight w:val="none"/>
            </w:rPr>
            <w:instrText xml:space="preserve"> HYPERLINK \l _Toc14973 </w:instrText>
          </w:r>
          <w:r>
            <w:rPr>
              <w:rFonts w:hint="eastAsia" w:asciiTheme="minorEastAsia" w:hAnsiTheme="minorEastAsia"/>
              <w:szCs w:val="44"/>
              <w:highlight w:val="none"/>
            </w:rPr>
            <w:fldChar w:fldCharType="separate"/>
          </w:r>
          <w:r>
            <w:rPr>
              <w:rFonts w:hint="eastAsia" w:asciiTheme="minorEastAsia" w:hAnsiTheme="minorEastAsia" w:eastAsiaTheme="minorEastAsia" w:cstheme="minorEastAsia"/>
              <w:bCs/>
              <w:i w:val="0"/>
            </w:rPr>
            <w:t xml:space="preserve">十八、 </w:t>
          </w:r>
          <w:r>
            <w:rPr>
              <w:rFonts w:hint="eastAsia" w:asciiTheme="minorEastAsia" w:hAnsiTheme="minorEastAsia" w:eastAsiaTheme="minorEastAsia" w:cstheme="minorEastAsia"/>
              <w:bCs/>
              <w:highlight w:val="none"/>
            </w:rPr>
            <w:t>效力说明</w:t>
          </w:r>
          <w:r>
            <w:tab/>
          </w:r>
          <w:r>
            <w:fldChar w:fldCharType="begin"/>
          </w:r>
          <w:r>
            <w:instrText xml:space="preserve"> PAGEREF _Toc14973 \h </w:instrText>
          </w:r>
          <w:r>
            <w:fldChar w:fldCharType="separate"/>
          </w:r>
          <w:r>
            <w:t>49</w:t>
          </w:r>
          <w:r>
            <w:fldChar w:fldCharType="end"/>
          </w:r>
          <w:r>
            <w:rPr>
              <w:rFonts w:hint="eastAsia" w:asciiTheme="minorEastAsia" w:hAnsiTheme="minorEastAsia"/>
              <w:color w:val="auto"/>
              <w:szCs w:val="44"/>
              <w:highlight w:val="none"/>
            </w:rPr>
            <w:fldChar w:fldCharType="end"/>
          </w:r>
        </w:p>
        <w:p w14:paraId="743E494E">
          <w:pPr>
            <w:spacing w:before="0" w:beforeLines="0" w:after="0" w:afterLines="0" w:line="240" w:lineRule="auto"/>
            <w:ind w:left="0" w:leftChars="0" w:right="0" w:rightChars="0" w:firstLine="0" w:firstLineChars="0"/>
            <w:jc w:val="center"/>
            <w:rPr>
              <w:rFonts w:hint="eastAsia" w:asciiTheme="minorEastAsia" w:hAnsiTheme="minorEastAsia"/>
              <w:color w:val="auto"/>
              <w:szCs w:val="44"/>
              <w:highlight w:val="none"/>
            </w:rPr>
          </w:pPr>
          <w:r>
            <w:rPr>
              <w:rFonts w:hint="eastAsia" w:asciiTheme="minorEastAsia" w:hAnsiTheme="minorEastAsia"/>
              <w:b/>
              <w:color w:val="auto"/>
              <w:szCs w:val="44"/>
              <w:highlight w:val="none"/>
            </w:rPr>
            <w:fldChar w:fldCharType="end"/>
          </w:r>
        </w:p>
      </w:sdtContent>
    </w:sdt>
    <w:p w14:paraId="45004BF3">
      <w:pPr>
        <w:jc w:val="center"/>
        <w:rPr>
          <w:rFonts w:hint="eastAsia" w:asciiTheme="minorEastAsia" w:hAnsiTheme="minorEastAsia"/>
          <w:color w:val="auto"/>
          <w:szCs w:val="44"/>
          <w:highlight w:val="none"/>
        </w:rPr>
      </w:pPr>
    </w:p>
    <w:p w14:paraId="0DC851BE">
      <w:pPr>
        <w:jc w:val="center"/>
        <w:rPr>
          <w:rFonts w:hint="eastAsia" w:asciiTheme="minorEastAsia" w:hAnsiTheme="minorEastAsia"/>
          <w:color w:val="auto"/>
          <w:szCs w:val="44"/>
          <w:highlight w:val="none"/>
        </w:rPr>
      </w:pPr>
    </w:p>
    <w:p w14:paraId="7742FD04">
      <w:pPr>
        <w:rPr>
          <w:rFonts w:eastAsia="黑体"/>
          <w:b/>
          <w:color w:val="auto"/>
          <w:sz w:val="48"/>
          <w:szCs w:val="44"/>
          <w:highlight w:val="none"/>
        </w:rPr>
      </w:pPr>
    </w:p>
    <w:p w14:paraId="57BA301B">
      <w:pPr>
        <w:rPr>
          <w:rFonts w:hint="eastAsia" w:asciiTheme="minorEastAsia" w:hAnsiTheme="minorEastAsia" w:eastAsiaTheme="minorEastAsia"/>
          <w:b/>
          <w:color w:val="auto"/>
          <w:highlight w:val="none"/>
        </w:rPr>
        <w:sectPr>
          <w:footerReference r:id="rId3" w:type="default"/>
          <w:pgSz w:w="11906" w:h="16838"/>
          <w:pgMar w:top="1440" w:right="1800" w:bottom="1440" w:left="1800" w:header="851" w:footer="992" w:gutter="0"/>
          <w:pgNumType w:start="1"/>
          <w:cols w:space="425" w:num="1"/>
          <w:docGrid w:type="lines" w:linePitch="312" w:charSpace="0"/>
        </w:sectPr>
      </w:pPr>
      <w:bookmarkStart w:id="6" w:name="_Toc928"/>
    </w:p>
    <w:p w14:paraId="16BA016D">
      <w:pPr>
        <w:pStyle w:val="2"/>
        <w:jc w:val="both"/>
        <w:outlineLvl w:val="9"/>
        <w:rPr>
          <w:rFonts w:hint="eastAsia"/>
          <w:color w:val="auto"/>
          <w:highlight w:val="none"/>
        </w:rPr>
      </w:pPr>
    </w:p>
    <w:p w14:paraId="6B0505C6">
      <w:pPr>
        <w:pStyle w:val="4"/>
        <w:pageBreakBefore w:val="0"/>
        <w:kinsoku/>
        <w:wordWrap/>
        <w:overflowPunct/>
        <w:autoSpaceDE/>
        <w:autoSpaceDN/>
        <w:bidi w:val="0"/>
        <w:spacing w:beforeAutospacing="0" w:afterAutospacing="0" w:line="360" w:lineRule="auto"/>
        <w:outlineLvl w:val="0"/>
        <w:rPr>
          <w:rFonts w:hint="eastAsia" w:asciiTheme="minorEastAsia" w:hAnsiTheme="minorEastAsia" w:eastAsiaTheme="minorEastAsia"/>
          <w:b/>
          <w:color w:val="auto"/>
          <w:highlight w:val="none"/>
        </w:rPr>
      </w:pPr>
      <w:bookmarkStart w:id="7" w:name="_Toc12480"/>
      <w:r>
        <w:rPr>
          <w:rFonts w:hint="eastAsia" w:asciiTheme="minorEastAsia" w:hAnsiTheme="minorEastAsia" w:eastAsiaTheme="minorEastAsia"/>
          <w:b/>
          <w:color w:val="auto"/>
          <w:highlight w:val="none"/>
        </w:rPr>
        <w:t>总则</w:t>
      </w:r>
      <w:bookmarkEnd w:id="6"/>
      <w:bookmarkEnd w:id="7"/>
    </w:p>
    <w:p w14:paraId="558B8F3E">
      <w:pPr>
        <w:pStyle w:val="5"/>
        <w:pageBreakBefore w:val="0"/>
        <w:kinsoku/>
        <w:wordWrap/>
        <w:overflowPunct/>
        <w:autoSpaceDE/>
        <w:autoSpaceDN/>
        <w:bidi w:val="0"/>
        <w:spacing w:beforeAutospacing="0" w:afterAutospacing="0" w:line="360" w:lineRule="auto"/>
        <w:outlineLvl w:val="1"/>
        <w:rPr>
          <w:rFonts w:hint="eastAsia"/>
          <w:color w:val="auto"/>
          <w:sz w:val="24"/>
          <w:szCs w:val="24"/>
          <w:highlight w:val="none"/>
        </w:rPr>
      </w:pPr>
      <w:bookmarkStart w:id="8" w:name="_Toc392634969"/>
      <w:bookmarkStart w:id="9" w:name="_Toc20462"/>
      <w:bookmarkStart w:id="10" w:name="_Toc28696"/>
      <w:bookmarkStart w:id="11" w:name="_Toc257207483"/>
      <w:bookmarkStart w:id="12" w:name="_Toc392634963"/>
      <w:r>
        <w:rPr>
          <w:rFonts w:hint="eastAsia"/>
          <w:color w:val="auto"/>
          <w:sz w:val="24"/>
          <w:szCs w:val="24"/>
          <w:highlight w:val="none"/>
        </w:rPr>
        <w:t>依据的标准和规范</w:t>
      </w:r>
      <w:bookmarkEnd w:id="8"/>
      <w:bookmarkEnd w:id="9"/>
      <w:bookmarkEnd w:id="10"/>
    </w:p>
    <w:bookmarkEnd w:id="11"/>
    <w:bookmarkEnd w:id="12"/>
    <w:p w14:paraId="0A905421">
      <w:pPr>
        <w:pageBreakBefore w:val="0"/>
        <w:kinsoku/>
        <w:wordWrap/>
        <w:overflowPunct/>
        <w:autoSpaceDE/>
        <w:autoSpaceDN/>
        <w:bidi w:val="0"/>
        <w:spacing w:beforeAutospacing="0" w:afterAutospacing="0" w:line="360" w:lineRule="auto"/>
        <w:ind w:firstLine="480"/>
        <w:rPr>
          <w:color w:val="auto"/>
          <w:sz w:val="24"/>
          <w:highlight w:val="none"/>
        </w:rPr>
      </w:pPr>
      <w:r>
        <w:rPr>
          <w:rFonts w:hint="eastAsia"/>
          <w:color w:val="auto"/>
          <w:sz w:val="24"/>
          <w:highlight w:val="none"/>
        </w:rPr>
        <w:t>项目建设应遵循国家标准、电力行业标准、工信部、南方电网公司、广东电网公司、广州供电局颁布的标准（包括标准、制度、规范、管理办法）开展本项目工作，本项目所有成果应符合上述标准要求。所用的标准必须是最新版本，如果这些标准的内容有矛盾时，应按照最高标准的条款执行或按双方协商同意 的标准或条款执行。</w:t>
      </w:r>
    </w:p>
    <w:p w14:paraId="245187EA">
      <w:pPr>
        <w:pageBreakBefore w:val="0"/>
        <w:kinsoku/>
        <w:wordWrap/>
        <w:overflowPunct/>
        <w:autoSpaceDE/>
        <w:autoSpaceDN/>
        <w:bidi w:val="0"/>
        <w:spacing w:beforeAutospacing="0" w:afterAutospacing="0" w:line="360" w:lineRule="auto"/>
        <w:ind w:firstLine="480" w:firstLineChars="200"/>
        <w:rPr>
          <w:color w:val="auto"/>
          <w:sz w:val="24"/>
          <w:highlight w:val="none"/>
        </w:rPr>
      </w:pPr>
      <w:r>
        <w:rPr>
          <w:rFonts w:hint="eastAsia"/>
          <w:color w:val="auto"/>
          <w:sz w:val="24"/>
          <w:highlight w:val="none"/>
        </w:rPr>
        <w:t>相关标准和文件包括但不限于：</w:t>
      </w:r>
    </w:p>
    <w:p w14:paraId="59722FCF">
      <w:pPr>
        <w:pageBreakBefore w:val="0"/>
        <w:numPr>
          <w:ilvl w:val="0"/>
          <w:numId w:val="3"/>
        </w:numPr>
        <w:kinsoku/>
        <w:wordWrap/>
        <w:overflowPunct/>
        <w:autoSpaceDE/>
        <w:autoSpaceDN/>
        <w:bidi w:val="0"/>
        <w:spacing w:beforeAutospacing="0" w:afterAutospacing="0" w:line="360" w:lineRule="auto"/>
        <w:ind w:firstLine="15"/>
        <w:rPr>
          <w:color w:val="auto"/>
          <w:sz w:val="24"/>
          <w:highlight w:val="none"/>
          <w:lang w:val="sv-SE"/>
        </w:rPr>
      </w:pPr>
      <w:r>
        <w:rPr>
          <w:rFonts w:hint="eastAsia"/>
          <w:color w:val="auto"/>
          <w:sz w:val="24"/>
          <w:highlight w:val="none"/>
          <w:lang w:val="sv-SE"/>
        </w:rPr>
        <w:t>《信息安全技术网络安全等级保护基本要求》（GB/T 22239-2019）</w:t>
      </w:r>
    </w:p>
    <w:p w14:paraId="4EEEB98A">
      <w:pPr>
        <w:pageBreakBefore w:val="0"/>
        <w:numPr>
          <w:ilvl w:val="0"/>
          <w:numId w:val="3"/>
        </w:numPr>
        <w:kinsoku/>
        <w:wordWrap/>
        <w:overflowPunct/>
        <w:autoSpaceDE/>
        <w:autoSpaceDN/>
        <w:bidi w:val="0"/>
        <w:spacing w:beforeAutospacing="0" w:afterAutospacing="0" w:line="360" w:lineRule="auto"/>
        <w:ind w:firstLine="15"/>
        <w:rPr>
          <w:color w:val="auto"/>
          <w:sz w:val="24"/>
          <w:highlight w:val="none"/>
          <w:lang w:val="sv-SE"/>
        </w:rPr>
      </w:pPr>
      <w:r>
        <w:rPr>
          <w:rFonts w:hint="eastAsia"/>
          <w:color w:val="auto"/>
          <w:sz w:val="24"/>
          <w:highlight w:val="none"/>
        </w:rPr>
        <w:t>《“数据要素×”三年行动计划（2024-2026年）》</w:t>
      </w:r>
    </w:p>
    <w:p w14:paraId="38C36A2C">
      <w:pPr>
        <w:pageBreakBefore w:val="0"/>
        <w:numPr>
          <w:ilvl w:val="0"/>
          <w:numId w:val="3"/>
        </w:numPr>
        <w:kinsoku/>
        <w:wordWrap/>
        <w:overflowPunct/>
        <w:autoSpaceDE/>
        <w:autoSpaceDN/>
        <w:bidi w:val="0"/>
        <w:spacing w:beforeAutospacing="0" w:afterAutospacing="0" w:line="360" w:lineRule="auto"/>
        <w:ind w:firstLine="15"/>
        <w:rPr>
          <w:color w:val="auto"/>
          <w:sz w:val="24"/>
          <w:highlight w:val="none"/>
          <w:lang w:val="sv-SE"/>
        </w:rPr>
      </w:pPr>
      <w:r>
        <w:rPr>
          <w:rFonts w:hint="eastAsia"/>
          <w:color w:val="auto"/>
          <w:sz w:val="24"/>
          <w:highlight w:val="none"/>
        </w:rPr>
        <w:t>《可信数据空间发展行动计划（2024—2028年）》</w:t>
      </w:r>
    </w:p>
    <w:p w14:paraId="1C1F2309">
      <w:pPr>
        <w:pageBreakBefore w:val="0"/>
        <w:numPr>
          <w:ilvl w:val="0"/>
          <w:numId w:val="3"/>
        </w:numPr>
        <w:kinsoku/>
        <w:wordWrap/>
        <w:overflowPunct/>
        <w:autoSpaceDE/>
        <w:autoSpaceDN/>
        <w:bidi w:val="0"/>
        <w:spacing w:beforeAutospacing="0" w:afterAutospacing="0" w:line="360" w:lineRule="auto"/>
        <w:ind w:firstLine="15"/>
        <w:rPr>
          <w:color w:val="auto"/>
          <w:sz w:val="24"/>
          <w:highlight w:val="none"/>
        </w:rPr>
      </w:pPr>
      <w:r>
        <w:rPr>
          <w:rFonts w:hint="eastAsia"/>
          <w:color w:val="auto"/>
          <w:sz w:val="24"/>
          <w:highlight w:val="none"/>
        </w:rPr>
        <w:t>《关于完善数据流通安全治理 更好促进数据要素市场化价值化的实施方案》</w:t>
      </w:r>
    </w:p>
    <w:p w14:paraId="265FC153">
      <w:pPr>
        <w:pageBreakBefore w:val="0"/>
        <w:numPr>
          <w:ilvl w:val="0"/>
          <w:numId w:val="3"/>
        </w:numPr>
        <w:kinsoku/>
        <w:wordWrap/>
        <w:overflowPunct/>
        <w:autoSpaceDE/>
        <w:autoSpaceDN/>
        <w:bidi w:val="0"/>
        <w:spacing w:beforeAutospacing="0" w:afterAutospacing="0" w:line="360" w:lineRule="auto"/>
        <w:ind w:firstLine="15"/>
        <w:rPr>
          <w:color w:val="auto"/>
          <w:sz w:val="24"/>
          <w:highlight w:val="none"/>
          <w:lang w:val="sv-SE"/>
        </w:rPr>
      </w:pPr>
      <w:r>
        <w:rPr>
          <w:rFonts w:hint="eastAsia"/>
          <w:color w:val="auto"/>
          <w:sz w:val="24"/>
          <w:highlight w:val="none"/>
          <w:lang w:val="sv-SE"/>
        </w:rPr>
        <w:t>《中国南方电网有限责任公司发展战略纲要》</w:t>
      </w:r>
    </w:p>
    <w:p w14:paraId="12065BC1">
      <w:pPr>
        <w:pageBreakBefore w:val="0"/>
        <w:numPr>
          <w:ilvl w:val="0"/>
          <w:numId w:val="3"/>
        </w:numPr>
        <w:kinsoku/>
        <w:wordWrap/>
        <w:overflowPunct/>
        <w:autoSpaceDE/>
        <w:autoSpaceDN/>
        <w:bidi w:val="0"/>
        <w:spacing w:beforeAutospacing="0" w:afterAutospacing="0" w:line="360" w:lineRule="auto"/>
        <w:ind w:firstLine="15"/>
        <w:rPr>
          <w:color w:val="auto"/>
          <w:sz w:val="24"/>
          <w:highlight w:val="none"/>
          <w:lang w:val="sv-SE"/>
        </w:rPr>
      </w:pPr>
      <w:r>
        <w:rPr>
          <w:rFonts w:hint="eastAsia"/>
          <w:color w:val="auto"/>
          <w:sz w:val="24"/>
          <w:highlight w:val="none"/>
          <w:lang w:val="sv-SE"/>
        </w:rPr>
        <w:t>《中国南方电网有限责任公司信息化职能战略》</w:t>
      </w:r>
    </w:p>
    <w:p w14:paraId="4FFD5850">
      <w:pPr>
        <w:pageBreakBefore w:val="0"/>
        <w:numPr>
          <w:ilvl w:val="0"/>
          <w:numId w:val="3"/>
        </w:numPr>
        <w:kinsoku/>
        <w:wordWrap/>
        <w:overflowPunct/>
        <w:autoSpaceDE/>
        <w:autoSpaceDN/>
        <w:bidi w:val="0"/>
        <w:spacing w:beforeAutospacing="0" w:afterAutospacing="0" w:line="360" w:lineRule="auto"/>
        <w:ind w:firstLine="15"/>
        <w:rPr>
          <w:color w:val="auto"/>
          <w:sz w:val="24"/>
          <w:highlight w:val="none"/>
          <w:lang w:val="sv-SE"/>
        </w:rPr>
      </w:pPr>
      <w:r>
        <w:rPr>
          <w:rFonts w:hint="eastAsia"/>
          <w:color w:val="auto"/>
          <w:sz w:val="24"/>
          <w:highlight w:val="none"/>
          <w:lang w:val="sv-SE"/>
        </w:rPr>
        <w:t>《中国南方电网有限责任公司信息化项目建设管理细则》</w:t>
      </w:r>
    </w:p>
    <w:p w14:paraId="3504DB82">
      <w:pPr>
        <w:pageBreakBefore w:val="0"/>
        <w:numPr>
          <w:ilvl w:val="0"/>
          <w:numId w:val="3"/>
        </w:numPr>
        <w:kinsoku/>
        <w:wordWrap/>
        <w:overflowPunct/>
        <w:autoSpaceDE/>
        <w:autoSpaceDN/>
        <w:bidi w:val="0"/>
        <w:spacing w:beforeAutospacing="0" w:afterAutospacing="0" w:line="360" w:lineRule="auto"/>
        <w:ind w:firstLine="15"/>
        <w:rPr>
          <w:color w:val="auto"/>
          <w:sz w:val="24"/>
          <w:highlight w:val="none"/>
          <w:lang w:val="sv-SE"/>
        </w:rPr>
      </w:pPr>
      <w:r>
        <w:rPr>
          <w:rFonts w:hint="eastAsia"/>
          <w:color w:val="auto"/>
          <w:sz w:val="24"/>
          <w:highlight w:val="none"/>
          <w:lang w:val="sv-SE"/>
        </w:rPr>
        <w:t>《南方电网公司数字南网建设技术架构管控工作指引（试行）》</w:t>
      </w:r>
    </w:p>
    <w:p w14:paraId="0443A6A0">
      <w:pPr>
        <w:pageBreakBefore w:val="0"/>
        <w:numPr>
          <w:ilvl w:val="0"/>
          <w:numId w:val="3"/>
        </w:numPr>
        <w:kinsoku/>
        <w:wordWrap/>
        <w:overflowPunct/>
        <w:autoSpaceDE/>
        <w:autoSpaceDN/>
        <w:bidi w:val="0"/>
        <w:spacing w:beforeAutospacing="0" w:afterAutospacing="0" w:line="360" w:lineRule="auto"/>
        <w:ind w:firstLine="15"/>
        <w:rPr>
          <w:color w:val="auto"/>
          <w:sz w:val="24"/>
          <w:highlight w:val="none"/>
          <w:lang w:val="sv-SE"/>
        </w:rPr>
      </w:pPr>
      <w:r>
        <w:rPr>
          <w:rFonts w:hint="eastAsia"/>
          <w:color w:val="auto"/>
          <w:sz w:val="24"/>
          <w:highlight w:val="none"/>
          <w:lang w:val="sv-SE"/>
        </w:rPr>
        <w:t>《中国南方电网有限责任公司软硬件平台架构和资源分配指导意见》</w:t>
      </w:r>
    </w:p>
    <w:p w14:paraId="00999151">
      <w:pPr>
        <w:pageBreakBefore w:val="0"/>
        <w:numPr>
          <w:ilvl w:val="0"/>
          <w:numId w:val="3"/>
        </w:numPr>
        <w:kinsoku/>
        <w:wordWrap/>
        <w:overflowPunct/>
        <w:autoSpaceDE/>
        <w:autoSpaceDN/>
        <w:bidi w:val="0"/>
        <w:spacing w:beforeAutospacing="0" w:afterAutospacing="0" w:line="360" w:lineRule="auto"/>
        <w:ind w:firstLine="15"/>
        <w:rPr>
          <w:color w:val="auto"/>
          <w:sz w:val="24"/>
          <w:highlight w:val="none"/>
          <w:lang w:val="sv-SE"/>
        </w:rPr>
      </w:pPr>
      <w:r>
        <w:rPr>
          <w:rFonts w:hint="eastAsia"/>
          <w:color w:val="auto"/>
          <w:sz w:val="24"/>
          <w:highlight w:val="none"/>
          <w:lang w:val="sv-SE"/>
        </w:rPr>
        <w:t>《关于进一步加强公司信息化项目和数据管理工作的通知》</w:t>
      </w:r>
    </w:p>
    <w:p w14:paraId="1E9F81BF">
      <w:pPr>
        <w:pageBreakBefore w:val="0"/>
        <w:numPr>
          <w:ilvl w:val="0"/>
          <w:numId w:val="3"/>
        </w:numPr>
        <w:kinsoku/>
        <w:wordWrap/>
        <w:overflowPunct/>
        <w:autoSpaceDE/>
        <w:autoSpaceDN/>
        <w:bidi w:val="0"/>
        <w:spacing w:beforeAutospacing="0" w:afterAutospacing="0" w:line="360" w:lineRule="auto"/>
        <w:ind w:firstLine="15"/>
        <w:rPr>
          <w:color w:val="auto"/>
          <w:sz w:val="24"/>
          <w:highlight w:val="none"/>
          <w:lang w:val="sv-SE"/>
        </w:rPr>
      </w:pPr>
      <w:r>
        <w:rPr>
          <w:rFonts w:hint="eastAsia"/>
          <w:color w:val="auto"/>
          <w:sz w:val="24"/>
          <w:highlight w:val="none"/>
          <w:lang w:val="sv-SE"/>
        </w:rPr>
        <w:t>《中国南方电网有限责任公司数据资产管理办法》</w:t>
      </w:r>
    </w:p>
    <w:p w14:paraId="4D1D9430">
      <w:pPr>
        <w:pageBreakBefore w:val="0"/>
        <w:numPr>
          <w:ilvl w:val="0"/>
          <w:numId w:val="3"/>
        </w:numPr>
        <w:kinsoku/>
        <w:wordWrap/>
        <w:overflowPunct/>
        <w:autoSpaceDE/>
        <w:autoSpaceDN/>
        <w:bidi w:val="0"/>
        <w:spacing w:beforeAutospacing="0" w:afterAutospacing="0" w:line="360" w:lineRule="auto"/>
        <w:ind w:firstLine="15"/>
        <w:rPr>
          <w:color w:val="auto"/>
          <w:sz w:val="24"/>
          <w:highlight w:val="none"/>
          <w:lang w:val="sv-SE"/>
        </w:rPr>
      </w:pPr>
      <w:r>
        <w:rPr>
          <w:rFonts w:hint="eastAsia"/>
          <w:color w:val="auto"/>
          <w:sz w:val="24"/>
          <w:highlight w:val="none"/>
          <w:lang w:val="sv-SE"/>
        </w:rPr>
        <w:t>《中国南方电网有限责任公司数据资产管理行动计划》</w:t>
      </w:r>
    </w:p>
    <w:p w14:paraId="7FB4391C">
      <w:pPr>
        <w:pageBreakBefore w:val="0"/>
        <w:numPr>
          <w:ilvl w:val="0"/>
          <w:numId w:val="3"/>
        </w:numPr>
        <w:kinsoku/>
        <w:wordWrap/>
        <w:overflowPunct/>
        <w:autoSpaceDE/>
        <w:autoSpaceDN/>
        <w:bidi w:val="0"/>
        <w:spacing w:beforeAutospacing="0" w:afterAutospacing="0" w:line="360" w:lineRule="auto"/>
        <w:ind w:firstLine="15"/>
        <w:rPr>
          <w:color w:val="auto"/>
          <w:sz w:val="24"/>
          <w:highlight w:val="none"/>
          <w:lang w:val="sv-SE"/>
        </w:rPr>
      </w:pPr>
      <w:r>
        <w:rPr>
          <w:rFonts w:hint="eastAsia"/>
          <w:color w:val="auto"/>
          <w:sz w:val="24"/>
          <w:highlight w:val="none"/>
          <w:lang w:val="sv-SE"/>
        </w:rPr>
        <w:t>《中国南方电网有限责任公司数据模型管理细则》</w:t>
      </w:r>
    </w:p>
    <w:p w14:paraId="15E81BA2">
      <w:pPr>
        <w:pageBreakBefore w:val="0"/>
        <w:numPr>
          <w:ilvl w:val="0"/>
          <w:numId w:val="3"/>
        </w:numPr>
        <w:kinsoku/>
        <w:wordWrap/>
        <w:overflowPunct/>
        <w:autoSpaceDE/>
        <w:autoSpaceDN/>
        <w:bidi w:val="0"/>
        <w:spacing w:beforeAutospacing="0" w:afterAutospacing="0" w:line="360" w:lineRule="auto"/>
        <w:ind w:firstLine="15"/>
        <w:rPr>
          <w:color w:val="auto"/>
          <w:sz w:val="24"/>
          <w:highlight w:val="none"/>
          <w:lang w:val="sv-SE"/>
        </w:rPr>
      </w:pPr>
      <w:r>
        <w:rPr>
          <w:rFonts w:hint="eastAsia"/>
          <w:color w:val="auto"/>
          <w:sz w:val="24"/>
          <w:highlight w:val="none"/>
          <w:lang w:val="sv-SE"/>
        </w:rPr>
        <w:t>《中国南方电网有限责任公司数据应用管理细则》</w:t>
      </w:r>
    </w:p>
    <w:p w14:paraId="4EDC00AF">
      <w:pPr>
        <w:pageBreakBefore w:val="0"/>
        <w:numPr>
          <w:ilvl w:val="0"/>
          <w:numId w:val="3"/>
        </w:numPr>
        <w:kinsoku/>
        <w:wordWrap/>
        <w:overflowPunct/>
        <w:autoSpaceDE/>
        <w:autoSpaceDN/>
        <w:bidi w:val="0"/>
        <w:spacing w:beforeAutospacing="0" w:afterAutospacing="0" w:line="360" w:lineRule="auto"/>
        <w:ind w:firstLine="15"/>
        <w:rPr>
          <w:color w:val="auto"/>
          <w:sz w:val="24"/>
          <w:highlight w:val="none"/>
          <w:lang w:val="sv-SE"/>
        </w:rPr>
      </w:pPr>
      <w:r>
        <w:rPr>
          <w:rFonts w:hint="eastAsia"/>
          <w:color w:val="auto"/>
          <w:sz w:val="24"/>
          <w:highlight w:val="none"/>
          <w:lang w:val="sv-SE"/>
        </w:rPr>
        <w:t>《中国南方电网有限责任公司数据共享开放管理细则》</w:t>
      </w:r>
    </w:p>
    <w:p w14:paraId="67D38E43">
      <w:pPr>
        <w:pageBreakBefore w:val="0"/>
        <w:numPr>
          <w:ilvl w:val="0"/>
          <w:numId w:val="3"/>
        </w:numPr>
        <w:kinsoku/>
        <w:wordWrap/>
        <w:overflowPunct/>
        <w:autoSpaceDE/>
        <w:autoSpaceDN/>
        <w:bidi w:val="0"/>
        <w:spacing w:beforeAutospacing="0" w:afterAutospacing="0" w:line="360" w:lineRule="auto"/>
        <w:ind w:firstLine="15"/>
        <w:rPr>
          <w:color w:val="auto"/>
          <w:sz w:val="24"/>
          <w:highlight w:val="none"/>
          <w:lang w:val="sv-SE"/>
        </w:rPr>
      </w:pPr>
      <w:r>
        <w:rPr>
          <w:rFonts w:hint="eastAsia"/>
          <w:color w:val="auto"/>
          <w:sz w:val="24"/>
          <w:highlight w:val="none"/>
          <w:lang w:val="sv-SE"/>
        </w:rPr>
        <w:t>《中国南方电网有限责任公司信息安全保障体系》</w:t>
      </w:r>
    </w:p>
    <w:p w14:paraId="0073D4D8">
      <w:pPr>
        <w:pageBreakBefore w:val="0"/>
        <w:numPr>
          <w:ilvl w:val="0"/>
          <w:numId w:val="3"/>
        </w:numPr>
        <w:kinsoku/>
        <w:wordWrap/>
        <w:overflowPunct/>
        <w:autoSpaceDE/>
        <w:autoSpaceDN/>
        <w:bidi w:val="0"/>
        <w:spacing w:beforeAutospacing="0" w:afterAutospacing="0" w:line="360" w:lineRule="auto"/>
        <w:ind w:firstLine="15"/>
        <w:rPr>
          <w:color w:val="auto"/>
          <w:sz w:val="24"/>
          <w:highlight w:val="none"/>
          <w:lang w:val="sv-SE"/>
        </w:rPr>
      </w:pPr>
      <w:r>
        <w:rPr>
          <w:rFonts w:hint="eastAsia"/>
          <w:color w:val="auto"/>
          <w:sz w:val="24"/>
          <w:highlight w:val="none"/>
          <w:lang w:val="sv-SE"/>
        </w:rPr>
        <w:t>《中国南方电网有限责任公司网络安全管理办法》</w:t>
      </w:r>
    </w:p>
    <w:p w14:paraId="1836266A">
      <w:pPr>
        <w:pageBreakBefore w:val="0"/>
        <w:numPr>
          <w:ilvl w:val="0"/>
          <w:numId w:val="3"/>
        </w:numPr>
        <w:kinsoku/>
        <w:wordWrap/>
        <w:overflowPunct/>
        <w:autoSpaceDE/>
        <w:autoSpaceDN/>
        <w:bidi w:val="0"/>
        <w:spacing w:beforeAutospacing="0" w:afterAutospacing="0" w:line="360" w:lineRule="auto"/>
        <w:ind w:firstLine="15"/>
        <w:rPr>
          <w:color w:val="auto"/>
          <w:sz w:val="24"/>
          <w:highlight w:val="none"/>
          <w:lang w:val="sv-SE"/>
        </w:rPr>
      </w:pPr>
      <w:r>
        <w:rPr>
          <w:rFonts w:hint="eastAsia"/>
          <w:color w:val="auto"/>
          <w:sz w:val="24"/>
          <w:highlight w:val="none"/>
          <w:lang w:val="sv-SE"/>
        </w:rPr>
        <w:t>《中国南方电网有限责任公司网络安全和数字化工作管理规定》</w:t>
      </w:r>
    </w:p>
    <w:p w14:paraId="3E5AE443">
      <w:pPr>
        <w:pageBreakBefore w:val="0"/>
        <w:numPr>
          <w:ilvl w:val="0"/>
          <w:numId w:val="3"/>
        </w:numPr>
        <w:kinsoku/>
        <w:wordWrap/>
        <w:overflowPunct/>
        <w:autoSpaceDE/>
        <w:autoSpaceDN/>
        <w:bidi w:val="0"/>
        <w:spacing w:beforeAutospacing="0" w:afterAutospacing="0" w:line="360" w:lineRule="auto"/>
        <w:ind w:firstLine="15"/>
        <w:rPr>
          <w:color w:val="auto"/>
          <w:sz w:val="24"/>
          <w:highlight w:val="none"/>
          <w:lang w:val="sv-SE"/>
        </w:rPr>
      </w:pPr>
      <w:r>
        <w:rPr>
          <w:rFonts w:hint="eastAsia"/>
          <w:color w:val="auto"/>
          <w:sz w:val="24"/>
          <w:highlight w:val="none"/>
          <w:lang w:val="sv-SE"/>
        </w:rPr>
        <w:t>《南方电网公司信息化项目预算编制与计算方法（20204年修订版）》</w:t>
      </w:r>
    </w:p>
    <w:p w14:paraId="4A93596E">
      <w:pPr>
        <w:pageBreakBefore w:val="0"/>
        <w:numPr>
          <w:ilvl w:val="0"/>
          <w:numId w:val="3"/>
        </w:numPr>
        <w:kinsoku/>
        <w:wordWrap/>
        <w:overflowPunct/>
        <w:autoSpaceDE/>
        <w:autoSpaceDN/>
        <w:bidi w:val="0"/>
        <w:spacing w:beforeAutospacing="0" w:afterAutospacing="0" w:line="360" w:lineRule="auto"/>
        <w:ind w:firstLine="15"/>
        <w:rPr>
          <w:rFonts w:hint="eastAsia"/>
          <w:color w:val="auto"/>
          <w:sz w:val="24"/>
          <w:highlight w:val="none"/>
          <w:lang w:val="sv-SE"/>
        </w:rPr>
      </w:pPr>
      <w:r>
        <w:rPr>
          <w:rFonts w:hint="eastAsia"/>
          <w:color w:val="auto"/>
          <w:sz w:val="24"/>
          <w:highlight w:val="none"/>
          <w:lang w:val="sv-SE"/>
        </w:rPr>
        <w:t>GB/T 43572-2023 《区块链和分布式记账技术 术语》</w:t>
      </w:r>
    </w:p>
    <w:p w14:paraId="74389710">
      <w:pPr>
        <w:pageBreakBefore w:val="0"/>
        <w:numPr>
          <w:ilvl w:val="0"/>
          <w:numId w:val="3"/>
        </w:numPr>
        <w:kinsoku/>
        <w:wordWrap/>
        <w:overflowPunct/>
        <w:autoSpaceDE/>
        <w:autoSpaceDN/>
        <w:bidi w:val="0"/>
        <w:spacing w:beforeAutospacing="0" w:afterAutospacing="0" w:line="360" w:lineRule="auto"/>
        <w:ind w:firstLine="15"/>
        <w:rPr>
          <w:rFonts w:hint="eastAsia"/>
          <w:color w:val="auto"/>
          <w:sz w:val="24"/>
          <w:highlight w:val="none"/>
          <w:lang w:val="sv-SE"/>
        </w:rPr>
      </w:pPr>
      <w:r>
        <w:rPr>
          <w:rFonts w:hint="eastAsia"/>
          <w:color w:val="auto"/>
          <w:sz w:val="24"/>
          <w:highlight w:val="none"/>
          <w:lang w:val="sv-SE"/>
        </w:rPr>
        <w:t>GB/T 43575-2023 《区块链和分布式记账技术 系统测试规范》</w:t>
      </w:r>
    </w:p>
    <w:p w14:paraId="0FA9BC8E">
      <w:pPr>
        <w:pageBreakBefore w:val="0"/>
        <w:numPr>
          <w:ilvl w:val="0"/>
          <w:numId w:val="3"/>
        </w:numPr>
        <w:kinsoku/>
        <w:wordWrap/>
        <w:overflowPunct/>
        <w:autoSpaceDE/>
        <w:autoSpaceDN/>
        <w:bidi w:val="0"/>
        <w:spacing w:beforeAutospacing="0" w:afterAutospacing="0" w:line="360" w:lineRule="auto"/>
        <w:ind w:firstLine="15"/>
        <w:rPr>
          <w:rFonts w:hint="eastAsia"/>
          <w:color w:val="auto"/>
          <w:sz w:val="24"/>
          <w:highlight w:val="none"/>
          <w:lang w:val="sv-SE"/>
        </w:rPr>
      </w:pPr>
      <w:r>
        <w:rPr>
          <w:rFonts w:hint="eastAsia"/>
          <w:color w:val="auto"/>
          <w:sz w:val="24"/>
          <w:highlight w:val="none"/>
          <w:lang w:val="sv-SE"/>
        </w:rPr>
        <w:t>GB/T 43579-2023 《区块链和分布式记账技术 智能合约生命周期管理》</w:t>
      </w:r>
    </w:p>
    <w:p w14:paraId="56B19603">
      <w:pPr>
        <w:pageBreakBefore w:val="0"/>
        <w:numPr>
          <w:ilvl w:val="0"/>
          <w:numId w:val="3"/>
        </w:numPr>
        <w:kinsoku/>
        <w:wordWrap/>
        <w:overflowPunct/>
        <w:autoSpaceDE/>
        <w:autoSpaceDN/>
        <w:bidi w:val="0"/>
        <w:spacing w:beforeAutospacing="0" w:afterAutospacing="0" w:line="360" w:lineRule="auto"/>
        <w:ind w:firstLine="15"/>
        <w:rPr>
          <w:rFonts w:hint="eastAsia"/>
          <w:color w:val="auto"/>
          <w:sz w:val="24"/>
          <w:highlight w:val="none"/>
          <w:lang w:val="sv-SE"/>
        </w:rPr>
      </w:pPr>
      <w:r>
        <w:rPr>
          <w:rFonts w:hint="eastAsia"/>
          <w:color w:val="auto"/>
          <w:sz w:val="24"/>
          <w:highlight w:val="none"/>
          <w:lang w:val="sv-SE"/>
        </w:rPr>
        <w:t>GB/T 43580-2023 《技术规范区块链和分布式记账技术 存证通用服务指南》</w:t>
      </w:r>
    </w:p>
    <w:p w14:paraId="2FA6AADA">
      <w:pPr>
        <w:pageBreakBefore w:val="0"/>
        <w:numPr>
          <w:ilvl w:val="0"/>
          <w:numId w:val="3"/>
        </w:numPr>
        <w:kinsoku/>
        <w:wordWrap/>
        <w:overflowPunct/>
        <w:autoSpaceDE/>
        <w:autoSpaceDN/>
        <w:bidi w:val="0"/>
        <w:spacing w:beforeAutospacing="0" w:afterAutospacing="0" w:line="360" w:lineRule="auto"/>
        <w:ind w:firstLine="15"/>
        <w:rPr>
          <w:rFonts w:hint="eastAsia"/>
          <w:color w:val="auto"/>
          <w:sz w:val="24"/>
          <w:highlight w:val="none"/>
          <w:lang w:val="sv-SE"/>
        </w:rPr>
      </w:pPr>
      <w:r>
        <w:rPr>
          <w:rFonts w:hint="eastAsia"/>
          <w:color w:val="auto"/>
          <w:sz w:val="24"/>
          <w:highlight w:val="none"/>
          <w:lang w:val="sv-SE"/>
        </w:rPr>
        <w:t>GB/T 43582-2023 《区块链和分布式记账技术 应用程序接口 中间件技术指南》</w:t>
      </w:r>
    </w:p>
    <w:p w14:paraId="1A2CDE9D">
      <w:pPr>
        <w:pageBreakBefore w:val="0"/>
        <w:numPr>
          <w:ilvl w:val="0"/>
          <w:numId w:val="3"/>
        </w:numPr>
        <w:kinsoku/>
        <w:wordWrap/>
        <w:overflowPunct/>
        <w:autoSpaceDE/>
        <w:autoSpaceDN/>
        <w:bidi w:val="0"/>
        <w:spacing w:beforeAutospacing="0" w:afterAutospacing="0" w:line="360" w:lineRule="auto"/>
        <w:ind w:firstLine="15"/>
        <w:rPr>
          <w:rFonts w:hint="eastAsia"/>
          <w:color w:val="auto"/>
          <w:sz w:val="24"/>
          <w:highlight w:val="none"/>
          <w:lang w:val="sv-SE"/>
        </w:rPr>
      </w:pPr>
      <w:r>
        <w:rPr>
          <w:rFonts w:hint="eastAsia"/>
          <w:color w:val="auto"/>
          <w:sz w:val="24"/>
          <w:highlight w:val="none"/>
          <w:lang w:val="sv-SE"/>
        </w:rPr>
        <w:t>GB/T 42752-2023 《区块链和分布式记账技术 参考架构》</w:t>
      </w:r>
    </w:p>
    <w:p w14:paraId="4B449FF5">
      <w:pPr>
        <w:pageBreakBefore w:val="0"/>
        <w:numPr>
          <w:ilvl w:val="0"/>
          <w:numId w:val="3"/>
        </w:numPr>
        <w:kinsoku/>
        <w:wordWrap/>
        <w:overflowPunct/>
        <w:autoSpaceDE/>
        <w:autoSpaceDN/>
        <w:bidi w:val="0"/>
        <w:spacing w:beforeAutospacing="0" w:afterAutospacing="0" w:line="360" w:lineRule="auto"/>
        <w:ind w:firstLine="15"/>
        <w:rPr>
          <w:rFonts w:hint="eastAsia"/>
          <w:color w:val="auto"/>
          <w:sz w:val="24"/>
          <w:highlight w:val="none"/>
          <w:lang w:val="sv-SE"/>
        </w:rPr>
      </w:pPr>
      <w:r>
        <w:rPr>
          <w:rFonts w:hint="eastAsia"/>
          <w:color w:val="auto"/>
          <w:sz w:val="24"/>
          <w:highlight w:val="none"/>
          <w:lang w:val="sv-SE"/>
        </w:rPr>
        <w:t>GB/T 22239-2019 《信息安全技术网络安全等级保护基本要求》</w:t>
      </w:r>
    </w:p>
    <w:p w14:paraId="2CC7E3B6">
      <w:pPr>
        <w:pageBreakBefore w:val="0"/>
        <w:numPr>
          <w:ilvl w:val="0"/>
          <w:numId w:val="3"/>
        </w:numPr>
        <w:kinsoku/>
        <w:wordWrap/>
        <w:overflowPunct/>
        <w:autoSpaceDE/>
        <w:autoSpaceDN/>
        <w:bidi w:val="0"/>
        <w:spacing w:beforeAutospacing="0" w:afterAutospacing="0" w:line="360" w:lineRule="auto"/>
        <w:ind w:firstLine="15"/>
        <w:rPr>
          <w:rFonts w:hint="eastAsia"/>
          <w:b/>
          <w:bCs/>
          <w:color w:val="auto"/>
          <w:sz w:val="24"/>
          <w:highlight w:val="none"/>
          <w:lang w:val="sv-SE"/>
        </w:rPr>
      </w:pPr>
      <w:r>
        <w:rPr>
          <w:rFonts w:hint="eastAsia"/>
          <w:b/>
          <w:bCs/>
          <w:color w:val="auto"/>
          <w:sz w:val="24"/>
          <w:highlight w:val="none"/>
          <w:lang w:val="sv-SE"/>
        </w:rPr>
        <w:t>T/GZBIA 001–2025 《政务区块链建设规范》，发布单位：广州市区块链产业协会，发布日期：2025年12月10日，实施日期：2026年1月1日</w:t>
      </w:r>
    </w:p>
    <w:p w14:paraId="11F8ED06">
      <w:pPr>
        <w:pageBreakBefore w:val="0"/>
        <w:numPr>
          <w:ilvl w:val="0"/>
          <w:numId w:val="3"/>
        </w:numPr>
        <w:kinsoku/>
        <w:wordWrap/>
        <w:overflowPunct/>
        <w:autoSpaceDE/>
        <w:autoSpaceDN/>
        <w:bidi w:val="0"/>
        <w:spacing w:beforeAutospacing="0" w:afterAutospacing="0" w:line="360" w:lineRule="auto"/>
        <w:ind w:firstLine="15"/>
        <w:rPr>
          <w:rFonts w:hint="eastAsia"/>
          <w:b/>
          <w:bCs/>
          <w:color w:val="auto"/>
          <w:sz w:val="24"/>
          <w:highlight w:val="none"/>
          <w:lang w:val="sv-SE"/>
        </w:rPr>
      </w:pPr>
      <w:r>
        <w:rPr>
          <w:rFonts w:hint="eastAsia"/>
          <w:b/>
          <w:bCs/>
          <w:color w:val="auto"/>
          <w:sz w:val="24"/>
          <w:highlight w:val="none"/>
          <w:lang w:val="sv-SE"/>
        </w:rPr>
        <w:t>T/GZBIA 002–2025 《政务区块链技术安全规范》，发布单位：广州市区块链产业协会，发布日期：2025年12月10日，实施日期：2026年1月1日</w:t>
      </w:r>
    </w:p>
    <w:p w14:paraId="37F7E90F">
      <w:pPr>
        <w:pageBreakBefore w:val="0"/>
        <w:numPr>
          <w:ilvl w:val="0"/>
          <w:numId w:val="3"/>
        </w:numPr>
        <w:kinsoku/>
        <w:wordWrap/>
        <w:overflowPunct/>
        <w:autoSpaceDE/>
        <w:autoSpaceDN/>
        <w:bidi w:val="0"/>
        <w:spacing w:beforeAutospacing="0" w:afterAutospacing="0" w:line="360" w:lineRule="auto"/>
        <w:ind w:firstLine="15"/>
        <w:rPr>
          <w:rFonts w:hint="eastAsia"/>
          <w:b/>
          <w:bCs/>
          <w:color w:val="auto"/>
          <w:sz w:val="24"/>
          <w:highlight w:val="none"/>
          <w:lang w:val="sv-SE"/>
        </w:rPr>
      </w:pPr>
      <w:r>
        <w:rPr>
          <w:rFonts w:hint="eastAsia"/>
          <w:b/>
          <w:bCs/>
          <w:color w:val="auto"/>
          <w:sz w:val="24"/>
          <w:highlight w:val="none"/>
          <w:lang w:val="sv-SE"/>
        </w:rPr>
        <w:t>T/GZBIA 003–2025 《政务区块链跨链数据格式规范》，发布单位：广州市区块链产业协会，发布日期：2025年12月10日，实施日期：2026年1月1日</w:t>
      </w:r>
    </w:p>
    <w:p w14:paraId="236007B6">
      <w:pPr>
        <w:pageBreakBefore w:val="0"/>
        <w:kinsoku/>
        <w:wordWrap/>
        <w:overflowPunct/>
        <w:autoSpaceDE/>
        <w:autoSpaceDN/>
        <w:bidi w:val="0"/>
        <w:spacing w:beforeAutospacing="0" w:afterAutospacing="0" w:line="360" w:lineRule="auto"/>
        <w:rPr>
          <w:color w:val="auto"/>
          <w:sz w:val="24"/>
          <w:highlight w:val="none"/>
          <w:lang w:val="sv-SE"/>
        </w:rPr>
      </w:pPr>
    </w:p>
    <w:p w14:paraId="6871F789">
      <w:pPr>
        <w:keepNext/>
        <w:keepLines/>
        <w:pageBreakBefore w:val="0"/>
        <w:numPr>
          <w:ilvl w:val="1"/>
          <w:numId w:val="1"/>
        </w:numPr>
        <w:kinsoku/>
        <w:wordWrap/>
        <w:overflowPunct/>
        <w:autoSpaceDE/>
        <w:autoSpaceDN/>
        <w:bidi w:val="0"/>
        <w:spacing w:beforeAutospacing="0" w:afterAutospacing="0" w:line="360" w:lineRule="auto"/>
        <w:outlineLvl w:val="0"/>
        <w:rPr>
          <w:rFonts w:hint="eastAsia" w:ascii="宋体" w:hAnsi="宋体" w:eastAsia="宋体" w:cs="宋体"/>
          <w:b/>
          <w:color w:val="auto"/>
          <w:sz w:val="24"/>
          <w:highlight w:val="none"/>
        </w:rPr>
      </w:pPr>
      <w:bookmarkStart w:id="13" w:name="_Toc30833"/>
      <w:bookmarkStart w:id="14" w:name="_Toc8754"/>
      <w:r>
        <w:rPr>
          <w:rFonts w:hint="eastAsia" w:ascii="宋体" w:hAnsi="宋体" w:eastAsia="宋体" w:cs="宋体"/>
          <w:b/>
          <w:color w:val="auto"/>
          <w:sz w:val="24"/>
          <w:highlight w:val="none"/>
        </w:rPr>
        <w:t>项目概况</w:t>
      </w:r>
      <w:bookmarkEnd w:id="13"/>
      <w:bookmarkEnd w:id="14"/>
    </w:p>
    <w:p w14:paraId="5F381657">
      <w:pPr>
        <w:keepNext/>
        <w:keepLines/>
        <w:pageBreakBefore w:val="0"/>
        <w:numPr>
          <w:ilvl w:val="2"/>
          <w:numId w:val="1"/>
        </w:numPr>
        <w:kinsoku/>
        <w:wordWrap/>
        <w:overflowPunct/>
        <w:autoSpaceDE/>
        <w:autoSpaceDN/>
        <w:bidi w:val="0"/>
        <w:spacing w:beforeAutospacing="0" w:afterAutospacing="0" w:line="360" w:lineRule="auto"/>
        <w:outlineLvl w:val="1"/>
        <w:rPr>
          <w:rFonts w:hint="eastAsia" w:ascii="宋体" w:hAnsi="宋体" w:eastAsia="宋体" w:cs="宋体"/>
          <w:b/>
          <w:bCs/>
          <w:color w:val="auto"/>
          <w:sz w:val="24"/>
          <w:highlight w:val="none"/>
        </w:rPr>
      </w:pPr>
      <w:bookmarkStart w:id="15" w:name="_Toc23122"/>
      <w:bookmarkStart w:id="16" w:name="_Toc15278"/>
      <w:bookmarkStart w:id="17" w:name="_Toc392634971"/>
      <w:r>
        <w:rPr>
          <w:rFonts w:hint="eastAsia" w:ascii="宋体" w:hAnsi="宋体" w:eastAsia="宋体" w:cs="宋体"/>
          <w:b/>
          <w:bCs/>
          <w:color w:val="auto"/>
          <w:sz w:val="24"/>
          <w:highlight w:val="none"/>
        </w:rPr>
        <w:t>项目要求</w:t>
      </w:r>
      <w:bookmarkEnd w:id="15"/>
      <w:bookmarkEnd w:id="16"/>
    </w:p>
    <w:p w14:paraId="39B389DE">
      <w:pPr>
        <w:pageBreakBefore w:val="0"/>
        <w:kinsoku/>
        <w:wordWrap/>
        <w:overflowPunct/>
        <w:autoSpaceDE/>
        <w:autoSpaceDN/>
        <w:bidi w:val="0"/>
        <w:spacing w:beforeAutospacing="0" w:afterAutospacing="0" w:line="360" w:lineRule="auto"/>
        <w:ind w:firstLine="487" w:firstLineChars="202"/>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本项目属于升级改造项目，投标方有如下经验优先：</w:t>
      </w:r>
    </w:p>
    <w:p w14:paraId="467C07CE">
      <w:pPr>
        <w:pageBreakBefore w:val="0"/>
        <w:kinsoku/>
        <w:wordWrap/>
        <w:overflowPunct/>
        <w:autoSpaceDE/>
        <w:autoSpaceDN/>
        <w:bidi w:val="0"/>
        <w:spacing w:beforeAutospacing="0" w:afterAutospacing="0" w:line="360" w:lineRule="auto"/>
        <w:ind w:firstLine="487" w:firstLineChars="202"/>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1.具有政务区块链平台相关项目经验优先。</w:t>
      </w:r>
    </w:p>
    <w:p w14:paraId="2C5823C7">
      <w:pPr>
        <w:pageBreakBefore w:val="0"/>
        <w:kinsoku/>
        <w:wordWrap/>
        <w:overflowPunct/>
        <w:autoSpaceDE/>
        <w:autoSpaceDN/>
        <w:bidi w:val="0"/>
        <w:spacing w:beforeAutospacing="0" w:afterAutospacing="0" w:line="360" w:lineRule="auto"/>
        <w:ind w:firstLine="487" w:firstLineChars="202"/>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2.完全理解区块链在能源管理与政务服务跨链对接的开发和业务，完全理解南方电网广州供电局区块链相关业务和管理制度，能够提供有效的区块链技术应用在跨领域、跨部门业务的解决方案，完全理解广州政务区块链“穗智链”的技术和运行，并具备应用上链支撑服务能力。</w:t>
      </w:r>
    </w:p>
    <w:p w14:paraId="6942603A">
      <w:pPr>
        <w:pageBreakBefore w:val="0"/>
        <w:kinsoku/>
        <w:wordWrap/>
        <w:overflowPunct/>
        <w:autoSpaceDE/>
        <w:autoSpaceDN/>
        <w:bidi w:val="0"/>
        <w:spacing w:beforeAutospacing="0" w:afterAutospacing="0" w:line="360" w:lineRule="auto"/>
        <w:ind w:firstLine="487" w:firstLineChars="202"/>
        <w:rPr>
          <w:rFonts w:hint="eastAsia" w:ascii="宋体" w:hAnsi="宋体" w:eastAsia="宋体" w:cs="宋体"/>
          <w:b/>
          <w:bCs/>
          <w:color w:val="auto"/>
          <w:sz w:val="24"/>
          <w:highlight w:val="none"/>
        </w:rPr>
      </w:pPr>
      <w:r>
        <w:rPr>
          <w:rFonts w:hint="eastAsia" w:ascii="宋体" w:hAnsi="宋体" w:eastAsia="宋体" w:cs="宋体"/>
          <w:b/>
          <w:bCs/>
          <w:color w:val="auto"/>
          <w:sz w:val="24"/>
          <w:highlight w:val="none"/>
        </w:rPr>
        <w:t>3.全面掌握项目的整体概况，对项目背景、现状、目标、建设范围与内容及重难点具备精准的理解；在此基础上，深入熟悉建设内容，准确理解相关业务需求及特点；并能系统分析项目建设中的难点与痛点，提出具有创新性的关键业务解决方案。</w:t>
      </w:r>
    </w:p>
    <w:p w14:paraId="22AC559D">
      <w:pPr>
        <w:keepNext/>
        <w:keepLines/>
        <w:pageBreakBefore w:val="0"/>
        <w:numPr>
          <w:ilvl w:val="2"/>
          <w:numId w:val="1"/>
        </w:numPr>
        <w:kinsoku/>
        <w:wordWrap/>
        <w:overflowPunct/>
        <w:autoSpaceDE/>
        <w:autoSpaceDN/>
        <w:bidi w:val="0"/>
        <w:spacing w:beforeAutospacing="0" w:afterAutospacing="0" w:line="360" w:lineRule="auto"/>
        <w:outlineLvl w:val="1"/>
        <w:rPr>
          <w:rFonts w:hint="eastAsia" w:ascii="宋体" w:hAnsi="宋体" w:eastAsia="宋体" w:cs="宋体"/>
          <w:b/>
          <w:bCs/>
          <w:color w:val="auto"/>
          <w:sz w:val="24"/>
          <w:highlight w:val="none"/>
        </w:rPr>
      </w:pPr>
      <w:bookmarkStart w:id="18" w:name="_Toc22373"/>
      <w:bookmarkStart w:id="19" w:name="_Toc8015"/>
      <w:r>
        <w:rPr>
          <w:rFonts w:hint="eastAsia" w:ascii="宋体" w:hAnsi="宋体" w:eastAsia="宋体" w:cs="宋体"/>
          <w:b/>
          <w:bCs/>
          <w:color w:val="auto"/>
          <w:sz w:val="24"/>
          <w:highlight w:val="none"/>
        </w:rPr>
        <w:t>项目背景</w:t>
      </w:r>
      <w:bookmarkEnd w:id="17"/>
      <w:bookmarkEnd w:id="18"/>
      <w:bookmarkEnd w:id="19"/>
    </w:p>
    <w:p w14:paraId="58A9B937">
      <w:pPr>
        <w:pageBreakBefore w:val="0"/>
        <w:kinsoku/>
        <w:wordWrap/>
        <w:overflowPunct/>
        <w:autoSpaceDE/>
        <w:autoSpaceDN/>
        <w:bidi w:val="0"/>
        <w:spacing w:beforeAutospacing="0" w:afterAutospacing="0" w:line="360" w:lineRule="auto"/>
        <w:ind w:firstLine="480" w:firstLineChars="200"/>
        <w:rPr>
          <w:color w:val="auto"/>
          <w:sz w:val="24"/>
          <w:szCs w:val="32"/>
          <w:highlight w:val="none"/>
        </w:rPr>
      </w:pPr>
      <w:r>
        <w:rPr>
          <w:rFonts w:hint="eastAsia"/>
          <w:color w:val="auto"/>
          <w:sz w:val="24"/>
          <w:szCs w:val="32"/>
          <w:highlight w:val="none"/>
        </w:rPr>
        <w:t>在当前国家全面推进数据要素市场化配置的战略背景下，</w:t>
      </w:r>
      <w:r>
        <w:rPr>
          <w:rFonts w:hint="eastAsia" w:ascii="宋体" w:hAnsi="宋体" w:eastAsia="宋体" w:cs="宋体"/>
          <w:color w:val="auto"/>
          <w:sz w:val="24"/>
          <w:highlight w:val="none"/>
        </w:rPr>
        <w:t>以推动数据要素高水平应用为主线，以推进数据要素协同优化、复用增效、融合创新作用发挥为重点，强化场景需求牵引，带动数据要素高质量供给、合规高效流通，培育新产业、新模式、新动能，充分实现数据要素价值。</w:t>
      </w:r>
      <w:r>
        <w:rPr>
          <w:rFonts w:hint="eastAsia"/>
          <w:color w:val="auto"/>
          <w:sz w:val="24"/>
          <w:szCs w:val="32"/>
          <w:highlight w:val="none"/>
        </w:rPr>
        <w:t>能源行业作为数据密集型关键领域，亟需构建可信、安全、高效的数据要素流通基础设施，开展具备数据要素乘数效应的典型场景创新应用。区块链技术是数据要素流通的基础支撑技术之一，通过分布式架构和可信数据体系，解决数据流通与共享中的安全、合规与信任问题，保障数据流通安全、激活数据要素价值。</w:t>
      </w:r>
    </w:p>
    <w:p w14:paraId="0A0CB289">
      <w:pPr>
        <w:pageBreakBefore w:val="0"/>
        <w:kinsoku/>
        <w:wordWrap/>
        <w:overflowPunct/>
        <w:autoSpaceDE/>
        <w:autoSpaceDN/>
        <w:bidi w:val="0"/>
        <w:spacing w:beforeAutospacing="0" w:afterAutospacing="0" w:line="360" w:lineRule="auto"/>
        <w:ind w:firstLine="480" w:firstLineChars="200"/>
        <w:rPr>
          <w:color w:val="auto"/>
          <w:sz w:val="24"/>
          <w:szCs w:val="32"/>
          <w:highlight w:val="none"/>
        </w:rPr>
      </w:pPr>
      <w:r>
        <w:rPr>
          <w:rFonts w:hint="eastAsia"/>
          <w:color w:val="auto"/>
          <w:sz w:val="24"/>
          <w:szCs w:val="32"/>
          <w:highlight w:val="none"/>
        </w:rPr>
        <w:t>广州供电局作为南方电网在广州的重要运营主体，是国家区块链创新应用综合性试点项目的特色试点单位，在南方电网区块链基础上，已建有广州供电局区块链平台，上链绿电溯源、虚拟电厂等链上应用场景，并持有“南方能源行业可信数据空间”牌照，成功入选国家行业可信数据空间创新发展试点（能源）。目前，广州供电局已开展与广州政务区块链--“穗智链”的跨链对接，且“穗智链”已开展与广州互联网法院的“网通法链”司法区块链平台、广州交易集团的“广智链”区块链平台等行业联盟链的跨链互通，在数据要素领域的区块链可信数据基础设施生态已经初步形成。</w:t>
      </w:r>
    </w:p>
    <w:p w14:paraId="19B52119">
      <w:pPr>
        <w:pageBreakBefore w:val="0"/>
        <w:kinsoku/>
        <w:wordWrap/>
        <w:overflowPunct/>
        <w:autoSpaceDE/>
        <w:autoSpaceDN/>
        <w:bidi w:val="0"/>
        <w:spacing w:beforeAutospacing="0" w:afterAutospacing="0" w:line="360" w:lineRule="auto"/>
        <w:ind w:firstLine="480" w:firstLineChars="200"/>
        <w:rPr>
          <w:color w:val="auto"/>
          <w:sz w:val="24"/>
          <w:szCs w:val="32"/>
          <w:highlight w:val="none"/>
        </w:rPr>
      </w:pPr>
      <w:r>
        <w:rPr>
          <w:rFonts w:hint="eastAsia"/>
          <w:color w:val="auto"/>
          <w:sz w:val="24"/>
          <w:szCs w:val="32"/>
          <w:highlight w:val="none"/>
        </w:rPr>
        <w:t>作为南方电网的服务窗口，广州供电局率先响应国家战略决策，围绕可信数据空间建设和数字经济发展的需求，以区块链技术应用为抓手，发挥能源行业数字化引领作用。为此，亟待对现有广州供电局区块链平台能力进行优化提升与应用拓展，重点建设区块链可信数据交换平台，开展“区块链</w:t>
      </w:r>
      <w:r>
        <w:rPr>
          <w:color w:val="auto"/>
          <w:sz w:val="24"/>
          <w:szCs w:val="32"/>
          <w:highlight w:val="none"/>
        </w:rPr>
        <w:t>+</w:t>
      </w:r>
      <w:r>
        <w:rPr>
          <w:rFonts w:hint="eastAsia"/>
          <w:color w:val="auto"/>
          <w:sz w:val="24"/>
          <w:szCs w:val="32"/>
          <w:highlight w:val="none"/>
        </w:rPr>
        <w:t>”、“电力数据要素×”的典型场景创新应用，并通过与广州政务区块链“穗智链”的跨链互操作，重点推进跨领域、跨行业的业务协作与数据流通，探索数据要素流通和价值实现的创新路径。</w:t>
      </w:r>
    </w:p>
    <w:p w14:paraId="11E87C94">
      <w:pPr>
        <w:pStyle w:val="5"/>
        <w:pageBreakBefore w:val="0"/>
        <w:kinsoku/>
        <w:wordWrap/>
        <w:overflowPunct/>
        <w:autoSpaceDE/>
        <w:autoSpaceDN/>
        <w:bidi w:val="0"/>
        <w:spacing w:beforeAutospacing="0" w:afterAutospacing="0" w:line="360" w:lineRule="auto"/>
        <w:outlineLvl w:val="1"/>
        <w:rPr>
          <w:rFonts w:hint="eastAsia"/>
          <w:color w:val="auto"/>
          <w:sz w:val="24"/>
          <w:szCs w:val="24"/>
          <w:highlight w:val="none"/>
        </w:rPr>
      </w:pPr>
      <w:bookmarkStart w:id="20" w:name="_Toc6457"/>
      <w:bookmarkStart w:id="21" w:name="_Toc26077"/>
      <w:r>
        <w:rPr>
          <w:rFonts w:hint="eastAsia"/>
          <w:color w:val="auto"/>
          <w:sz w:val="24"/>
          <w:szCs w:val="24"/>
          <w:highlight w:val="none"/>
        </w:rPr>
        <w:t>建设目标</w:t>
      </w:r>
      <w:bookmarkEnd w:id="20"/>
      <w:bookmarkEnd w:id="21"/>
    </w:p>
    <w:p w14:paraId="58673CBD">
      <w:pPr>
        <w:pageBreakBefore w:val="0"/>
        <w:kinsoku/>
        <w:wordWrap/>
        <w:overflowPunct/>
        <w:autoSpaceDE/>
        <w:autoSpaceDN/>
        <w:bidi w:val="0"/>
        <w:spacing w:beforeAutospacing="0" w:afterAutospacing="0" w:line="360" w:lineRule="auto"/>
        <w:ind w:firstLine="480" w:firstLineChars="200"/>
        <w:rPr>
          <w:color w:val="auto"/>
          <w:sz w:val="24"/>
          <w:szCs w:val="32"/>
          <w:highlight w:val="none"/>
        </w:rPr>
      </w:pPr>
      <w:r>
        <w:rPr>
          <w:rFonts w:hint="eastAsia"/>
          <w:color w:val="auto"/>
          <w:sz w:val="24"/>
          <w:szCs w:val="32"/>
          <w:highlight w:val="none"/>
        </w:rPr>
        <w:t>基于南方电网区块链广州供电局区块链平台的建设基础，及前期已实现的与广州政务区块链“穗智链”的跨链对接，在广州供电局区块链平台上，优化提升边缘节点的跨链数据存证、验证、流通能力，开发“电政通”标准化功能模块，建设区块链可信数据交换平台，开展“能源区块链</w:t>
      </w:r>
      <w:r>
        <w:rPr>
          <w:color w:val="auto"/>
          <w:sz w:val="24"/>
          <w:szCs w:val="32"/>
          <w:highlight w:val="none"/>
        </w:rPr>
        <w:t>+</w:t>
      </w:r>
      <w:r>
        <w:rPr>
          <w:rFonts w:hint="eastAsia"/>
          <w:color w:val="auto"/>
          <w:sz w:val="24"/>
          <w:szCs w:val="32"/>
          <w:highlight w:val="none"/>
        </w:rPr>
        <w:t>”的创新应用，打造“区块链电力数据要素×”的典型场景标杆；以区块链可信数据基础设施为支撑，实现开放型“电政通”跨链数据核验和“电务</w:t>
      </w:r>
      <w:r>
        <w:rPr>
          <w:color w:val="auto"/>
          <w:sz w:val="24"/>
          <w:szCs w:val="32"/>
          <w:highlight w:val="none"/>
        </w:rPr>
        <w:t>+</w:t>
      </w:r>
      <w:r>
        <w:rPr>
          <w:rFonts w:hint="eastAsia"/>
          <w:color w:val="auto"/>
          <w:sz w:val="24"/>
          <w:szCs w:val="32"/>
          <w:highlight w:val="none"/>
        </w:rPr>
        <w:t>政务”一网通办业务协作，打通广州供电局区块链平台与广州政务区块链“穗智链”的跨链互操作、数据流通共享，实现能源行业与政务服务跨领域的数据要素流通和价值激活。具体目标包括：</w:t>
      </w:r>
    </w:p>
    <w:p w14:paraId="6512B978">
      <w:pPr>
        <w:pageBreakBefore w:val="0"/>
        <w:numPr>
          <w:ilvl w:val="0"/>
          <w:numId w:val="4"/>
        </w:numPr>
        <w:kinsoku/>
        <w:wordWrap/>
        <w:overflowPunct/>
        <w:autoSpaceDE/>
        <w:autoSpaceDN/>
        <w:bidi w:val="0"/>
        <w:spacing w:beforeAutospacing="0" w:afterAutospacing="0" w:line="360" w:lineRule="auto"/>
        <w:ind w:firstLine="480" w:firstLineChars="200"/>
        <w:rPr>
          <w:color w:val="auto"/>
          <w:highlight w:val="none"/>
        </w:rPr>
      </w:pPr>
      <w:r>
        <w:rPr>
          <w:rFonts w:hint="eastAsia"/>
          <w:color w:val="auto"/>
          <w:sz w:val="24"/>
          <w:szCs w:val="32"/>
          <w:highlight w:val="none"/>
        </w:rPr>
        <w:t>升级区块链平台广州边缘节点。优化跨链网关，通过集成基于轻客户端验证的非侵入式核验机制，并遵循广州政务区块链“穗智链”跨链接口规范，提升跨链数据核验、传递和流通等互操作能力，强化区块链可信数据基础设施对业务系统的服务支撑；完善链上服务基础功能模块体系，提升平台的稳定性、扩展性与业务承载能力，为后续创新应用的规模化落地提供可靠的技术底座。</w:t>
      </w:r>
    </w:p>
    <w:p w14:paraId="3FF1B9CE">
      <w:pPr>
        <w:pageBreakBefore w:val="0"/>
        <w:numPr>
          <w:ilvl w:val="0"/>
          <w:numId w:val="4"/>
        </w:numPr>
        <w:kinsoku/>
        <w:wordWrap/>
        <w:overflowPunct/>
        <w:autoSpaceDE/>
        <w:autoSpaceDN/>
        <w:bidi w:val="0"/>
        <w:spacing w:beforeAutospacing="0" w:afterAutospacing="0" w:line="360" w:lineRule="auto"/>
        <w:ind w:firstLine="480" w:firstLineChars="200"/>
        <w:rPr>
          <w:color w:val="auto"/>
          <w:sz w:val="24"/>
          <w:szCs w:val="32"/>
          <w:highlight w:val="none"/>
        </w:rPr>
      </w:pPr>
      <w:r>
        <w:rPr>
          <w:rFonts w:hint="eastAsia"/>
          <w:color w:val="auto"/>
          <w:sz w:val="24"/>
          <w:szCs w:val="32"/>
          <w:highlight w:val="none"/>
        </w:rPr>
        <w:t>建设区块链可信数据交换平台。基于广州供电局区块链平台建设可信数据交换平台，与南方能源行业可信数据空间、广州政务区块链“穗智链”构建基于区块链的数据流通道，实现跨平台数据的可信采集、整合与汇聚，支持数据的可信核验、流通、共享与可追溯存证，为数据要素及数据资产的安全流通与价值释放提供区块链基础支撑，同时为后续多场景创新应用的持续拓展预留标准化接口能力。</w:t>
      </w:r>
    </w:p>
    <w:p w14:paraId="199C0264">
      <w:pPr>
        <w:pageBreakBefore w:val="0"/>
        <w:numPr>
          <w:ilvl w:val="0"/>
          <w:numId w:val="4"/>
        </w:numPr>
        <w:kinsoku/>
        <w:wordWrap/>
        <w:overflowPunct/>
        <w:autoSpaceDE/>
        <w:autoSpaceDN/>
        <w:bidi w:val="0"/>
        <w:spacing w:beforeAutospacing="0" w:afterAutospacing="0" w:line="360" w:lineRule="auto"/>
        <w:ind w:firstLine="480" w:firstLineChars="200"/>
        <w:rPr>
          <w:color w:val="auto"/>
          <w:sz w:val="24"/>
          <w:szCs w:val="32"/>
          <w:highlight w:val="none"/>
        </w:rPr>
      </w:pPr>
      <w:r>
        <w:rPr>
          <w:rFonts w:hint="eastAsia" w:ascii="宋体" w:hAnsi="宋体" w:eastAsia="宋体" w:cs="宋体"/>
          <w:color w:val="auto"/>
          <w:sz w:val="24"/>
          <w:highlight w:val="none"/>
        </w:rPr>
        <w:t>构建与</w:t>
      </w:r>
      <w:r>
        <w:rPr>
          <w:rFonts w:hint="eastAsia"/>
          <w:color w:val="auto"/>
          <w:sz w:val="24"/>
          <w:szCs w:val="32"/>
          <w:highlight w:val="none"/>
        </w:rPr>
        <w:t>广州政务区块链“穗智链”</w:t>
      </w:r>
      <w:r>
        <w:rPr>
          <w:rFonts w:hint="eastAsia" w:ascii="宋体" w:hAnsi="宋体" w:eastAsia="宋体" w:cs="宋体"/>
          <w:color w:val="auto"/>
          <w:sz w:val="24"/>
          <w:highlight w:val="none"/>
        </w:rPr>
        <w:t>的标准化对接功能模块“电政通”。基于现有跨链互通基础，对接</w:t>
      </w:r>
      <w:r>
        <w:rPr>
          <w:rFonts w:hint="eastAsia"/>
          <w:color w:val="auto"/>
          <w:sz w:val="24"/>
          <w:szCs w:val="32"/>
          <w:highlight w:val="none"/>
        </w:rPr>
        <w:t>广州政务区块链“穗智链”</w:t>
      </w:r>
      <w:r>
        <w:rPr>
          <w:rFonts w:hint="eastAsia" w:ascii="宋体" w:hAnsi="宋体" w:eastAsia="宋体" w:cs="宋体"/>
          <w:color w:val="auto"/>
          <w:sz w:val="24"/>
          <w:highlight w:val="none"/>
        </w:rPr>
        <w:t>已认证的区块链合规服务组件（包括电子证照、电子签章等），构建</w:t>
      </w:r>
      <w:r>
        <w:rPr>
          <w:rFonts w:hint="eastAsia"/>
          <w:color w:val="auto"/>
          <w:sz w:val="24"/>
          <w:szCs w:val="32"/>
          <w:highlight w:val="none"/>
        </w:rPr>
        <w:t>南方电网区块链广州供电局区块链平台</w:t>
      </w:r>
      <w:r>
        <w:rPr>
          <w:rFonts w:hint="eastAsia" w:ascii="宋体" w:hAnsi="宋体" w:eastAsia="宋体" w:cs="宋体"/>
          <w:color w:val="auto"/>
          <w:sz w:val="24"/>
          <w:highlight w:val="none"/>
        </w:rPr>
        <w:t>与</w:t>
      </w:r>
      <w:r>
        <w:rPr>
          <w:rFonts w:hint="eastAsia"/>
          <w:color w:val="auto"/>
          <w:sz w:val="24"/>
          <w:szCs w:val="32"/>
          <w:highlight w:val="none"/>
        </w:rPr>
        <w:t>广州政务区块链“穗智链”</w:t>
      </w:r>
      <w:r>
        <w:rPr>
          <w:rFonts w:hint="eastAsia" w:ascii="宋体" w:hAnsi="宋体" w:eastAsia="宋体" w:cs="宋体"/>
          <w:color w:val="auto"/>
          <w:sz w:val="24"/>
          <w:highlight w:val="none"/>
        </w:rPr>
        <w:t>公共服务体系之间的标准化对接通道，纳入区块链可信数据交换平台服务资源库，为后续业务应用的自主开发提供标准化调用支撑，降低重复建设成本。</w:t>
      </w:r>
    </w:p>
    <w:p w14:paraId="7BCFED85">
      <w:pPr>
        <w:pageBreakBefore w:val="0"/>
        <w:numPr>
          <w:ilvl w:val="0"/>
          <w:numId w:val="4"/>
        </w:numPr>
        <w:kinsoku/>
        <w:wordWrap/>
        <w:overflowPunct/>
        <w:autoSpaceDE/>
        <w:autoSpaceDN/>
        <w:bidi w:val="0"/>
        <w:spacing w:beforeAutospacing="0" w:afterAutospacing="0" w:line="360" w:lineRule="auto"/>
        <w:ind w:firstLine="480" w:firstLineChars="200"/>
        <w:rPr>
          <w:color w:val="auto"/>
          <w:sz w:val="24"/>
          <w:szCs w:val="32"/>
          <w:highlight w:val="none"/>
        </w:rPr>
      </w:pPr>
      <w:r>
        <w:rPr>
          <w:rFonts w:hint="eastAsia"/>
          <w:color w:val="auto"/>
          <w:sz w:val="24"/>
          <w:szCs w:val="32"/>
          <w:highlight w:val="none"/>
        </w:rPr>
        <w:t>打造区块链+电力惠民服务典型应用场景。围绕电力数据+政务数据的共享互认，开展“区块链电力数据要素×”创新应用，依托区块链可信数据交换平台，建设民政低保户优惠场景的链上服务能力，支持外部权威资质认定数据的可信接入与链上核验，实现惠民服务申请、资质核验、服务核销全流程的数据上链管理，提升惠民服务的可信度与办理效率，打造区块链惠民服务典型应用场景，为后续同类业务场景的链上化改造积累可复用技术路径与实施规范。</w:t>
      </w:r>
    </w:p>
    <w:p w14:paraId="4A5CD7D1">
      <w:pPr>
        <w:pStyle w:val="5"/>
        <w:pageBreakBefore w:val="0"/>
        <w:kinsoku/>
        <w:wordWrap/>
        <w:overflowPunct/>
        <w:autoSpaceDE/>
        <w:autoSpaceDN/>
        <w:bidi w:val="0"/>
        <w:spacing w:beforeAutospacing="0" w:afterAutospacing="0" w:line="360" w:lineRule="auto"/>
        <w:outlineLvl w:val="1"/>
        <w:rPr>
          <w:rFonts w:hint="eastAsia"/>
          <w:color w:val="auto"/>
          <w:sz w:val="24"/>
          <w:szCs w:val="24"/>
          <w:highlight w:val="none"/>
        </w:rPr>
      </w:pPr>
      <w:bookmarkStart w:id="22" w:name="_Toc30926"/>
      <w:r>
        <w:rPr>
          <w:rFonts w:hint="eastAsia"/>
          <w:color w:val="auto"/>
          <w:sz w:val="24"/>
          <w:szCs w:val="24"/>
          <w:highlight w:val="none"/>
        </w:rPr>
        <w:t>建设范围</w:t>
      </w:r>
      <w:bookmarkEnd w:id="22"/>
    </w:p>
    <w:p w14:paraId="7E0BF8D0">
      <w:pPr>
        <w:pageBreakBefore w:val="0"/>
        <w:kinsoku/>
        <w:wordWrap/>
        <w:overflowPunct/>
        <w:autoSpaceDE/>
        <w:autoSpaceDN/>
        <w:bidi w:val="0"/>
        <w:spacing w:beforeAutospacing="0" w:afterAutospacing="0" w:line="360" w:lineRule="auto"/>
        <w:ind w:firstLine="422" w:firstLineChars="175"/>
        <w:rPr>
          <w:color w:val="auto"/>
          <w:sz w:val="24"/>
          <w:szCs w:val="32"/>
          <w:highlight w:val="none"/>
        </w:rPr>
      </w:pPr>
      <w:r>
        <w:rPr>
          <w:rFonts w:hint="eastAsia"/>
          <w:b/>
          <w:bCs/>
          <w:color w:val="auto"/>
          <w:sz w:val="24"/>
          <w:szCs w:val="32"/>
          <w:highlight w:val="none"/>
        </w:rPr>
        <w:t>业务范围：</w:t>
      </w:r>
      <w:r>
        <w:rPr>
          <w:rFonts w:hint="eastAsia"/>
          <w:color w:val="auto"/>
          <w:sz w:val="24"/>
          <w:szCs w:val="32"/>
          <w:highlight w:val="none"/>
        </w:rPr>
        <w:t>围绕构建安全、高效、可信的电力数据要素化基础设施，促进与政务数据的跨链协同与价值释放的核心目标，升级区块链平台广州边缘节点，优化可信跨链互操作，确保南方电网区块链与广州政务区块链“穗智链”间数据交互的安全、准确、可追溯。</w:t>
      </w:r>
    </w:p>
    <w:p w14:paraId="5BD0BBEB">
      <w:pPr>
        <w:pageBreakBefore w:val="0"/>
        <w:kinsoku/>
        <w:wordWrap/>
        <w:overflowPunct/>
        <w:autoSpaceDE/>
        <w:autoSpaceDN/>
        <w:bidi w:val="0"/>
        <w:spacing w:beforeAutospacing="0" w:afterAutospacing="0" w:line="360" w:lineRule="auto"/>
        <w:ind w:firstLine="422" w:firstLineChars="175"/>
        <w:rPr>
          <w:color w:val="auto"/>
          <w:sz w:val="24"/>
          <w:szCs w:val="32"/>
          <w:highlight w:val="none"/>
        </w:rPr>
      </w:pPr>
      <w:r>
        <w:rPr>
          <w:rFonts w:hint="eastAsia"/>
          <w:b/>
          <w:bCs/>
          <w:color w:val="auto"/>
          <w:sz w:val="24"/>
          <w:szCs w:val="32"/>
          <w:highlight w:val="none"/>
        </w:rPr>
        <w:t>建设单位：</w:t>
      </w:r>
      <w:r>
        <w:rPr>
          <w:rFonts w:hint="eastAsia"/>
          <w:color w:val="auto"/>
          <w:sz w:val="24"/>
          <w:szCs w:val="32"/>
          <w:highlight w:val="none"/>
        </w:rPr>
        <w:t>广州供电局数字运营中心</w:t>
      </w:r>
    </w:p>
    <w:p w14:paraId="559E32BF">
      <w:pPr>
        <w:pageBreakBefore w:val="0"/>
        <w:kinsoku/>
        <w:wordWrap/>
        <w:overflowPunct/>
        <w:autoSpaceDE/>
        <w:autoSpaceDN/>
        <w:bidi w:val="0"/>
        <w:spacing w:beforeAutospacing="0" w:afterAutospacing="0" w:line="360" w:lineRule="auto"/>
        <w:ind w:firstLine="422" w:firstLineChars="175"/>
        <w:rPr>
          <w:color w:val="auto"/>
          <w:sz w:val="24"/>
          <w:szCs w:val="32"/>
          <w:highlight w:val="none"/>
        </w:rPr>
      </w:pPr>
      <w:r>
        <w:rPr>
          <w:rFonts w:hint="eastAsia"/>
          <w:b/>
          <w:bCs/>
          <w:color w:val="auto"/>
          <w:sz w:val="24"/>
          <w:szCs w:val="32"/>
          <w:highlight w:val="none"/>
        </w:rPr>
        <w:t>应用范围</w:t>
      </w:r>
      <w:r>
        <w:rPr>
          <w:rFonts w:hint="eastAsia"/>
          <w:color w:val="auto"/>
          <w:sz w:val="24"/>
          <w:szCs w:val="32"/>
          <w:highlight w:val="none"/>
        </w:rPr>
        <w:t>：广州供电局数字运营中心</w:t>
      </w:r>
    </w:p>
    <w:p w14:paraId="497554D9">
      <w:pPr>
        <w:pageBreakBefore w:val="0"/>
        <w:kinsoku/>
        <w:wordWrap/>
        <w:overflowPunct/>
        <w:autoSpaceDE/>
        <w:autoSpaceDN/>
        <w:bidi w:val="0"/>
        <w:spacing w:beforeAutospacing="0" w:afterAutospacing="0" w:line="360" w:lineRule="auto"/>
        <w:ind w:firstLine="422" w:firstLineChars="175"/>
        <w:rPr>
          <w:color w:val="auto"/>
          <w:sz w:val="24"/>
          <w:szCs w:val="32"/>
          <w:highlight w:val="none"/>
        </w:rPr>
      </w:pPr>
      <w:r>
        <w:rPr>
          <w:rFonts w:hint="eastAsia"/>
          <w:b/>
          <w:bCs/>
          <w:color w:val="auto"/>
          <w:sz w:val="24"/>
          <w:szCs w:val="32"/>
          <w:highlight w:val="none"/>
        </w:rPr>
        <w:t>建设范围：</w:t>
      </w:r>
      <w:r>
        <w:rPr>
          <w:rFonts w:hint="eastAsia"/>
          <w:color w:val="auto"/>
          <w:sz w:val="24"/>
          <w:szCs w:val="32"/>
          <w:highlight w:val="none"/>
        </w:rPr>
        <w:t>本项目属于广州供电局区块链平台的升级改造和应用拓展项目，建设范围包括升级区块链平台广州边缘节点、建设区块链可信数据交换平台、支持电政通跨链数据核验、研究民政低保户优惠 “区块链数据要素×”创新应用等相关功能开发及实施工作，为广州供电局南方能源行业可信数据空间与广州政务区块链“穗智链”提供跨链互操作、业务协作与数据流通等服务。</w:t>
      </w:r>
    </w:p>
    <w:p w14:paraId="751C6997">
      <w:pPr>
        <w:pStyle w:val="5"/>
        <w:pageBreakBefore w:val="0"/>
        <w:kinsoku/>
        <w:wordWrap/>
        <w:overflowPunct/>
        <w:autoSpaceDE/>
        <w:autoSpaceDN/>
        <w:bidi w:val="0"/>
        <w:spacing w:beforeAutospacing="0" w:afterAutospacing="0" w:line="360" w:lineRule="auto"/>
        <w:outlineLvl w:val="1"/>
        <w:rPr>
          <w:rFonts w:hint="eastAsia"/>
          <w:color w:val="auto"/>
          <w:sz w:val="24"/>
          <w:szCs w:val="24"/>
          <w:highlight w:val="none"/>
        </w:rPr>
      </w:pPr>
      <w:bookmarkStart w:id="23" w:name="_Toc7006"/>
      <w:r>
        <w:rPr>
          <w:rFonts w:hint="eastAsia"/>
          <w:color w:val="auto"/>
          <w:sz w:val="24"/>
          <w:szCs w:val="24"/>
          <w:highlight w:val="none"/>
        </w:rPr>
        <w:t>项目保质期</w:t>
      </w:r>
      <w:bookmarkEnd w:id="23"/>
    </w:p>
    <w:p w14:paraId="7940B742">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本项目的保质期为系统建设竣工验收合格之日起一年，保质期内投标人需免费为项目提供包含以下系统支持服务：</w:t>
      </w:r>
    </w:p>
    <w:p w14:paraId="1BAFA822">
      <w:pPr>
        <w:pStyle w:val="20"/>
        <w:pageBreakBefore w:val="0"/>
        <w:numPr>
          <w:ilvl w:val="0"/>
          <w:numId w:val="5"/>
        </w:numPr>
        <w:kinsoku/>
        <w:wordWrap/>
        <w:overflowPunct/>
        <w:autoSpaceDE/>
        <w:autoSpaceDN/>
        <w:bidi w:val="0"/>
        <w:spacing w:beforeAutospacing="0" w:afterAutospacing="0" w:line="360" w:lineRule="auto"/>
        <w:ind w:firstLine="0" w:firstLineChars="0"/>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电话热线服务</w:t>
      </w:r>
    </w:p>
    <w:p w14:paraId="0D741362">
      <w:pPr>
        <w:pStyle w:val="20"/>
        <w:pageBreakBefore w:val="0"/>
        <w:kinsoku/>
        <w:wordWrap/>
        <w:overflowPunct/>
        <w:autoSpaceDE/>
        <w:autoSpaceDN/>
        <w:bidi w:val="0"/>
        <w:spacing w:beforeAutospacing="0" w:afterAutospacing="0" w:line="360" w:lineRule="auto"/>
        <w:ind w:left="634" w:leftChars="302" w:firstLine="4" w:firstLineChars="0"/>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配备有经验的售后工程师接听客服电话，及时响应招标人提出的系统问题。</w:t>
      </w:r>
    </w:p>
    <w:p w14:paraId="6C36D6B7">
      <w:pPr>
        <w:pStyle w:val="20"/>
        <w:pageBreakBefore w:val="0"/>
        <w:kinsoku/>
        <w:wordWrap/>
        <w:overflowPunct/>
        <w:autoSpaceDE/>
        <w:autoSpaceDN/>
        <w:bidi w:val="0"/>
        <w:spacing w:beforeAutospacing="0" w:afterAutospacing="0" w:line="360" w:lineRule="auto"/>
        <w:ind w:left="634" w:leftChars="302" w:firstLine="4" w:firstLineChars="0"/>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要求响应时间范围为7×24小时。响应速度为10分钟以内。</w:t>
      </w:r>
    </w:p>
    <w:p w14:paraId="6612E830">
      <w:pPr>
        <w:pStyle w:val="20"/>
        <w:pageBreakBefore w:val="0"/>
        <w:numPr>
          <w:ilvl w:val="0"/>
          <w:numId w:val="5"/>
        </w:numPr>
        <w:kinsoku/>
        <w:wordWrap/>
        <w:overflowPunct/>
        <w:autoSpaceDE/>
        <w:autoSpaceDN/>
        <w:bidi w:val="0"/>
        <w:spacing w:beforeAutospacing="0" w:afterAutospacing="0" w:line="360" w:lineRule="auto"/>
        <w:ind w:firstLine="0" w:firstLineChars="0"/>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远程支持</w:t>
      </w:r>
    </w:p>
    <w:p w14:paraId="2E4EB29A">
      <w:pPr>
        <w:pStyle w:val="20"/>
        <w:pageBreakBefore w:val="0"/>
        <w:kinsoku/>
        <w:wordWrap/>
        <w:overflowPunct/>
        <w:autoSpaceDE/>
        <w:autoSpaceDN/>
        <w:bidi w:val="0"/>
        <w:spacing w:beforeAutospacing="0" w:afterAutospacing="0" w:line="360" w:lineRule="auto"/>
        <w:ind w:left="634" w:leftChars="302" w:firstLine="4" w:firstLineChars="0"/>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对于客服电话解答不了的问题，由售后工程师通过远程网络连线至主机进行远程支持。</w:t>
      </w:r>
    </w:p>
    <w:p w14:paraId="1379B76B">
      <w:pPr>
        <w:pStyle w:val="20"/>
        <w:pageBreakBefore w:val="0"/>
        <w:kinsoku/>
        <w:wordWrap/>
        <w:overflowPunct/>
        <w:autoSpaceDE/>
        <w:autoSpaceDN/>
        <w:bidi w:val="0"/>
        <w:spacing w:beforeAutospacing="0" w:afterAutospacing="0" w:line="360" w:lineRule="auto"/>
        <w:ind w:left="634" w:leftChars="302" w:firstLine="4" w:firstLineChars="0"/>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要求响应时间范围为：7×24小时。响应速度30分钟以内。</w:t>
      </w:r>
    </w:p>
    <w:p w14:paraId="77F68282">
      <w:pPr>
        <w:pStyle w:val="20"/>
        <w:pageBreakBefore w:val="0"/>
        <w:numPr>
          <w:ilvl w:val="0"/>
          <w:numId w:val="5"/>
        </w:numPr>
        <w:kinsoku/>
        <w:wordWrap/>
        <w:overflowPunct/>
        <w:autoSpaceDE/>
        <w:autoSpaceDN/>
        <w:bidi w:val="0"/>
        <w:spacing w:beforeAutospacing="0" w:afterAutospacing="0" w:line="360" w:lineRule="auto"/>
        <w:ind w:firstLine="0" w:firstLineChars="0"/>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现场服务</w:t>
      </w:r>
    </w:p>
    <w:p w14:paraId="3F2E4990">
      <w:pPr>
        <w:pStyle w:val="20"/>
        <w:pageBreakBefore w:val="0"/>
        <w:kinsoku/>
        <w:wordWrap/>
        <w:overflowPunct/>
        <w:autoSpaceDE/>
        <w:autoSpaceDN/>
        <w:bidi w:val="0"/>
        <w:spacing w:beforeAutospacing="0" w:afterAutospacing="0" w:line="360" w:lineRule="auto"/>
        <w:ind w:left="634" w:leftChars="302" w:firstLine="4" w:firstLineChars="0"/>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对出现不能远程解决的问题，或在系统的运行环境不完全成熟的条件下，需要提供售后工程师的上门服务，现场解决问题。</w:t>
      </w:r>
    </w:p>
    <w:p w14:paraId="55C41395">
      <w:pPr>
        <w:pStyle w:val="20"/>
        <w:pageBreakBefore w:val="0"/>
        <w:kinsoku/>
        <w:wordWrap/>
        <w:overflowPunct/>
        <w:autoSpaceDE/>
        <w:autoSpaceDN/>
        <w:bidi w:val="0"/>
        <w:spacing w:beforeAutospacing="0" w:afterAutospacing="0" w:line="360" w:lineRule="auto"/>
        <w:ind w:left="634" w:leftChars="302" w:firstLine="4" w:firstLineChars="0"/>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要求响应时间范围为：7×24小时，响应速度2小时内到达现场。</w:t>
      </w:r>
    </w:p>
    <w:p w14:paraId="0329DA37">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p>
    <w:p w14:paraId="112D06AE">
      <w:pPr>
        <w:pStyle w:val="4"/>
        <w:pageBreakBefore w:val="0"/>
        <w:kinsoku/>
        <w:wordWrap/>
        <w:overflowPunct/>
        <w:autoSpaceDE/>
        <w:autoSpaceDN/>
        <w:bidi w:val="0"/>
        <w:spacing w:beforeAutospacing="0" w:afterAutospacing="0" w:line="360" w:lineRule="auto"/>
        <w:outlineLvl w:val="0"/>
        <w:rPr>
          <w:rFonts w:hint="eastAsia" w:asciiTheme="minorEastAsia" w:hAnsiTheme="minorEastAsia" w:eastAsiaTheme="minorEastAsia" w:cstheme="minorEastAsia"/>
          <w:b/>
          <w:color w:val="auto"/>
          <w:highlight w:val="none"/>
        </w:rPr>
      </w:pPr>
      <w:bookmarkStart w:id="24" w:name="_Toc22979"/>
      <w:bookmarkStart w:id="25" w:name="_Toc13302"/>
      <w:r>
        <w:rPr>
          <w:rFonts w:hint="eastAsia" w:asciiTheme="minorEastAsia" w:hAnsiTheme="minorEastAsia" w:eastAsiaTheme="minorEastAsia" w:cstheme="minorEastAsia"/>
          <w:b/>
          <w:color w:val="auto"/>
          <w:highlight w:val="none"/>
        </w:rPr>
        <w:t>项目内容与要求</w:t>
      </w:r>
      <w:bookmarkEnd w:id="24"/>
      <w:bookmarkEnd w:id="25"/>
    </w:p>
    <w:p w14:paraId="68199AB1">
      <w:pPr>
        <w:pStyle w:val="5"/>
        <w:pageBreakBefore w:val="0"/>
        <w:kinsoku/>
        <w:wordWrap/>
        <w:overflowPunct/>
        <w:autoSpaceDE/>
        <w:autoSpaceDN/>
        <w:bidi w:val="0"/>
        <w:spacing w:beforeAutospacing="0" w:afterAutospacing="0" w:line="360" w:lineRule="auto"/>
        <w:outlineLvl w:val="1"/>
        <w:rPr>
          <w:rFonts w:hint="eastAsia" w:asciiTheme="minorEastAsia" w:hAnsiTheme="minorEastAsia" w:cstheme="minorEastAsia"/>
          <w:color w:val="auto"/>
          <w:sz w:val="24"/>
          <w:szCs w:val="24"/>
          <w:highlight w:val="none"/>
        </w:rPr>
      </w:pPr>
      <w:bookmarkStart w:id="26" w:name="_Toc25445"/>
      <w:bookmarkStart w:id="27" w:name="_Toc29183"/>
      <w:r>
        <w:rPr>
          <w:rFonts w:hint="eastAsia" w:asciiTheme="minorEastAsia" w:hAnsiTheme="minorEastAsia" w:cstheme="minorEastAsia"/>
          <w:color w:val="auto"/>
          <w:sz w:val="24"/>
          <w:szCs w:val="24"/>
          <w:highlight w:val="none"/>
        </w:rPr>
        <w:t>项目准备工作</w:t>
      </w:r>
      <w:bookmarkEnd w:id="26"/>
      <w:bookmarkEnd w:id="27"/>
    </w:p>
    <w:p w14:paraId="0DFC7BA4">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投标人在项目启动后优先开展准备工作，熟悉招标人在业务管理、信息技术管理及信息化项目管控方面的制度与标准规范，消化、吸收、评估、完善前期需求分析与概要设计阶段成果，对本项目涉及的外部平台接口环境（包括但不限于跨链通道现状、公共服务平台接口申请流程及技术规范）开展充分调研，形成书面调研报告。在上述工作基础上，制定本项目管理章程。</w:t>
      </w:r>
    </w:p>
    <w:p w14:paraId="6FDEB9C1">
      <w:pPr>
        <w:pStyle w:val="5"/>
        <w:pageBreakBefore w:val="0"/>
        <w:kinsoku/>
        <w:wordWrap/>
        <w:overflowPunct/>
        <w:autoSpaceDE/>
        <w:autoSpaceDN/>
        <w:bidi w:val="0"/>
        <w:spacing w:beforeAutospacing="0" w:afterAutospacing="0" w:line="360" w:lineRule="auto"/>
        <w:outlineLvl w:val="1"/>
        <w:rPr>
          <w:rFonts w:hint="eastAsia" w:asciiTheme="minorEastAsia" w:hAnsiTheme="minorEastAsia" w:cstheme="minorEastAsia"/>
          <w:color w:val="auto"/>
          <w:sz w:val="24"/>
          <w:szCs w:val="24"/>
          <w:highlight w:val="none"/>
        </w:rPr>
      </w:pPr>
      <w:bookmarkStart w:id="28" w:name="_Toc23796"/>
      <w:bookmarkStart w:id="29" w:name="_Toc18018"/>
      <w:r>
        <w:rPr>
          <w:rFonts w:hint="eastAsia" w:asciiTheme="minorEastAsia" w:hAnsiTheme="minorEastAsia" w:cstheme="minorEastAsia"/>
          <w:color w:val="auto"/>
          <w:sz w:val="24"/>
          <w:szCs w:val="24"/>
          <w:highlight w:val="none"/>
        </w:rPr>
        <w:t>项目管理要求</w:t>
      </w:r>
      <w:bookmarkEnd w:id="28"/>
      <w:bookmarkEnd w:id="29"/>
    </w:p>
    <w:p w14:paraId="6FCAF811">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（一）投标人实施人员须按照招标人考勤要求出勤，不得迟到、早退、无故旷工。</w:t>
      </w:r>
    </w:p>
    <w:p w14:paraId="46658026">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（二）协助招标人完成合同各阶段支付所需的验收确认工作，按节点及时提交符合要求的验收材料。</w:t>
      </w:r>
    </w:p>
    <w:p w14:paraId="482384A1">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三）合同签订之日起15个工作日内，在工作方案基础上制定总体实施方案，细化项目具体实施计划、工作职责与分工，明确各阶段工作里程碑、交付物清单及外部协调节点，由双方确认后遵照执行。工作计划须单独列明涉及外部平台接口申请、跨链对接等外部依赖事项的预计周期与应对预案。</w:t>
      </w:r>
    </w:p>
    <w:p w14:paraId="56433FA8">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（四）合同签订后，投标人须配合招标人组织召开项目启动会，完成项目组织架构确认、计划宣贯及资源协调等启动事项。</w:t>
      </w:r>
    </w:p>
    <w:p w14:paraId="77E3E974">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五）合同履约期间，定期组织项目例会，频率不低于每两周一次，重要外部对接节点前后须增加专项沟通会。向招标人汇报当前阶段工作结果及外部协调进展，接收招标人反馈意见并及时调整，确保项目持续符合承诺指标要求。</w:t>
      </w:r>
    </w:p>
    <w:p w14:paraId="6D134FF3">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（六）在需求分析、系统设计、系统上线等3个关键阶段节点，开展阶段检查，形成检查总结报告并落实整改措施，编制阶段性总结报告并组织汇报。</w:t>
      </w:r>
    </w:p>
    <w:p w14:paraId="01FFE582">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（七）各阶段交付物提交前，投标人须完成交付物自查工作，形成报告，经招标人确认后方可提交正式交付。招标人保留对交付物内容和质量进行审查评审的权利，投标人须根据审查意见在规定时限内完成修改。</w:t>
      </w:r>
    </w:p>
    <w:p w14:paraId="09727CC4">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（八）合同履约期间，投标人须按时提交周报、月报及问题分析报告，确保项目信息透明可追溯。</w:t>
      </w:r>
    </w:p>
    <w:p w14:paraId="16DD95F3">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（九）凡涉及外部对接的工作节点，投标人须提前向招标人报告推进进展，如因外部原因导致节点延误，须在延误发生后3个工作日内提交书面说明及调整方案，经招标人确认后方可调整相关里程碑节点。</w:t>
      </w:r>
    </w:p>
    <w:p w14:paraId="111310C0">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十）投标人须积极协助招标人推进与外部平台的接口申请及对接协调工作，及时同步外部平台的技术要求、申请进展及潜在风险。外部协调工作中产生的沟通记录、申请材料、接口文档等均须归档并移交招标人留存。</w:t>
      </w:r>
    </w:p>
    <w:p w14:paraId="2BAA0384">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（十一）合同履约期间若出现管理缺陷或管理事故，投标人须按照招标人出具的整改通知书要求，在规定时限内完成整改并提交整改报告。</w:t>
      </w:r>
    </w:p>
    <w:p w14:paraId="7C8EECE2">
      <w:pPr>
        <w:pStyle w:val="5"/>
        <w:pageBreakBefore w:val="0"/>
        <w:kinsoku/>
        <w:wordWrap/>
        <w:overflowPunct/>
        <w:autoSpaceDE/>
        <w:autoSpaceDN/>
        <w:bidi w:val="0"/>
        <w:spacing w:beforeAutospacing="0" w:afterAutospacing="0" w:line="360" w:lineRule="auto"/>
        <w:outlineLvl w:val="1"/>
        <w:rPr>
          <w:rFonts w:hint="eastAsia" w:asciiTheme="minorEastAsia" w:hAnsiTheme="minorEastAsia" w:cstheme="minorEastAsia"/>
          <w:color w:val="auto"/>
          <w:sz w:val="24"/>
          <w:szCs w:val="24"/>
          <w:highlight w:val="none"/>
        </w:rPr>
      </w:pPr>
      <w:bookmarkStart w:id="30" w:name="_Toc27633"/>
      <w:r>
        <w:rPr>
          <w:rFonts w:hint="eastAsia" w:asciiTheme="minorEastAsia" w:hAnsiTheme="minorEastAsia" w:cstheme="minorEastAsia"/>
          <w:color w:val="auto"/>
          <w:sz w:val="24"/>
          <w:szCs w:val="24"/>
          <w:highlight w:val="none"/>
        </w:rPr>
        <w:t>项目参与人员要求</w:t>
      </w:r>
      <w:bookmarkEnd w:id="30"/>
    </w:p>
    <w:p w14:paraId="3A0BEA5B">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（一）人员配置要求</w:t>
      </w:r>
    </w:p>
    <w:p w14:paraId="56613F11">
      <w:pPr>
        <w:pStyle w:val="20"/>
        <w:pageBreakBefore w:val="0"/>
        <w:kinsoku/>
        <w:wordWrap/>
        <w:overflowPunct/>
        <w:autoSpaceDE/>
        <w:autoSpaceDN/>
        <w:bidi w:val="0"/>
        <w:spacing w:beforeAutospacing="0" w:afterAutospacing="0" w:line="360" w:lineRule="auto"/>
        <w:ind w:firstLine="504"/>
        <w:rPr>
          <w:rFonts w:hint="eastAsia" w:eastAsia="宋体" w:cs="宋体"/>
          <w:color w:val="auto"/>
          <w:sz w:val="24"/>
          <w:szCs w:val="24"/>
          <w:highlight w:val="none"/>
        </w:rPr>
      </w:pPr>
      <w:r>
        <w:rPr>
          <w:rFonts w:hint="eastAsia" w:asciiTheme="minorEastAsia" w:hAnsiTheme="minorEastAsia" w:cstheme="minorEastAsia"/>
          <w:color w:val="auto"/>
          <w:sz w:val="24"/>
          <w:szCs w:val="24"/>
          <w:highlight w:val="none"/>
        </w:rPr>
        <w:t>投标人须根据项目实施需要配置足够的项目团队成员，项目组总人数不得少于5人，并须指定1名项目经理作为甲乙双方对接责任人，并提供不少于1名项目应急人员，在项目经理临时无法到位情况下由应急人员顶替。投标人需在合同签订后15个工作日内向招标人提供项目组成员名单。</w:t>
      </w:r>
    </w:p>
    <w:p w14:paraId="06511ED7">
      <w:pPr>
        <w:pageBreakBefore w:val="0"/>
        <w:kinsoku/>
        <w:wordWrap/>
        <w:overflowPunct/>
        <w:autoSpaceDE/>
        <w:autoSpaceDN/>
        <w:bidi w:val="0"/>
        <w:spacing w:beforeAutospacing="0" w:afterAutospacing="0" w:line="360" w:lineRule="auto"/>
        <w:ind w:firstLine="504" w:firstLineChars="200"/>
        <w:rPr>
          <w:rFonts w:hint="eastAsia" w:ascii="宋体" w:hAnsi="宋体" w:eastAsia="宋体" w:cs="宋体"/>
          <w:color w:val="auto"/>
          <w:spacing w:val="6"/>
          <w:sz w:val="24"/>
          <w:highlight w:val="none"/>
        </w:rPr>
      </w:pPr>
      <w:r>
        <w:rPr>
          <w:rFonts w:hint="eastAsia" w:ascii="宋体" w:hAnsi="宋体" w:eastAsia="宋体" w:cs="宋体"/>
          <w:color w:val="auto"/>
          <w:spacing w:val="6"/>
          <w:sz w:val="24"/>
          <w:highlight w:val="none"/>
        </w:rPr>
        <w:t>人员名单如下表所示。</w:t>
      </w:r>
    </w:p>
    <w:tbl>
      <w:tblPr>
        <w:tblStyle w:val="16"/>
        <w:tblW w:w="8310" w:type="dxa"/>
        <w:jc w:val="center"/>
        <w:tblLayout w:type="fixed"/>
        <w:tblCellMar>
          <w:top w:w="0" w:type="dxa"/>
          <w:left w:w="30" w:type="dxa"/>
          <w:bottom w:w="0" w:type="dxa"/>
          <w:right w:w="30" w:type="dxa"/>
        </w:tblCellMar>
      </w:tblPr>
      <w:tblGrid>
        <w:gridCol w:w="630"/>
        <w:gridCol w:w="1320"/>
        <w:gridCol w:w="2280"/>
        <w:gridCol w:w="2280"/>
        <w:gridCol w:w="1800"/>
      </w:tblGrid>
      <w:tr w14:paraId="5F8B3665">
        <w:tblPrEx>
          <w:tblCellMar>
            <w:top w:w="0" w:type="dxa"/>
            <w:left w:w="30" w:type="dxa"/>
            <w:bottom w:w="0" w:type="dxa"/>
            <w:right w:w="30" w:type="dxa"/>
          </w:tblCellMar>
        </w:tblPrEx>
        <w:trPr>
          <w:trHeight w:val="428" w:hRule="atLeast"/>
          <w:jc w:val="center"/>
        </w:trPr>
        <w:tc>
          <w:tcPr>
            <w:tcW w:w="630" w:type="dxa"/>
            <w:tcBorders>
              <w:top w:val="single" w:color="auto" w:sz="6" w:space="0"/>
              <w:left w:val="single" w:color="auto" w:sz="6" w:space="0"/>
              <w:bottom w:val="single" w:color="auto" w:sz="6" w:space="0"/>
              <w:right w:val="single" w:color="auto" w:sz="6" w:space="0"/>
            </w:tcBorders>
            <w:vAlign w:val="bottom"/>
          </w:tcPr>
          <w:p w14:paraId="4807E963">
            <w:pPr>
              <w:pageBreakBefore w:val="0"/>
              <w:kinsoku/>
              <w:wordWrap/>
              <w:overflowPunct/>
              <w:autoSpaceDE/>
              <w:autoSpaceDN/>
              <w:bidi w:val="0"/>
              <w:spacing w:beforeAutospacing="0" w:afterAutospacing="0"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序号</w:t>
            </w:r>
          </w:p>
        </w:tc>
        <w:tc>
          <w:tcPr>
            <w:tcW w:w="1320" w:type="dxa"/>
            <w:tcBorders>
              <w:top w:val="single" w:color="auto" w:sz="6" w:space="0"/>
              <w:left w:val="single" w:color="auto" w:sz="6" w:space="0"/>
              <w:bottom w:val="single" w:color="auto" w:sz="6" w:space="0"/>
              <w:right w:val="single" w:color="auto" w:sz="6" w:space="0"/>
            </w:tcBorders>
            <w:vAlign w:val="bottom"/>
          </w:tcPr>
          <w:p w14:paraId="2F4E8409">
            <w:pPr>
              <w:pageBreakBefore w:val="0"/>
              <w:kinsoku/>
              <w:wordWrap/>
              <w:overflowPunct/>
              <w:autoSpaceDE/>
              <w:autoSpaceDN/>
              <w:bidi w:val="0"/>
              <w:spacing w:beforeAutospacing="0" w:afterAutospacing="0"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姓名</w:t>
            </w:r>
          </w:p>
        </w:tc>
        <w:tc>
          <w:tcPr>
            <w:tcW w:w="2280" w:type="dxa"/>
            <w:tcBorders>
              <w:top w:val="single" w:color="auto" w:sz="6" w:space="0"/>
              <w:left w:val="single" w:color="auto" w:sz="6" w:space="0"/>
              <w:bottom w:val="single" w:color="auto" w:sz="6" w:space="0"/>
              <w:right w:val="single" w:color="auto" w:sz="6" w:space="0"/>
            </w:tcBorders>
            <w:vAlign w:val="bottom"/>
          </w:tcPr>
          <w:p w14:paraId="1E6B30BC">
            <w:pPr>
              <w:pageBreakBefore w:val="0"/>
              <w:kinsoku/>
              <w:wordWrap/>
              <w:overflowPunct/>
              <w:autoSpaceDE/>
              <w:autoSpaceDN/>
              <w:bidi w:val="0"/>
              <w:spacing w:beforeAutospacing="0" w:afterAutospacing="0"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职务</w:t>
            </w:r>
          </w:p>
        </w:tc>
        <w:tc>
          <w:tcPr>
            <w:tcW w:w="2280" w:type="dxa"/>
            <w:tcBorders>
              <w:top w:val="single" w:color="auto" w:sz="6" w:space="0"/>
              <w:left w:val="single" w:color="auto" w:sz="6" w:space="0"/>
              <w:bottom w:val="single" w:color="auto" w:sz="6" w:space="0"/>
              <w:right w:val="single" w:color="auto" w:sz="6" w:space="0"/>
            </w:tcBorders>
            <w:vAlign w:val="bottom"/>
          </w:tcPr>
          <w:p w14:paraId="2F616D5D">
            <w:pPr>
              <w:pageBreakBefore w:val="0"/>
              <w:kinsoku/>
              <w:wordWrap/>
              <w:overflowPunct/>
              <w:autoSpaceDE/>
              <w:autoSpaceDN/>
              <w:bidi w:val="0"/>
              <w:spacing w:beforeAutospacing="0" w:afterAutospacing="0"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本项目分工</w:t>
            </w:r>
          </w:p>
        </w:tc>
        <w:tc>
          <w:tcPr>
            <w:tcW w:w="1800" w:type="dxa"/>
            <w:tcBorders>
              <w:top w:val="single" w:color="auto" w:sz="6" w:space="0"/>
              <w:left w:val="single" w:color="auto" w:sz="6" w:space="0"/>
              <w:bottom w:val="single" w:color="auto" w:sz="6" w:space="0"/>
              <w:right w:val="single" w:color="auto" w:sz="6" w:space="0"/>
            </w:tcBorders>
            <w:vAlign w:val="bottom"/>
          </w:tcPr>
          <w:p w14:paraId="038CE4C1">
            <w:pPr>
              <w:pageBreakBefore w:val="0"/>
              <w:kinsoku/>
              <w:wordWrap/>
              <w:overflowPunct/>
              <w:autoSpaceDE/>
              <w:autoSpaceDN/>
              <w:bidi w:val="0"/>
              <w:spacing w:beforeAutospacing="0" w:afterAutospacing="0"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备注</w:t>
            </w:r>
          </w:p>
        </w:tc>
      </w:tr>
      <w:tr w14:paraId="4E2D9E06">
        <w:tblPrEx>
          <w:tblCellMar>
            <w:top w:w="0" w:type="dxa"/>
            <w:left w:w="30" w:type="dxa"/>
            <w:bottom w:w="0" w:type="dxa"/>
            <w:right w:w="30" w:type="dxa"/>
          </w:tblCellMar>
        </w:tblPrEx>
        <w:trPr>
          <w:trHeight w:val="428" w:hRule="atLeast"/>
          <w:jc w:val="center"/>
        </w:trPr>
        <w:tc>
          <w:tcPr>
            <w:tcW w:w="630" w:type="dxa"/>
            <w:tcBorders>
              <w:top w:val="single" w:color="auto" w:sz="6" w:space="0"/>
              <w:left w:val="single" w:color="auto" w:sz="6" w:space="0"/>
              <w:bottom w:val="single" w:color="auto" w:sz="6" w:space="0"/>
              <w:right w:val="single" w:color="auto" w:sz="6" w:space="0"/>
            </w:tcBorders>
            <w:vAlign w:val="bottom"/>
          </w:tcPr>
          <w:p w14:paraId="4EFFA064">
            <w:pPr>
              <w:pageBreakBefore w:val="0"/>
              <w:kinsoku/>
              <w:wordWrap/>
              <w:overflowPunct/>
              <w:autoSpaceDE/>
              <w:autoSpaceDN/>
              <w:bidi w:val="0"/>
              <w:spacing w:beforeAutospacing="0" w:afterAutospacing="0"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1</w:t>
            </w:r>
          </w:p>
        </w:tc>
        <w:tc>
          <w:tcPr>
            <w:tcW w:w="1320" w:type="dxa"/>
            <w:tcBorders>
              <w:top w:val="single" w:color="auto" w:sz="6" w:space="0"/>
              <w:left w:val="single" w:color="auto" w:sz="6" w:space="0"/>
              <w:bottom w:val="single" w:color="auto" w:sz="6" w:space="0"/>
              <w:right w:val="single" w:color="auto" w:sz="6" w:space="0"/>
            </w:tcBorders>
            <w:vAlign w:val="bottom"/>
          </w:tcPr>
          <w:p w14:paraId="645E8367">
            <w:pPr>
              <w:pageBreakBefore w:val="0"/>
              <w:kinsoku/>
              <w:wordWrap/>
              <w:overflowPunct/>
              <w:autoSpaceDE/>
              <w:autoSpaceDN/>
              <w:bidi w:val="0"/>
              <w:spacing w:beforeAutospacing="0" w:afterAutospacing="0" w:line="360" w:lineRule="auto"/>
              <w:jc w:val="center"/>
              <w:rPr>
                <w:rFonts w:hint="eastAsia" w:ascii="宋体" w:hAnsi="宋体" w:eastAsia="宋体" w:cs="宋体"/>
                <w:color w:val="auto"/>
                <w:sz w:val="24"/>
                <w:highlight w:val="none"/>
              </w:rPr>
            </w:pPr>
          </w:p>
        </w:tc>
        <w:tc>
          <w:tcPr>
            <w:tcW w:w="2280" w:type="dxa"/>
            <w:tcBorders>
              <w:top w:val="single" w:color="auto" w:sz="6" w:space="0"/>
              <w:left w:val="single" w:color="auto" w:sz="6" w:space="0"/>
              <w:bottom w:val="single" w:color="auto" w:sz="6" w:space="0"/>
              <w:right w:val="single" w:color="auto" w:sz="6" w:space="0"/>
            </w:tcBorders>
          </w:tcPr>
          <w:p w14:paraId="033906E2">
            <w:pPr>
              <w:pageBreakBefore w:val="0"/>
              <w:kinsoku/>
              <w:wordWrap/>
              <w:overflowPunct/>
              <w:autoSpaceDE/>
              <w:autoSpaceDN/>
              <w:bidi w:val="0"/>
              <w:spacing w:beforeAutospacing="0" w:afterAutospacing="0" w:line="360" w:lineRule="auto"/>
              <w:rPr>
                <w:rFonts w:hint="eastAsia" w:ascii="宋体" w:hAnsi="宋体" w:eastAsia="宋体" w:cs="宋体"/>
                <w:color w:val="auto"/>
                <w:sz w:val="24"/>
                <w:highlight w:val="none"/>
              </w:rPr>
            </w:pPr>
          </w:p>
        </w:tc>
        <w:tc>
          <w:tcPr>
            <w:tcW w:w="2280" w:type="dxa"/>
            <w:tcBorders>
              <w:top w:val="single" w:color="auto" w:sz="6" w:space="0"/>
              <w:left w:val="single" w:color="auto" w:sz="6" w:space="0"/>
              <w:bottom w:val="single" w:color="auto" w:sz="6" w:space="0"/>
              <w:right w:val="single" w:color="auto" w:sz="6" w:space="0"/>
            </w:tcBorders>
            <w:vAlign w:val="bottom"/>
          </w:tcPr>
          <w:p w14:paraId="212578CA">
            <w:pPr>
              <w:pageBreakBefore w:val="0"/>
              <w:kinsoku/>
              <w:wordWrap/>
              <w:overflowPunct/>
              <w:autoSpaceDE/>
              <w:autoSpaceDN/>
              <w:bidi w:val="0"/>
              <w:spacing w:beforeAutospacing="0" w:afterAutospacing="0" w:line="360" w:lineRule="auto"/>
              <w:jc w:val="center"/>
              <w:rPr>
                <w:rFonts w:hint="eastAsia" w:ascii="宋体" w:hAnsi="宋体" w:eastAsia="宋体" w:cs="宋体"/>
                <w:color w:val="auto"/>
                <w:sz w:val="24"/>
                <w:highlight w:val="none"/>
              </w:rPr>
            </w:pPr>
          </w:p>
        </w:tc>
        <w:tc>
          <w:tcPr>
            <w:tcW w:w="1800" w:type="dxa"/>
            <w:tcBorders>
              <w:top w:val="single" w:color="auto" w:sz="6" w:space="0"/>
              <w:left w:val="single" w:color="auto" w:sz="6" w:space="0"/>
              <w:bottom w:val="single" w:color="auto" w:sz="6" w:space="0"/>
              <w:right w:val="single" w:color="auto" w:sz="6" w:space="0"/>
            </w:tcBorders>
            <w:vAlign w:val="bottom"/>
          </w:tcPr>
          <w:p w14:paraId="3551A2AE">
            <w:pPr>
              <w:pageBreakBefore w:val="0"/>
              <w:kinsoku/>
              <w:wordWrap/>
              <w:overflowPunct/>
              <w:autoSpaceDE/>
              <w:autoSpaceDN/>
              <w:bidi w:val="0"/>
              <w:spacing w:beforeAutospacing="0" w:afterAutospacing="0" w:line="360" w:lineRule="auto"/>
              <w:jc w:val="center"/>
              <w:rPr>
                <w:rFonts w:hint="eastAsia" w:ascii="宋体" w:hAnsi="宋体" w:eastAsia="宋体" w:cs="宋体"/>
                <w:color w:val="auto"/>
                <w:sz w:val="24"/>
                <w:highlight w:val="none"/>
              </w:rPr>
            </w:pPr>
          </w:p>
        </w:tc>
      </w:tr>
      <w:tr w14:paraId="0BBFD2AC">
        <w:tblPrEx>
          <w:tblCellMar>
            <w:top w:w="0" w:type="dxa"/>
            <w:left w:w="30" w:type="dxa"/>
            <w:bottom w:w="0" w:type="dxa"/>
            <w:right w:w="30" w:type="dxa"/>
          </w:tblCellMar>
        </w:tblPrEx>
        <w:trPr>
          <w:trHeight w:val="428" w:hRule="atLeast"/>
          <w:jc w:val="center"/>
        </w:trPr>
        <w:tc>
          <w:tcPr>
            <w:tcW w:w="630" w:type="dxa"/>
            <w:tcBorders>
              <w:top w:val="single" w:color="auto" w:sz="6" w:space="0"/>
              <w:left w:val="single" w:color="auto" w:sz="6" w:space="0"/>
              <w:bottom w:val="single" w:color="auto" w:sz="6" w:space="0"/>
              <w:right w:val="single" w:color="auto" w:sz="6" w:space="0"/>
            </w:tcBorders>
            <w:vAlign w:val="bottom"/>
          </w:tcPr>
          <w:p w14:paraId="4DBA6CD8">
            <w:pPr>
              <w:pageBreakBefore w:val="0"/>
              <w:kinsoku/>
              <w:wordWrap/>
              <w:overflowPunct/>
              <w:autoSpaceDE/>
              <w:autoSpaceDN/>
              <w:bidi w:val="0"/>
              <w:spacing w:beforeAutospacing="0" w:afterAutospacing="0"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2</w:t>
            </w:r>
          </w:p>
        </w:tc>
        <w:tc>
          <w:tcPr>
            <w:tcW w:w="1320" w:type="dxa"/>
            <w:tcBorders>
              <w:top w:val="single" w:color="auto" w:sz="6" w:space="0"/>
              <w:left w:val="single" w:color="auto" w:sz="6" w:space="0"/>
              <w:bottom w:val="single" w:color="auto" w:sz="6" w:space="0"/>
              <w:right w:val="single" w:color="auto" w:sz="6" w:space="0"/>
            </w:tcBorders>
            <w:vAlign w:val="bottom"/>
          </w:tcPr>
          <w:p w14:paraId="2B3240A1">
            <w:pPr>
              <w:pageBreakBefore w:val="0"/>
              <w:kinsoku/>
              <w:wordWrap/>
              <w:overflowPunct/>
              <w:autoSpaceDE/>
              <w:autoSpaceDN/>
              <w:bidi w:val="0"/>
              <w:spacing w:beforeAutospacing="0" w:afterAutospacing="0" w:line="360" w:lineRule="auto"/>
              <w:jc w:val="center"/>
              <w:rPr>
                <w:rFonts w:hint="eastAsia" w:ascii="宋体" w:hAnsi="宋体" w:eastAsia="宋体" w:cs="宋体"/>
                <w:color w:val="auto"/>
                <w:sz w:val="24"/>
                <w:highlight w:val="none"/>
              </w:rPr>
            </w:pPr>
          </w:p>
        </w:tc>
        <w:tc>
          <w:tcPr>
            <w:tcW w:w="2280" w:type="dxa"/>
            <w:tcBorders>
              <w:top w:val="single" w:color="auto" w:sz="6" w:space="0"/>
              <w:left w:val="single" w:color="auto" w:sz="6" w:space="0"/>
              <w:bottom w:val="single" w:color="auto" w:sz="6" w:space="0"/>
              <w:right w:val="single" w:color="auto" w:sz="6" w:space="0"/>
            </w:tcBorders>
          </w:tcPr>
          <w:p w14:paraId="6AA0293C">
            <w:pPr>
              <w:pageBreakBefore w:val="0"/>
              <w:kinsoku/>
              <w:wordWrap/>
              <w:overflowPunct/>
              <w:autoSpaceDE/>
              <w:autoSpaceDN/>
              <w:bidi w:val="0"/>
              <w:spacing w:beforeAutospacing="0" w:afterAutospacing="0" w:line="360" w:lineRule="auto"/>
              <w:rPr>
                <w:rFonts w:hint="eastAsia" w:ascii="宋体" w:hAnsi="宋体" w:eastAsia="宋体" w:cs="宋体"/>
                <w:color w:val="auto"/>
                <w:sz w:val="24"/>
                <w:highlight w:val="none"/>
              </w:rPr>
            </w:pPr>
          </w:p>
        </w:tc>
        <w:tc>
          <w:tcPr>
            <w:tcW w:w="2280" w:type="dxa"/>
            <w:tcBorders>
              <w:top w:val="single" w:color="auto" w:sz="6" w:space="0"/>
              <w:left w:val="single" w:color="auto" w:sz="6" w:space="0"/>
              <w:bottom w:val="single" w:color="auto" w:sz="6" w:space="0"/>
              <w:right w:val="single" w:color="auto" w:sz="6" w:space="0"/>
            </w:tcBorders>
            <w:vAlign w:val="bottom"/>
          </w:tcPr>
          <w:p w14:paraId="7BD1AEF1">
            <w:pPr>
              <w:pageBreakBefore w:val="0"/>
              <w:kinsoku/>
              <w:wordWrap/>
              <w:overflowPunct/>
              <w:autoSpaceDE/>
              <w:autoSpaceDN/>
              <w:bidi w:val="0"/>
              <w:spacing w:beforeAutospacing="0" w:afterAutospacing="0" w:line="360" w:lineRule="auto"/>
              <w:jc w:val="center"/>
              <w:rPr>
                <w:rFonts w:hint="eastAsia" w:ascii="宋体" w:hAnsi="宋体" w:eastAsia="宋体" w:cs="宋体"/>
                <w:color w:val="auto"/>
                <w:sz w:val="24"/>
                <w:highlight w:val="none"/>
              </w:rPr>
            </w:pPr>
          </w:p>
        </w:tc>
        <w:tc>
          <w:tcPr>
            <w:tcW w:w="1800" w:type="dxa"/>
            <w:tcBorders>
              <w:top w:val="single" w:color="auto" w:sz="6" w:space="0"/>
              <w:left w:val="single" w:color="auto" w:sz="6" w:space="0"/>
              <w:bottom w:val="single" w:color="auto" w:sz="6" w:space="0"/>
              <w:right w:val="single" w:color="auto" w:sz="6" w:space="0"/>
            </w:tcBorders>
            <w:vAlign w:val="bottom"/>
          </w:tcPr>
          <w:p w14:paraId="6C42AFBB">
            <w:pPr>
              <w:pageBreakBefore w:val="0"/>
              <w:kinsoku/>
              <w:wordWrap/>
              <w:overflowPunct/>
              <w:autoSpaceDE/>
              <w:autoSpaceDN/>
              <w:bidi w:val="0"/>
              <w:spacing w:beforeAutospacing="0" w:afterAutospacing="0" w:line="360" w:lineRule="auto"/>
              <w:jc w:val="center"/>
              <w:rPr>
                <w:rFonts w:hint="eastAsia" w:ascii="宋体" w:hAnsi="宋体" w:eastAsia="宋体" w:cs="宋体"/>
                <w:color w:val="auto"/>
                <w:sz w:val="24"/>
                <w:highlight w:val="none"/>
              </w:rPr>
            </w:pPr>
          </w:p>
        </w:tc>
      </w:tr>
      <w:tr w14:paraId="720DA84D">
        <w:tblPrEx>
          <w:tblCellMar>
            <w:top w:w="0" w:type="dxa"/>
            <w:left w:w="30" w:type="dxa"/>
            <w:bottom w:w="0" w:type="dxa"/>
            <w:right w:w="30" w:type="dxa"/>
          </w:tblCellMar>
        </w:tblPrEx>
        <w:trPr>
          <w:trHeight w:val="428" w:hRule="atLeast"/>
          <w:jc w:val="center"/>
        </w:trPr>
        <w:tc>
          <w:tcPr>
            <w:tcW w:w="630" w:type="dxa"/>
            <w:tcBorders>
              <w:top w:val="single" w:color="auto" w:sz="6" w:space="0"/>
              <w:left w:val="single" w:color="auto" w:sz="6" w:space="0"/>
              <w:bottom w:val="single" w:color="auto" w:sz="6" w:space="0"/>
              <w:right w:val="single" w:color="auto" w:sz="6" w:space="0"/>
            </w:tcBorders>
            <w:vAlign w:val="bottom"/>
          </w:tcPr>
          <w:p w14:paraId="010515E7">
            <w:pPr>
              <w:pageBreakBefore w:val="0"/>
              <w:kinsoku/>
              <w:wordWrap/>
              <w:overflowPunct/>
              <w:autoSpaceDE/>
              <w:autoSpaceDN/>
              <w:bidi w:val="0"/>
              <w:spacing w:beforeAutospacing="0" w:afterAutospacing="0"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3</w:t>
            </w:r>
          </w:p>
        </w:tc>
        <w:tc>
          <w:tcPr>
            <w:tcW w:w="1320" w:type="dxa"/>
            <w:tcBorders>
              <w:top w:val="single" w:color="auto" w:sz="6" w:space="0"/>
              <w:left w:val="single" w:color="auto" w:sz="6" w:space="0"/>
              <w:bottom w:val="single" w:color="auto" w:sz="6" w:space="0"/>
              <w:right w:val="single" w:color="auto" w:sz="6" w:space="0"/>
            </w:tcBorders>
            <w:vAlign w:val="bottom"/>
          </w:tcPr>
          <w:p w14:paraId="46596B72">
            <w:pPr>
              <w:pageBreakBefore w:val="0"/>
              <w:kinsoku/>
              <w:wordWrap/>
              <w:overflowPunct/>
              <w:autoSpaceDE/>
              <w:autoSpaceDN/>
              <w:bidi w:val="0"/>
              <w:spacing w:beforeAutospacing="0" w:afterAutospacing="0" w:line="360" w:lineRule="auto"/>
              <w:jc w:val="center"/>
              <w:rPr>
                <w:rFonts w:hint="eastAsia" w:ascii="宋体" w:hAnsi="宋体" w:eastAsia="宋体" w:cs="宋体"/>
                <w:color w:val="auto"/>
                <w:sz w:val="24"/>
                <w:highlight w:val="none"/>
              </w:rPr>
            </w:pPr>
          </w:p>
        </w:tc>
        <w:tc>
          <w:tcPr>
            <w:tcW w:w="2280" w:type="dxa"/>
            <w:tcBorders>
              <w:top w:val="single" w:color="auto" w:sz="6" w:space="0"/>
              <w:left w:val="single" w:color="auto" w:sz="6" w:space="0"/>
              <w:bottom w:val="single" w:color="auto" w:sz="6" w:space="0"/>
              <w:right w:val="single" w:color="auto" w:sz="6" w:space="0"/>
            </w:tcBorders>
          </w:tcPr>
          <w:p w14:paraId="1230D67B">
            <w:pPr>
              <w:pageBreakBefore w:val="0"/>
              <w:kinsoku/>
              <w:wordWrap/>
              <w:overflowPunct/>
              <w:autoSpaceDE/>
              <w:autoSpaceDN/>
              <w:bidi w:val="0"/>
              <w:spacing w:beforeAutospacing="0" w:afterAutospacing="0" w:line="360" w:lineRule="auto"/>
              <w:rPr>
                <w:rFonts w:hint="eastAsia" w:ascii="宋体" w:hAnsi="宋体" w:eastAsia="宋体" w:cs="宋体"/>
                <w:color w:val="auto"/>
                <w:sz w:val="24"/>
                <w:highlight w:val="none"/>
              </w:rPr>
            </w:pPr>
          </w:p>
        </w:tc>
        <w:tc>
          <w:tcPr>
            <w:tcW w:w="2280" w:type="dxa"/>
            <w:tcBorders>
              <w:top w:val="single" w:color="auto" w:sz="6" w:space="0"/>
              <w:left w:val="single" w:color="auto" w:sz="6" w:space="0"/>
              <w:bottom w:val="single" w:color="auto" w:sz="6" w:space="0"/>
              <w:right w:val="single" w:color="auto" w:sz="6" w:space="0"/>
            </w:tcBorders>
            <w:vAlign w:val="bottom"/>
          </w:tcPr>
          <w:p w14:paraId="7B4DBBDE">
            <w:pPr>
              <w:pageBreakBefore w:val="0"/>
              <w:kinsoku/>
              <w:wordWrap/>
              <w:overflowPunct/>
              <w:autoSpaceDE/>
              <w:autoSpaceDN/>
              <w:bidi w:val="0"/>
              <w:spacing w:beforeAutospacing="0" w:afterAutospacing="0" w:line="360" w:lineRule="auto"/>
              <w:jc w:val="center"/>
              <w:rPr>
                <w:rFonts w:hint="eastAsia" w:ascii="宋体" w:hAnsi="宋体" w:eastAsia="宋体" w:cs="宋体"/>
                <w:color w:val="auto"/>
                <w:sz w:val="24"/>
                <w:highlight w:val="none"/>
              </w:rPr>
            </w:pPr>
          </w:p>
        </w:tc>
        <w:tc>
          <w:tcPr>
            <w:tcW w:w="1800" w:type="dxa"/>
            <w:tcBorders>
              <w:top w:val="single" w:color="auto" w:sz="6" w:space="0"/>
              <w:left w:val="single" w:color="auto" w:sz="6" w:space="0"/>
              <w:bottom w:val="single" w:color="auto" w:sz="6" w:space="0"/>
              <w:right w:val="single" w:color="auto" w:sz="6" w:space="0"/>
            </w:tcBorders>
            <w:vAlign w:val="bottom"/>
          </w:tcPr>
          <w:p w14:paraId="7838BFBE">
            <w:pPr>
              <w:pageBreakBefore w:val="0"/>
              <w:kinsoku/>
              <w:wordWrap/>
              <w:overflowPunct/>
              <w:autoSpaceDE/>
              <w:autoSpaceDN/>
              <w:bidi w:val="0"/>
              <w:spacing w:beforeAutospacing="0" w:afterAutospacing="0" w:line="360" w:lineRule="auto"/>
              <w:jc w:val="center"/>
              <w:rPr>
                <w:rFonts w:hint="eastAsia" w:ascii="宋体" w:hAnsi="宋体" w:eastAsia="宋体" w:cs="宋体"/>
                <w:color w:val="auto"/>
                <w:sz w:val="24"/>
                <w:highlight w:val="none"/>
              </w:rPr>
            </w:pPr>
          </w:p>
        </w:tc>
      </w:tr>
      <w:tr w14:paraId="54F3F8EB">
        <w:tblPrEx>
          <w:tblCellMar>
            <w:top w:w="0" w:type="dxa"/>
            <w:left w:w="30" w:type="dxa"/>
            <w:bottom w:w="0" w:type="dxa"/>
            <w:right w:w="30" w:type="dxa"/>
          </w:tblCellMar>
        </w:tblPrEx>
        <w:trPr>
          <w:trHeight w:val="428" w:hRule="atLeast"/>
          <w:jc w:val="center"/>
        </w:trPr>
        <w:tc>
          <w:tcPr>
            <w:tcW w:w="630" w:type="dxa"/>
            <w:tcBorders>
              <w:top w:val="single" w:color="auto" w:sz="6" w:space="0"/>
              <w:left w:val="single" w:color="auto" w:sz="6" w:space="0"/>
              <w:bottom w:val="single" w:color="auto" w:sz="6" w:space="0"/>
              <w:right w:val="single" w:color="auto" w:sz="6" w:space="0"/>
            </w:tcBorders>
            <w:vAlign w:val="bottom"/>
          </w:tcPr>
          <w:p w14:paraId="3C3C8084">
            <w:pPr>
              <w:pageBreakBefore w:val="0"/>
              <w:kinsoku/>
              <w:wordWrap/>
              <w:overflowPunct/>
              <w:autoSpaceDE/>
              <w:autoSpaceDN/>
              <w:bidi w:val="0"/>
              <w:spacing w:beforeAutospacing="0" w:afterAutospacing="0"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4</w:t>
            </w:r>
          </w:p>
        </w:tc>
        <w:tc>
          <w:tcPr>
            <w:tcW w:w="1320" w:type="dxa"/>
            <w:tcBorders>
              <w:top w:val="single" w:color="auto" w:sz="6" w:space="0"/>
              <w:left w:val="single" w:color="auto" w:sz="6" w:space="0"/>
              <w:bottom w:val="single" w:color="auto" w:sz="6" w:space="0"/>
              <w:right w:val="single" w:color="auto" w:sz="6" w:space="0"/>
            </w:tcBorders>
            <w:vAlign w:val="bottom"/>
          </w:tcPr>
          <w:p w14:paraId="1C699C63">
            <w:pPr>
              <w:pageBreakBefore w:val="0"/>
              <w:kinsoku/>
              <w:wordWrap/>
              <w:overflowPunct/>
              <w:autoSpaceDE/>
              <w:autoSpaceDN/>
              <w:bidi w:val="0"/>
              <w:spacing w:beforeAutospacing="0" w:afterAutospacing="0" w:line="360" w:lineRule="auto"/>
              <w:jc w:val="center"/>
              <w:rPr>
                <w:rFonts w:hint="eastAsia" w:ascii="宋体" w:hAnsi="宋体" w:eastAsia="宋体" w:cs="宋体"/>
                <w:color w:val="auto"/>
                <w:sz w:val="24"/>
                <w:highlight w:val="none"/>
              </w:rPr>
            </w:pPr>
          </w:p>
        </w:tc>
        <w:tc>
          <w:tcPr>
            <w:tcW w:w="2280" w:type="dxa"/>
            <w:tcBorders>
              <w:top w:val="single" w:color="auto" w:sz="6" w:space="0"/>
              <w:left w:val="single" w:color="auto" w:sz="6" w:space="0"/>
              <w:bottom w:val="single" w:color="auto" w:sz="6" w:space="0"/>
              <w:right w:val="single" w:color="auto" w:sz="6" w:space="0"/>
            </w:tcBorders>
          </w:tcPr>
          <w:p w14:paraId="2E2FBF4F">
            <w:pPr>
              <w:pageBreakBefore w:val="0"/>
              <w:kinsoku/>
              <w:wordWrap/>
              <w:overflowPunct/>
              <w:autoSpaceDE/>
              <w:autoSpaceDN/>
              <w:bidi w:val="0"/>
              <w:spacing w:beforeAutospacing="0" w:afterAutospacing="0" w:line="360" w:lineRule="auto"/>
              <w:rPr>
                <w:rFonts w:hint="eastAsia" w:ascii="宋体" w:hAnsi="宋体" w:eastAsia="宋体" w:cs="宋体"/>
                <w:color w:val="auto"/>
                <w:sz w:val="24"/>
                <w:highlight w:val="none"/>
              </w:rPr>
            </w:pPr>
          </w:p>
        </w:tc>
        <w:tc>
          <w:tcPr>
            <w:tcW w:w="2280" w:type="dxa"/>
            <w:tcBorders>
              <w:top w:val="single" w:color="auto" w:sz="6" w:space="0"/>
              <w:left w:val="single" w:color="auto" w:sz="6" w:space="0"/>
              <w:bottom w:val="single" w:color="auto" w:sz="6" w:space="0"/>
              <w:right w:val="single" w:color="auto" w:sz="6" w:space="0"/>
            </w:tcBorders>
            <w:vAlign w:val="bottom"/>
          </w:tcPr>
          <w:p w14:paraId="4482B8A5">
            <w:pPr>
              <w:pageBreakBefore w:val="0"/>
              <w:kinsoku/>
              <w:wordWrap/>
              <w:overflowPunct/>
              <w:autoSpaceDE/>
              <w:autoSpaceDN/>
              <w:bidi w:val="0"/>
              <w:spacing w:beforeAutospacing="0" w:afterAutospacing="0" w:line="360" w:lineRule="auto"/>
              <w:jc w:val="center"/>
              <w:rPr>
                <w:rFonts w:hint="eastAsia" w:ascii="宋体" w:hAnsi="宋体" w:eastAsia="宋体" w:cs="宋体"/>
                <w:color w:val="auto"/>
                <w:sz w:val="24"/>
                <w:highlight w:val="none"/>
              </w:rPr>
            </w:pPr>
          </w:p>
        </w:tc>
        <w:tc>
          <w:tcPr>
            <w:tcW w:w="1800" w:type="dxa"/>
            <w:tcBorders>
              <w:top w:val="single" w:color="auto" w:sz="6" w:space="0"/>
              <w:left w:val="single" w:color="auto" w:sz="6" w:space="0"/>
              <w:bottom w:val="single" w:color="auto" w:sz="6" w:space="0"/>
              <w:right w:val="single" w:color="auto" w:sz="6" w:space="0"/>
            </w:tcBorders>
            <w:vAlign w:val="bottom"/>
          </w:tcPr>
          <w:p w14:paraId="488C522E">
            <w:pPr>
              <w:pageBreakBefore w:val="0"/>
              <w:kinsoku/>
              <w:wordWrap/>
              <w:overflowPunct/>
              <w:autoSpaceDE/>
              <w:autoSpaceDN/>
              <w:bidi w:val="0"/>
              <w:spacing w:beforeAutospacing="0" w:afterAutospacing="0" w:line="360" w:lineRule="auto"/>
              <w:jc w:val="center"/>
              <w:rPr>
                <w:rFonts w:hint="eastAsia" w:ascii="宋体" w:hAnsi="宋体" w:eastAsia="宋体" w:cs="宋体"/>
                <w:color w:val="auto"/>
                <w:sz w:val="24"/>
                <w:highlight w:val="none"/>
              </w:rPr>
            </w:pPr>
          </w:p>
        </w:tc>
      </w:tr>
    </w:tbl>
    <w:p w14:paraId="2D4E9150">
      <w:pPr>
        <w:pageBreakBefore w:val="0"/>
        <w:kinsoku/>
        <w:wordWrap/>
        <w:overflowPunct/>
        <w:autoSpaceDE/>
        <w:autoSpaceDN/>
        <w:bidi w:val="0"/>
        <w:spacing w:beforeAutospacing="0" w:afterAutospacing="0" w:line="360" w:lineRule="auto"/>
        <w:ind w:firstLine="504" w:firstLineChars="200"/>
        <w:rPr>
          <w:rFonts w:hint="eastAsia" w:ascii="宋体" w:hAnsi="宋体" w:eastAsia="宋体" w:cs="宋体"/>
          <w:color w:val="auto"/>
          <w:spacing w:val="6"/>
          <w:sz w:val="24"/>
          <w:highlight w:val="none"/>
        </w:rPr>
      </w:pPr>
      <w:r>
        <w:rPr>
          <w:rFonts w:hint="eastAsia" w:ascii="宋体" w:hAnsi="宋体" w:eastAsia="宋体" w:cs="宋体"/>
          <w:color w:val="auto"/>
          <w:spacing w:val="6"/>
          <w:sz w:val="24"/>
          <w:highlight w:val="none"/>
        </w:rPr>
        <w:t>以下表格每人一份。资质需提供证书复印件。</w:t>
      </w:r>
    </w:p>
    <w:tbl>
      <w:tblPr>
        <w:tblStyle w:val="16"/>
        <w:tblW w:w="88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14"/>
        <w:gridCol w:w="2214"/>
        <w:gridCol w:w="2214"/>
        <w:gridCol w:w="2214"/>
      </w:tblGrid>
      <w:tr w14:paraId="72F03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14" w:type="dxa"/>
          </w:tcPr>
          <w:p w14:paraId="6DBCADF7">
            <w:pPr>
              <w:pageBreakBefore w:val="0"/>
              <w:kinsoku/>
              <w:wordWrap/>
              <w:overflowPunct/>
              <w:autoSpaceDE/>
              <w:autoSpaceDN/>
              <w:bidi w:val="0"/>
              <w:spacing w:beforeAutospacing="0" w:afterAutospacing="0"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姓名</w:t>
            </w:r>
          </w:p>
        </w:tc>
        <w:tc>
          <w:tcPr>
            <w:tcW w:w="2214" w:type="dxa"/>
          </w:tcPr>
          <w:p w14:paraId="219695E5">
            <w:pPr>
              <w:pageBreakBefore w:val="0"/>
              <w:kinsoku/>
              <w:wordWrap/>
              <w:overflowPunct/>
              <w:autoSpaceDE/>
              <w:autoSpaceDN/>
              <w:bidi w:val="0"/>
              <w:spacing w:beforeAutospacing="0" w:afterAutospacing="0" w:line="360" w:lineRule="auto"/>
              <w:jc w:val="center"/>
              <w:rPr>
                <w:rFonts w:hint="eastAsia" w:ascii="宋体" w:hAnsi="宋体" w:eastAsia="宋体" w:cs="宋体"/>
                <w:color w:val="auto"/>
                <w:sz w:val="24"/>
                <w:highlight w:val="none"/>
              </w:rPr>
            </w:pPr>
          </w:p>
        </w:tc>
        <w:tc>
          <w:tcPr>
            <w:tcW w:w="2214" w:type="dxa"/>
          </w:tcPr>
          <w:p w14:paraId="02BDC3FF">
            <w:pPr>
              <w:pageBreakBefore w:val="0"/>
              <w:kinsoku/>
              <w:wordWrap/>
              <w:overflowPunct/>
              <w:autoSpaceDE/>
              <w:autoSpaceDN/>
              <w:bidi w:val="0"/>
              <w:spacing w:beforeAutospacing="0" w:afterAutospacing="0"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角色</w:t>
            </w:r>
          </w:p>
        </w:tc>
        <w:tc>
          <w:tcPr>
            <w:tcW w:w="2214" w:type="dxa"/>
          </w:tcPr>
          <w:p w14:paraId="2DDE82A7">
            <w:pPr>
              <w:pageBreakBefore w:val="0"/>
              <w:kinsoku/>
              <w:wordWrap/>
              <w:overflowPunct/>
              <w:autoSpaceDE/>
              <w:autoSpaceDN/>
              <w:bidi w:val="0"/>
              <w:spacing w:beforeAutospacing="0" w:afterAutospacing="0" w:line="360" w:lineRule="auto"/>
              <w:jc w:val="center"/>
              <w:rPr>
                <w:rFonts w:hint="eastAsia" w:ascii="宋体" w:hAnsi="宋体" w:eastAsia="宋体" w:cs="宋体"/>
                <w:color w:val="auto"/>
                <w:sz w:val="24"/>
                <w:highlight w:val="none"/>
              </w:rPr>
            </w:pPr>
          </w:p>
        </w:tc>
      </w:tr>
      <w:tr w14:paraId="63E0CA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14" w:type="dxa"/>
          </w:tcPr>
          <w:p w14:paraId="1549E5DA">
            <w:pPr>
              <w:pageBreakBefore w:val="0"/>
              <w:kinsoku/>
              <w:wordWrap/>
              <w:overflowPunct/>
              <w:autoSpaceDE/>
              <w:autoSpaceDN/>
              <w:bidi w:val="0"/>
              <w:spacing w:beforeAutospacing="0" w:afterAutospacing="0"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身份证号码</w:t>
            </w:r>
          </w:p>
        </w:tc>
        <w:tc>
          <w:tcPr>
            <w:tcW w:w="6642" w:type="dxa"/>
            <w:gridSpan w:val="3"/>
          </w:tcPr>
          <w:p w14:paraId="290A662F">
            <w:pPr>
              <w:pageBreakBefore w:val="0"/>
              <w:kinsoku/>
              <w:wordWrap/>
              <w:overflowPunct/>
              <w:autoSpaceDE/>
              <w:autoSpaceDN/>
              <w:bidi w:val="0"/>
              <w:spacing w:beforeAutospacing="0" w:afterAutospacing="0" w:line="360" w:lineRule="auto"/>
              <w:jc w:val="center"/>
              <w:rPr>
                <w:rFonts w:hint="eastAsia" w:ascii="宋体" w:hAnsi="宋体" w:eastAsia="宋体" w:cs="宋体"/>
                <w:color w:val="auto"/>
                <w:sz w:val="24"/>
                <w:highlight w:val="none"/>
              </w:rPr>
            </w:pPr>
          </w:p>
        </w:tc>
      </w:tr>
      <w:tr w14:paraId="260D03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14" w:type="dxa"/>
          </w:tcPr>
          <w:p w14:paraId="2E206893">
            <w:pPr>
              <w:pageBreakBefore w:val="0"/>
              <w:kinsoku/>
              <w:wordWrap/>
              <w:overflowPunct/>
              <w:autoSpaceDE/>
              <w:autoSpaceDN/>
              <w:bidi w:val="0"/>
              <w:spacing w:beforeAutospacing="0" w:afterAutospacing="0"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资质</w:t>
            </w:r>
          </w:p>
        </w:tc>
        <w:tc>
          <w:tcPr>
            <w:tcW w:w="6642" w:type="dxa"/>
            <w:gridSpan w:val="3"/>
          </w:tcPr>
          <w:p w14:paraId="786A1561">
            <w:pPr>
              <w:pageBreakBefore w:val="0"/>
              <w:kinsoku/>
              <w:wordWrap/>
              <w:overflowPunct/>
              <w:autoSpaceDE/>
              <w:autoSpaceDN/>
              <w:bidi w:val="0"/>
              <w:spacing w:beforeAutospacing="0" w:afterAutospacing="0" w:line="360" w:lineRule="auto"/>
              <w:jc w:val="center"/>
              <w:rPr>
                <w:rFonts w:hint="eastAsia" w:ascii="宋体" w:hAnsi="宋体" w:eastAsia="宋体" w:cs="宋体"/>
                <w:color w:val="auto"/>
                <w:sz w:val="24"/>
                <w:highlight w:val="none"/>
              </w:rPr>
            </w:pPr>
          </w:p>
        </w:tc>
      </w:tr>
      <w:tr w14:paraId="5AD054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214" w:type="dxa"/>
          </w:tcPr>
          <w:p w14:paraId="6C04A42B">
            <w:pPr>
              <w:pageBreakBefore w:val="0"/>
              <w:kinsoku/>
              <w:wordWrap/>
              <w:overflowPunct/>
              <w:autoSpaceDE/>
              <w:autoSpaceDN/>
              <w:bidi w:val="0"/>
              <w:spacing w:beforeAutospacing="0" w:afterAutospacing="0" w:line="360" w:lineRule="auto"/>
              <w:jc w:val="center"/>
              <w:rPr>
                <w:rFonts w:hint="eastAsia" w:ascii="宋体" w:hAnsi="宋体" w:eastAsia="宋体" w:cs="宋体"/>
                <w:color w:val="auto"/>
                <w:sz w:val="24"/>
                <w:highlight w:val="none"/>
              </w:rPr>
            </w:pPr>
            <w:r>
              <w:rPr>
                <w:rFonts w:hint="eastAsia" w:ascii="宋体" w:hAnsi="宋体" w:eastAsia="宋体" w:cs="宋体"/>
                <w:color w:val="auto"/>
                <w:sz w:val="24"/>
                <w:highlight w:val="none"/>
              </w:rPr>
              <w:t>工作经历</w:t>
            </w:r>
          </w:p>
        </w:tc>
        <w:tc>
          <w:tcPr>
            <w:tcW w:w="6642" w:type="dxa"/>
            <w:gridSpan w:val="3"/>
          </w:tcPr>
          <w:p w14:paraId="68D14938">
            <w:pPr>
              <w:pageBreakBefore w:val="0"/>
              <w:kinsoku/>
              <w:wordWrap/>
              <w:overflowPunct/>
              <w:autoSpaceDE/>
              <w:autoSpaceDN/>
              <w:bidi w:val="0"/>
              <w:spacing w:beforeAutospacing="0" w:afterAutospacing="0" w:line="360" w:lineRule="auto"/>
              <w:jc w:val="center"/>
              <w:rPr>
                <w:rFonts w:hint="eastAsia" w:ascii="宋体" w:hAnsi="宋体" w:eastAsia="宋体" w:cs="宋体"/>
                <w:color w:val="auto"/>
                <w:sz w:val="24"/>
                <w:highlight w:val="none"/>
              </w:rPr>
            </w:pPr>
          </w:p>
        </w:tc>
      </w:tr>
    </w:tbl>
    <w:p w14:paraId="2CD6D3EF">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（二）人员安全审查要求</w:t>
      </w:r>
    </w:p>
    <w:p w14:paraId="1639F83A">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鉴于本项目涉及甲方业务数据及可信数据交换平台建设，投标人所有参与项目实施的人员须配合招标人完成身份核验与安全背景审查，审查通过后方可接触甲方相关系统及数据资源。招标人有权对审查不通过的人员提出更换要求，投标人须在收到通知后5个工作日内完成替换。</w:t>
      </w:r>
    </w:p>
    <w:p w14:paraId="369F0C52">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（三）人员变更要求</w:t>
      </w:r>
    </w:p>
    <w:p w14:paraId="0522F229">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项目实施期间，项目组成员如需调整或更换，投标人须提前提交书面申请并加盖公章，经招标人书面同意后方可执行。替换人员的能力水平不得低于原人员，并须重新完成安全审查流程。</w:t>
      </w:r>
    </w:p>
    <w:p w14:paraId="0EB07325">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（四）离场权限管理要求</w:t>
      </w:r>
    </w:p>
    <w:p w14:paraId="2CF868A5">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项目实施期间及项目结束后，投标人须配合招标人及时完成离场人员的系统账号注销、门禁权限回收及数据访问权限清除工作。人员离场须由招标人相关负责人确认签字，投标人不得自行操作权限变更。</w:t>
      </w:r>
    </w:p>
    <w:p w14:paraId="73257CD2">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（五）运维团队要求</w:t>
      </w:r>
    </w:p>
    <w:p w14:paraId="654FF6A6">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项目验收后，投标人须与招标人组成联合运维团队，明确双方在日常运维、故障响应、版本更新等方面的职责分工，并在验收前提交运维方案及人员配置计划，经招标人审核确认后执行。</w:t>
      </w:r>
    </w:p>
    <w:p w14:paraId="3201CE91">
      <w:pPr>
        <w:pStyle w:val="20"/>
        <w:pageBreakBefore w:val="0"/>
        <w:numPr>
          <w:ilvl w:val="0"/>
          <w:numId w:val="6"/>
        </w:numPr>
        <w:kinsoku/>
        <w:wordWrap/>
        <w:overflowPunct/>
        <w:autoSpaceDE/>
        <w:autoSpaceDN/>
        <w:bidi w:val="0"/>
        <w:spacing w:beforeAutospacing="0" w:afterAutospacing="0" w:line="360" w:lineRule="auto"/>
        <w:ind w:firstLine="504"/>
        <w:rPr>
          <w:rFonts w:hint="eastAsia" w:eastAsia="宋体" w:cs="宋体"/>
          <w:color w:val="auto"/>
          <w:sz w:val="24"/>
          <w:szCs w:val="24"/>
          <w:highlight w:val="none"/>
        </w:rPr>
      </w:pPr>
      <w:r>
        <w:rPr>
          <w:rFonts w:hint="eastAsia" w:eastAsia="宋体" w:cs="宋体"/>
          <w:color w:val="auto"/>
          <w:sz w:val="24"/>
          <w:szCs w:val="24"/>
          <w:highlight w:val="none"/>
        </w:rPr>
        <w:t>项目实施环境要求</w:t>
      </w:r>
    </w:p>
    <w:p w14:paraId="5BE4225E">
      <w:pPr>
        <w:pStyle w:val="20"/>
        <w:pageBreakBefore w:val="0"/>
        <w:kinsoku/>
        <w:wordWrap/>
        <w:overflowPunct/>
        <w:autoSpaceDE/>
        <w:autoSpaceDN/>
        <w:bidi w:val="0"/>
        <w:spacing w:beforeAutospacing="0" w:afterAutospacing="0" w:line="360" w:lineRule="auto"/>
        <w:ind w:firstLine="504"/>
        <w:rPr>
          <w:rFonts w:hint="eastAsia" w:eastAsia="宋体" w:cs="宋体"/>
          <w:color w:val="auto"/>
          <w:sz w:val="24"/>
          <w:szCs w:val="24"/>
          <w:highlight w:val="none"/>
        </w:rPr>
      </w:pPr>
      <w:r>
        <w:rPr>
          <w:rFonts w:hint="eastAsia" w:eastAsia="宋体" w:cs="宋体"/>
          <w:color w:val="auto"/>
          <w:sz w:val="24"/>
          <w:szCs w:val="24"/>
          <w:highlight w:val="none"/>
        </w:rPr>
        <w:t>本项目包含内部系统改造与外部平台对接两类工作。其中，涉及甲方内部系统接入、数据访问及安全敏感操作的工作内容，投标人须在招标人指定工作场地开展，并满足以下要求：</w:t>
      </w:r>
    </w:p>
    <w:p w14:paraId="3F1C00DC">
      <w:pPr>
        <w:pStyle w:val="20"/>
        <w:pageBreakBefore w:val="0"/>
        <w:kinsoku/>
        <w:wordWrap/>
        <w:overflowPunct/>
        <w:autoSpaceDE/>
        <w:autoSpaceDN/>
        <w:bidi w:val="0"/>
        <w:spacing w:beforeAutospacing="0" w:afterAutospacing="0" w:line="360" w:lineRule="auto"/>
        <w:ind w:firstLine="504"/>
        <w:rPr>
          <w:rFonts w:hint="eastAsia" w:eastAsia="宋体" w:cs="宋体"/>
          <w:color w:val="auto"/>
          <w:sz w:val="24"/>
          <w:szCs w:val="24"/>
          <w:highlight w:val="none"/>
        </w:rPr>
      </w:pPr>
      <w:r>
        <w:rPr>
          <w:rFonts w:hint="eastAsia" w:eastAsia="宋体" w:cs="宋体"/>
          <w:color w:val="auto"/>
          <w:sz w:val="24"/>
          <w:szCs w:val="24"/>
          <w:highlight w:val="none"/>
        </w:rPr>
        <w:t>1.</w:t>
      </w:r>
      <w:r>
        <w:rPr>
          <w:rFonts w:hint="eastAsia" w:eastAsia="宋体" w:cs="宋体"/>
          <w:color w:val="auto"/>
          <w:sz w:val="24"/>
          <w:szCs w:val="24"/>
          <w:highlight w:val="none"/>
        </w:rPr>
        <w:tab/>
      </w:r>
      <w:r>
        <w:rPr>
          <w:rFonts w:hint="eastAsia" w:eastAsia="宋体" w:cs="宋体"/>
          <w:color w:val="auto"/>
          <w:sz w:val="24"/>
          <w:szCs w:val="24"/>
          <w:highlight w:val="none"/>
        </w:rPr>
        <w:t>工作场地须位于招标人现场车程30分钟以内，确保响应及时性。</w:t>
      </w:r>
    </w:p>
    <w:p w14:paraId="77728D62">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2.</w:t>
      </w:r>
      <w:r>
        <w:rPr>
          <w:rFonts w:hint="eastAsia" w:asciiTheme="minorEastAsia" w:hAnsiTheme="minorEastAsia" w:cstheme="minorEastAsia"/>
          <w:color w:val="auto"/>
          <w:sz w:val="24"/>
          <w:szCs w:val="24"/>
          <w:highlight w:val="none"/>
        </w:rPr>
        <w:tab/>
      </w:r>
      <w:r>
        <w:rPr>
          <w:rFonts w:hint="eastAsia" w:asciiTheme="minorEastAsia" w:hAnsiTheme="minorEastAsia" w:cstheme="minorEastAsia"/>
          <w:color w:val="auto"/>
          <w:sz w:val="24"/>
          <w:szCs w:val="24"/>
          <w:highlight w:val="none"/>
        </w:rPr>
        <w:t>工作场地须具备正常办公所需的网络、电话、客户终端等基础设施，具备工作能力；场地、设备及网络接入等相关费用由投标人自行承担。</w:t>
      </w:r>
    </w:p>
    <w:p w14:paraId="73C20D25">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3.内部系统部署及联调工作需在招标人提供的专属工作场地（位于招标人现场步行5分钟以内）内完成，以确保信息安全管理要求。</w:t>
      </w:r>
    </w:p>
    <w:p w14:paraId="71BF2DFB">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涉及外部平台对接、跨链接口申请及第三方协调的工作内容，不受上述驻场要求约束，但投标人须保持与招标人的实时沟通响应能力，相关工作进展须按项目管理要求及时报告。</w:t>
      </w:r>
    </w:p>
    <w:p w14:paraId="2356C125">
      <w:pPr>
        <w:pStyle w:val="5"/>
        <w:pageBreakBefore w:val="0"/>
        <w:kinsoku/>
        <w:wordWrap/>
        <w:overflowPunct/>
        <w:autoSpaceDE/>
        <w:autoSpaceDN/>
        <w:bidi w:val="0"/>
        <w:spacing w:beforeAutospacing="0" w:afterAutospacing="0" w:line="360" w:lineRule="auto"/>
        <w:outlineLvl w:val="1"/>
        <w:rPr>
          <w:rFonts w:hint="eastAsia" w:eastAsia="宋体" w:cs="Times New Roman"/>
          <w:color w:val="auto"/>
          <w:sz w:val="24"/>
          <w:szCs w:val="24"/>
          <w:highlight w:val="none"/>
        </w:rPr>
      </w:pPr>
      <w:bookmarkStart w:id="31" w:name="_Toc26769"/>
      <w:r>
        <w:rPr>
          <w:rFonts w:hint="eastAsia" w:eastAsia="宋体" w:cs="Times New Roman"/>
          <w:color w:val="auto"/>
          <w:sz w:val="24"/>
          <w:szCs w:val="24"/>
          <w:highlight w:val="none"/>
        </w:rPr>
        <w:t>实施保证</w:t>
      </w:r>
      <w:bookmarkEnd w:id="31"/>
    </w:p>
    <w:p w14:paraId="3A218502">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（一）组织保证</w:t>
      </w:r>
    </w:p>
    <w:p w14:paraId="35881BD3">
      <w:pPr>
        <w:pStyle w:val="20"/>
        <w:pageBreakBefore w:val="0"/>
        <w:numPr>
          <w:ilvl w:val="0"/>
          <w:numId w:val="7"/>
        </w:numPr>
        <w:tabs>
          <w:tab w:val="left" w:pos="1050"/>
        </w:tabs>
        <w:kinsoku/>
        <w:wordWrap/>
        <w:overflowPunct/>
        <w:autoSpaceDE/>
        <w:autoSpaceDN/>
        <w:bidi w:val="0"/>
        <w:spacing w:beforeAutospacing="0" w:afterAutospacing="0" w:line="360" w:lineRule="auto"/>
        <w:ind w:left="5" w:firstLine="635" w:firstLineChars="0"/>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招标人有权对投标人拟派参与本项目的人员进行面试，面试通过后方可进场；</w:t>
      </w:r>
    </w:p>
    <w:p w14:paraId="001F367A">
      <w:pPr>
        <w:pStyle w:val="20"/>
        <w:pageBreakBefore w:val="0"/>
        <w:numPr>
          <w:ilvl w:val="0"/>
          <w:numId w:val="7"/>
        </w:numPr>
        <w:tabs>
          <w:tab w:val="left" w:pos="1050"/>
        </w:tabs>
        <w:kinsoku/>
        <w:wordWrap/>
        <w:overflowPunct/>
        <w:autoSpaceDE/>
        <w:autoSpaceDN/>
        <w:bidi w:val="0"/>
        <w:spacing w:beforeAutospacing="0" w:afterAutospacing="0" w:line="360" w:lineRule="auto"/>
        <w:ind w:left="5" w:firstLine="635" w:firstLineChars="0"/>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项目团队须包含项目经理、项目实施人员、区块链技术支持人员及后台应急支持人员，各角色职责须在项目管理章程中明确；</w:t>
      </w:r>
    </w:p>
    <w:p w14:paraId="18325864">
      <w:pPr>
        <w:pStyle w:val="20"/>
        <w:pageBreakBefore w:val="0"/>
        <w:numPr>
          <w:ilvl w:val="0"/>
          <w:numId w:val="7"/>
        </w:numPr>
        <w:tabs>
          <w:tab w:val="left" w:pos="1050"/>
        </w:tabs>
        <w:kinsoku/>
        <w:wordWrap/>
        <w:overflowPunct/>
        <w:autoSpaceDE/>
        <w:autoSpaceDN/>
        <w:bidi w:val="0"/>
        <w:spacing w:beforeAutospacing="0" w:afterAutospacing="0" w:line="360" w:lineRule="auto"/>
        <w:ind w:left="5" w:firstLine="635" w:firstLineChars="0"/>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投标人进场时须向招标人提交完整的项目组成员名单及个人资质证明材料；</w:t>
      </w:r>
    </w:p>
    <w:p w14:paraId="31047293">
      <w:pPr>
        <w:pStyle w:val="20"/>
        <w:pageBreakBefore w:val="0"/>
        <w:numPr>
          <w:ilvl w:val="0"/>
          <w:numId w:val="7"/>
        </w:numPr>
        <w:tabs>
          <w:tab w:val="left" w:pos="1050"/>
        </w:tabs>
        <w:kinsoku/>
        <w:wordWrap/>
        <w:overflowPunct/>
        <w:autoSpaceDE/>
        <w:autoSpaceDN/>
        <w:bidi w:val="0"/>
        <w:spacing w:beforeAutospacing="0" w:afterAutospacing="0" w:line="360" w:lineRule="auto"/>
        <w:ind w:left="5" w:firstLine="635" w:firstLineChars="0"/>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项目实施期间，投标人须保证团队人员稳定性，人员变动须经招标人书面同意后方可执行。</w:t>
      </w:r>
    </w:p>
    <w:p w14:paraId="4B80CB23">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（二）质量保证</w:t>
      </w:r>
    </w:p>
    <w:p w14:paraId="2E3774C9">
      <w:pPr>
        <w:pStyle w:val="20"/>
        <w:pageBreakBefore w:val="0"/>
        <w:numPr>
          <w:ilvl w:val="0"/>
          <w:numId w:val="8"/>
        </w:numPr>
        <w:tabs>
          <w:tab w:val="left" w:pos="1050"/>
        </w:tabs>
        <w:kinsoku/>
        <w:wordWrap/>
        <w:overflowPunct/>
        <w:autoSpaceDE/>
        <w:autoSpaceDN/>
        <w:bidi w:val="0"/>
        <w:spacing w:beforeAutospacing="0" w:afterAutospacing="0" w:line="360" w:lineRule="auto"/>
        <w:ind w:left="5" w:firstLine="635" w:firstLineChars="0"/>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投标人须在项目启动阶段根据项目的总体目标、项目范围以及项目进度计划，双方确定有效的项目质量标准。</w:t>
      </w:r>
    </w:p>
    <w:p w14:paraId="615CAE71">
      <w:pPr>
        <w:pStyle w:val="20"/>
        <w:pageBreakBefore w:val="0"/>
        <w:numPr>
          <w:ilvl w:val="0"/>
          <w:numId w:val="8"/>
        </w:numPr>
        <w:tabs>
          <w:tab w:val="left" w:pos="1050"/>
        </w:tabs>
        <w:kinsoku/>
        <w:wordWrap/>
        <w:overflowPunct/>
        <w:autoSpaceDE/>
        <w:autoSpaceDN/>
        <w:bidi w:val="0"/>
        <w:spacing w:beforeAutospacing="0" w:afterAutospacing="0" w:line="360" w:lineRule="auto"/>
        <w:ind w:left="5" w:firstLine="635" w:firstLineChars="0"/>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项目执行过程中，投标人须通过进度报告、例会纪要、里程碑评审等方式持续监测项目质量，发现偏差须在下一工作日内向招标人报告并提出纠正措施；</w:t>
      </w:r>
    </w:p>
    <w:p w14:paraId="5C32F9DC">
      <w:pPr>
        <w:pStyle w:val="20"/>
        <w:pageBreakBefore w:val="0"/>
        <w:numPr>
          <w:ilvl w:val="0"/>
          <w:numId w:val="8"/>
        </w:numPr>
        <w:tabs>
          <w:tab w:val="left" w:pos="1050"/>
        </w:tabs>
        <w:kinsoku/>
        <w:wordWrap/>
        <w:overflowPunct/>
        <w:autoSpaceDE/>
        <w:autoSpaceDN/>
        <w:bidi w:val="0"/>
        <w:spacing w:beforeAutospacing="0" w:afterAutospacing="0" w:line="360" w:lineRule="auto"/>
        <w:ind w:left="5" w:firstLine="635" w:firstLineChars="0"/>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投标人须保证交付物符合国家相关技术标准、招标人内部信息化管理规。投标人提供的技术方案须符合的标准规范包括但不限于以下：</w:t>
      </w:r>
    </w:p>
    <w:p w14:paraId="2CC54C30">
      <w:pPr>
        <w:pStyle w:val="20"/>
        <w:pageBreakBefore w:val="0"/>
        <w:tabs>
          <w:tab w:val="left" w:pos="1050"/>
        </w:tabs>
        <w:kinsoku/>
        <w:wordWrap/>
        <w:overflowPunct/>
        <w:autoSpaceDE/>
        <w:autoSpaceDN/>
        <w:bidi w:val="0"/>
        <w:spacing w:beforeAutospacing="0" w:afterAutospacing="0" w:line="360" w:lineRule="auto"/>
        <w:ind w:firstLine="637" w:firstLineChars="253"/>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（1）GB/T 43572-2023 《区块链和分布式记账技术 术语》</w:t>
      </w:r>
    </w:p>
    <w:p w14:paraId="0737B1D7">
      <w:pPr>
        <w:pStyle w:val="20"/>
        <w:pageBreakBefore w:val="0"/>
        <w:tabs>
          <w:tab w:val="left" w:pos="1050"/>
        </w:tabs>
        <w:kinsoku/>
        <w:wordWrap/>
        <w:overflowPunct/>
        <w:autoSpaceDE/>
        <w:autoSpaceDN/>
        <w:bidi w:val="0"/>
        <w:spacing w:beforeAutospacing="0" w:afterAutospacing="0" w:line="360" w:lineRule="auto"/>
        <w:ind w:firstLine="637" w:firstLineChars="253"/>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（2）GB/T 43575-2023 《区块链和分布式记账技术 系统测试规范》</w:t>
      </w:r>
    </w:p>
    <w:p w14:paraId="75AFE485">
      <w:pPr>
        <w:pStyle w:val="20"/>
        <w:pageBreakBefore w:val="0"/>
        <w:tabs>
          <w:tab w:val="left" w:pos="1050"/>
        </w:tabs>
        <w:kinsoku/>
        <w:wordWrap/>
        <w:overflowPunct/>
        <w:autoSpaceDE/>
        <w:autoSpaceDN/>
        <w:bidi w:val="0"/>
        <w:spacing w:beforeAutospacing="0" w:afterAutospacing="0" w:line="360" w:lineRule="auto"/>
        <w:ind w:firstLine="637" w:firstLineChars="253"/>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（3）GB/T 43579-2023 《区块链和分布式记账技术 智能合约生命周期管理》</w:t>
      </w:r>
    </w:p>
    <w:p w14:paraId="2D573AC6">
      <w:pPr>
        <w:pStyle w:val="20"/>
        <w:pageBreakBefore w:val="0"/>
        <w:tabs>
          <w:tab w:val="left" w:pos="1050"/>
        </w:tabs>
        <w:kinsoku/>
        <w:wordWrap/>
        <w:overflowPunct/>
        <w:autoSpaceDE/>
        <w:autoSpaceDN/>
        <w:bidi w:val="0"/>
        <w:spacing w:beforeAutospacing="0" w:afterAutospacing="0" w:line="360" w:lineRule="auto"/>
        <w:ind w:firstLine="637" w:firstLineChars="253"/>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（4）GB/T 43580-2023 《技术规范区块链和分布式记账技术 存证通用服务指南》</w:t>
      </w:r>
    </w:p>
    <w:p w14:paraId="5BC014E3">
      <w:pPr>
        <w:pStyle w:val="20"/>
        <w:pageBreakBefore w:val="0"/>
        <w:tabs>
          <w:tab w:val="left" w:pos="1050"/>
        </w:tabs>
        <w:kinsoku/>
        <w:wordWrap/>
        <w:overflowPunct/>
        <w:autoSpaceDE/>
        <w:autoSpaceDN/>
        <w:bidi w:val="0"/>
        <w:spacing w:beforeAutospacing="0" w:afterAutospacing="0" w:line="360" w:lineRule="auto"/>
        <w:ind w:firstLine="637" w:firstLineChars="253"/>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（5）GB/T 43582-2023 《区块链和分布式记账技术 应用程序接口 中间件技术指南》</w:t>
      </w:r>
    </w:p>
    <w:p w14:paraId="1D938703">
      <w:pPr>
        <w:pStyle w:val="20"/>
        <w:pageBreakBefore w:val="0"/>
        <w:tabs>
          <w:tab w:val="left" w:pos="1050"/>
        </w:tabs>
        <w:kinsoku/>
        <w:wordWrap/>
        <w:overflowPunct/>
        <w:autoSpaceDE/>
        <w:autoSpaceDN/>
        <w:bidi w:val="0"/>
        <w:spacing w:beforeAutospacing="0" w:afterAutospacing="0" w:line="360" w:lineRule="auto"/>
        <w:ind w:firstLine="637" w:firstLineChars="253"/>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（6）GB/T 42752-2023 《区块链和分布式记账技术 参考架构》</w:t>
      </w:r>
    </w:p>
    <w:p w14:paraId="0365F62F">
      <w:pPr>
        <w:pStyle w:val="20"/>
        <w:pageBreakBefore w:val="0"/>
        <w:tabs>
          <w:tab w:val="left" w:pos="1050"/>
        </w:tabs>
        <w:kinsoku/>
        <w:wordWrap/>
        <w:overflowPunct/>
        <w:autoSpaceDE/>
        <w:autoSpaceDN/>
        <w:bidi w:val="0"/>
        <w:spacing w:beforeAutospacing="0" w:afterAutospacing="0" w:line="360" w:lineRule="auto"/>
        <w:ind w:firstLine="637" w:firstLineChars="253"/>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（7）GB/T 22239-2019 《信息安全技术网络安全等级保护基本要求》</w:t>
      </w:r>
    </w:p>
    <w:p w14:paraId="36D7E6DC">
      <w:pPr>
        <w:pStyle w:val="20"/>
        <w:pageBreakBefore w:val="0"/>
        <w:tabs>
          <w:tab w:val="left" w:pos="1050"/>
        </w:tabs>
        <w:kinsoku/>
        <w:wordWrap/>
        <w:overflowPunct/>
        <w:autoSpaceDE/>
        <w:autoSpaceDN/>
        <w:bidi w:val="0"/>
        <w:spacing w:beforeAutospacing="0" w:afterAutospacing="0" w:line="360" w:lineRule="auto"/>
        <w:ind w:firstLine="637" w:firstLineChars="253"/>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（8）《中国南方电网有限责任公司信息化项目建设管理细则》</w:t>
      </w:r>
    </w:p>
    <w:p w14:paraId="1BDD77EC">
      <w:pPr>
        <w:pStyle w:val="20"/>
        <w:pageBreakBefore w:val="0"/>
        <w:tabs>
          <w:tab w:val="left" w:pos="1050"/>
        </w:tabs>
        <w:kinsoku/>
        <w:wordWrap/>
        <w:overflowPunct/>
        <w:autoSpaceDE/>
        <w:autoSpaceDN/>
        <w:bidi w:val="0"/>
        <w:spacing w:beforeAutospacing="0" w:afterAutospacing="0" w:line="360" w:lineRule="auto"/>
        <w:ind w:firstLine="637" w:firstLineChars="253"/>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（9）《南方电网公司数字南网建设技术架构管控工作指引（试行）》</w:t>
      </w:r>
    </w:p>
    <w:p w14:paraId="5C6D8225">
      <w:pPr>
        <w:pStyle w:val="20"/>
        <w:pageBreakBefore w:val="0"/>
        <w:tabs>
          <w:tab w:val="left" w:pos="1050"/>
        </w:tabs>
        <w:kinsoku/>
        <w:wordWrap/>
        <w:overflowPunct/>
        <w:autoSpaceDE/>
        <w:autoSpaceDN/>
        <w:bidi w:val="0"/>
        <w:spacing w:beforeAutospacing="0" w:afterAutospacing="0" w:line="360" w:lineRule="auto"/>
        <w:ind w:firstLine="637" w:firstLineChars="253"/>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（10）《中国南方电网有限责任公司软硬件平台架构和资源分配指导意见》</w:t>
      </w:r>
    </w:p>
    <w:p w14:paraId="53E208AA">
      <w:pPr>
        <w:pStyle w:val="20"/>
        <w:pageBreakBefore w:val="0"/>
        <w:tabs>
          <w:tab w:val="left" w:pos="1050"/>
        </w:tabs>
        <w:kinsoku/>
        <w:wordWrap/>
        <w:overflowPunct/>
        <w:autoSpaceDE/>
        <w:autoSpaceDN/>
        <w:bidi w:val="0"/>
        <w:spacing w:beforeAutospacing="0" w:afterAutospacing="0" w:line="360" w:lineRule="auto"/>
        <w:ind w:firstLine="637" w:firstLineChars="253"/>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（11）《关于进一步加强公司信息化项目和数据管理工作的通知》</w:t>
      </w:r>
    </w:p>
    <w:p w14:paraId="0F213B93">
      <w:pPr>
        <w:pStyle w:val="20"/>
        <w:pageBreakBefore w:val="0"/>
        <w:tabs>
          <w:tab w:val="left" w:pos="1050"/>
        </w:tabs>
        <w:kinsoku/>
        <w:wordWrap/>
        <w:overflowPunct/>
        <w:autoSpaceDE/>
        <w:autoSpaceDN/>
        <w:bidi w:val="0"/>
        <w:spacing w:beforeAutospacing="0" w:afterAutospacing="0" w:line="360" w:lineRule="auto"/>
        <w:ind w:firstLine="637" w:firstLineChars="253"/>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（12）《中国南方电网有限责任公司网络安全和数字化工作管理规定》</w:t>
      </w:r>
    </w:p>
    <w:p w14:paraId="5E1837E4">
      <w:pPr>
        <w:pStyle w:val="20"/>
        <w:pageBreakBefore w:val="0"/>
        <w:tabs>
          <w:tab w:val="left" w:pos="1050"/>
        </w:tabs>
        <w:kinsoku/>
        <w:wordWrap/>
        <w:overflowPunct/>
        <w:autoSpaceDE/>
        <w:autoSpaceDN/>
        <w:bidi w:val="0"/>
        <w:spacing w:beforeAutospacing="0" w:afterAutospacing="0" w:line="360" w:lineRule="auto"/>
        <w:ind w:firstLine="637" w:firstLineChars="253"/>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（13）T/GZBIA 001–2025 《政务区块链建设规范》，发布单位：广州市区块链产业协会，发布日期：2025年12月10日，实施日期：2026年1月1日</w:t>
      </w:r>
    </w:p>
    <w:p w14:paraId="10B3135D">
      <w:pPr>
        <w:pStyle w:val="20"/>
        <w:pageBreakBefore w:val="0"/>
        <w:tabs>
          <w:tab w:val="left" w:pos="1050"/>
        </w:tabs>
        <w:kinsoku/>
        <w:wordWrap/>
        <w:overflowPunct/>
        <w:autoSpaceDE/>
        <w:autoSpaceDN/>
        <w:bidi w:val="0"/>
        <w:spacing w:beforeAutospacing="0" w:afterAutospacing="0" w:line="360" w:lineRule="auto"/>
        <w:ind w:firstLine="637" w:firstLineChars="253"/>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（14）T/GZBIA 002–2025 《政务区块链技术安全规范》，发布单位：广州市区块链产业协会，发布日期：2025年12月10日，实施日期：2026年1月1日</w:t>
      </w:r>
    </w:p>
    <w:p w14:paraId="1B9B6F6B">
      <w:pPr>
        <w:pStyle w:val="20"/>
        <w:pageBreakBefore w:val="0"/>
        <w:tabs>
          <w:tab w:val="left" w:pos="1050"/>
        </w:tabs>
        <w:kinsoku/>
        <w:wordWrap/>
        <w:overflowPunct/>
        <w:autoSpaceDE/>
        <w:autoSpaceDN/>
        <w:bidi w:val="0"/>
        <w:spacing w:beforeAutospacing="0" w:afterAutospacing="0" w:line="360" w:lineRule="auto"/>
        <w:ind w:firstLine="637" w:firstLineChars="253"/>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（15）T/GZBIA 003–2025 《政务区块链跨链数据格式规范》，发布单位：广州市区块链产业协会，发布日期：2025年12月10日，实施日期：2026年1月1日</w:t>
      </w:r>
    </w:p>
    <w:p w14:paraId="5523A9E9">
      <w:pPr>
        <w:pStyle w:val="20"/>
        <w:pageBreakBefore w:val="0"/>
        <w:numPr>
          <w:ilvl w:val="0"/>
          <w:numId w:val="8"/>
        </w:numPr>
        <w:tabs>
          <w:tab w:val="left" w:pos="1050"/>
        </w:tabs>
        <w:kinsoku/>
        <w:wordWrap/>
        <w:overflowPunct/>
        <w:autoSpaceDE/>
        <w:autoSpaceDN/>
        <w:bidi w:val="0"/>
        <w:spacing w:beforeAutospacing="0" w:afterAutospacing="0" w:line="360" w:lineRule="auto"/>
        <w:ind w:left="5" w:firstLine="635" w:firstLineChars="0"/>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投标人须在技术方案中逐项说明本方案对上述标准的符合情况，对暂不符合条款须说明原因及后续整改计划。</w:t>
      </w:r>
    </w:p>
    <w:p w14:paraId="2635F237">
      <w:pPr>
        <w:pStyle w:val="20"/>
        <w:pageBreakBefore w:val="0"/>
        <w:numPr>
          <w:ilvl w:val="0"/>
          <w:numId w:val="8"/>
        </w:numPr>
        <w:tabs>
          <w:tab w:val="left" w:pos="1050"/>
        </w:tabs>
        <w:kinsoku/>
        <w:wordWrap/>
        <w:overflowPunct/>
        <w:autoSpaceDE/>
        <w:autoSpaceDN/>
        <w:bidi w:val="0"/>
        <w:spacing w:beforeAutospacing="0" w:afterAutospacing="0" w:line="360" w:lineRule="auto"/>
        <w:ind w:left="5" w:firstLine="635" w:firstLineChars="0"/>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本项目涉及区块链平台、跨链接口、可信数据交换等核心模块，投标人须采用经过验证的成熟技术方案，既能够保证先进性和成熟性，也可保证系统的适用性。</w:t>
      </w:r>
    </w:p>
    <w:p w14:paraId="7FB3EEF7">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（三）沟通保证</w:t>
      </w:r>
    </w:p>
    <w:p w14:paraId="41F143E0">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投标人须识别本项目的全部利益相关方，包括招标人内部各业务部门及外部对接主体；项目实施期间，采用项目例会、周报、专项会议等多种沟通方式，确保信息及时同步；所有沟通结果须形成书面记录归档；涉及外部平台对接的沟通，投标人须同步抄送招标人，不得单独与外部主体达成影响项目范围或技术方向的协议。</w:t>
      </w:r>
    </w:p>
    <w:p w14:paraId="5CA17B77">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（四）知识转移保证</w:t>
      </w:r>
    </w:p>
    <w:p w14:paraId="5FBBCCC2">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投标人须在项目实施全程安排招标人关键用户参与需求分析、方案评审、测试验收等核心环节，确保投标人团队充分理解系统设计逻辑；项目交付物须包含完整的系统文档、操作手册、运维指南及二次开发规范；项目验收前，投标人须完成对招标人运维团队的技术培训，培训内容须覆盖系统日常运维、故障处理及常规配置调整，培训效果经招标人考核确认。</w:t>
      </w:r>
    </w:p>
    <w:p w14:paraId="1789AF1E">
      <w:pPr>
        <w:pStyle w:val="5"/>
        <w:pageBreakBefore w:val="0"/>
        <w:kinsoku/>
        <w:wordWrap/>
        <w:overflowPunct/>
        <w:autoSpaceDE/>
        <w:autoSpaceDN/>
        <w:bidi w:val="0"/>
        <w:spacing w:beforeAutospacing="0" w:afterAutospacing="0" w:line="360" w:lineRule="auto"/>
        <w:outlineLvl w:val="1"/>
        <w:rPr>
          <w:rFonts w:hint="eastAsia" w:eastAsia="宋体" w:cs="Times New Roman"/>
          <w:color w:val="auto"/>
          <w:sz w:val="24"/>
          <w:szCs w:val="24"/>
          <w:highlight w:val="none"/>
        </w:rPr>
      </w:pPr>
      <w:bookmarkStart w:id="32" w:name="_Toc27260"/>
      <w:r>
        <w:rPr>
          <w:rFonts w:hint="eastAsia" w:eastAsia="宋体" w:cs="Times New Roman"/>
          <w:color w:val="auto"/>
          <w:sz w:val="24"/>
          <w:szCs w:val="24"/>
          <w:highlight w:val="none"/>
        </w:rPr>
        <w:t>项目功能需求与设计要求</w:t>
      </w:r>
      <w:bookmarkEnd w:id="32"/>
    </w:p>
    <w:p w14:paraId="03A64744">
      <w:pPr>
        <w:pStyle w:val="20"/>
        <w:pageBreakBefore w:val="0"/>
        <w:kinsoku/>
        <w:wordWrap/>
        <w:overflowPunct/>
        <w:autoSpaceDE/>
        <w:autoSpaceDN/>
        <w:bidi w:val="0"/>
        <w:spacing w:beforeAutospacing="0" w:afterAutospacing="0" w:line="360" w:lineRule="auto"/>
        <w:ind w:left="731" w:leftChars="228" w:hanging="252" w:hangingChars="100"/>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3.5.1业务需求</w:t>
      </w:r>
    </w:p>
    <w:p w14:paraId="187E5391">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基于</w:t>
      </w:r>
      <w:r>
        <w:rPr>
          <w:rFonts w:hint="eastAsia"/>
          <w:color w:val="auto"/>
          <w:sz w:val="24"/>
          <w:szCs w:val="32"/>
          <w:highlight w:val="none"/>
        </w:rPr>
        <w:t>南方电网区块链广州供电局区块链平台</w:t>
      </w:r>
      <w:r>
        <w:rPr>
          <w:rFonts w:hint="eastAsia" w:asciiTheme="minorEastAsia" w:hAnsiTheme="minorEastAsia" w:cstheme="minorEastAsia"/>
          <w:color w:val="auto"/>
          <w:sz w:val="24"/>
          <w:szCs w:val="24"/>
          <w:highlight w:val="none"/>
        </w:rPr>
        <w:t>已实现与广州政务区块链“穗智链”的跨链对接基础，以及目前广州供电局正在开展的南方能源行业可信数据空间建设任务及需求，本项目需构建覆盖存证、验证、流通、共享全流程的区块链可信数据管理能力。系统须实现跨链互操作机制与跨链数据双向核验能力，并基于“区块链数据要素X”框架，开发并部署典型业务场景应用。</w:t>
      </w:r>
    </w:p>
    <w:p w14:paraId="2C571AC8">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3.5.2功能需求</w:t>
      </w:r>
    </w:p>
    <w:p w14:paraId="468A2183">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3.5.2.1跨链互操作能力优化</w:t>
      </w:r>
    </w:p>
    <w:p w14:paraId="43D6C029">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实现基于区块链的双向可信核验机制，需实现跨链数据传输前的身份认证与授权核查，以及传输过程中的数据完整性校验（如基于哈希值比对或数字签名技术），确保数据在源链与目标链间一致且未被篡改。</w:t>
      </w:r>
    </w:p>
    <w:p w14:paraId="6D685B08">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应支持跨链操作的事务一致性保证。若跨链操作部分失败，需具备事务补偿或回滚机制，确保数据的最终一致性，防止数据在不同链上状态不一致。</w:t>
      </w:r>
    </w:p>
    <w:p w14:paraId="1027089E">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3.5.2.2区块链可信数据交换平台</w:t>
      </w:r>
    </w:p>
    <w:p w14:paraId="59B7AB3D">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为所有需要流通的电力数据生成包含时间戳、数据哈希、数字签名等信息的唯一存证凭据，并记录于区块链上，确保数据不可篡改、可追溯，实现数据可信存证。</w:t>
      </w:r>
    </w:p>
    <w:p w14:paraId="032521B3">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平台需支持基于角色或属性的访问控制策略，约定数据访问权限的模式，确保数据仅在授权范围内被使用，防止数据超范围扩散。</w:t>
      </w:r>
    </w:p>
    <w:p w14:paraId="0DB94822">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平台应记录数据从申请、授权、传输到使用的全过程日志并上链存证，提供可视化的查询审计界面，满足合规性审查与监管要求，实现数据流通全链路追溯。</w:t>
      </w:r>
    </w:p>
    <w:p w14:paraId="0A82449E">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 xml:space="preserve">3.5.2.3“电政通”功能模块 </w:t>
      </w:r>
    </w:p>
    <w:p w14:paraId="31DE83E1">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开发“电政通”功能模块及链码服务组件，将“区块链+可信认证”“电子证照”“电子签章”等能力封装为标准API，为上层应用提供统一的标准化服务接口；同时，将“区块链+数据确权”“跨链验证”“可信交换”等核心能力封装为可复用、可灵活调用的标准API或功能模块，以快速支撑多样化的“电务+政务”一网通办的融合应用场景开发。开发业务接入模块，实现各类电力业务系统对“电政通”服务组件的便捷接入。配套可视化服务能力，提升可观测性及管理效率。</w:t>
      </w:r>
      <w:r>
        <w:rPr>
          <w:rFonts w:hint="eastAsia" w:asciiTheme="minorEastAsia" w:hAnsiTheme="minorEastAsia" w:cstheme="minorEastAsia"/>
          <w:color w:val="auto"/>
          <w:sz w:val="24"/>
          <w:szCs w:val="24"/>
          <w:highlight w:val="none"/>
          <w:lang w:val="en-US" w:eastAsia="zh-CN"/>
        </w:rPr>
        <w:t>投标方需</w:t>
      </w:r>
      <w:r>
        <w:rPr>
          <w:rFonts w:hint="eastAsia" w:asciiTheme="minorEastAsia" w:hAnsiTheme="minorEastAsia" w:cstheme="minorEastAsia"/>
          <w:color w:val="auto"/>
          <w:sz w:val="24"/>
          <w:szCs w:val="24"/>
          <w:highlight w:val="none"/>
        </w:rPr>
        <w:t>编制统一</w:t>
      </w:r>
      <w:r>
        <w:rPr>
          <w:rFonts w:hint="eastAsia" w:asciiTheme="minorEastAsia" w:hAnsiTheme="minorEastAsia" w:cstheme="minorEastAsia"/>
          <w:color w:val="auto"/>
          <w:sz w:val="24"/>
          <w:szCs w:val="24"/>
          <w:highlight w:val="none"/>
          <w:lang w:val="en-US" w:eastAsia="zh-CN"/>
        </w:rPr>
        <w:t>系统</w:t>
      </w:r>
      <w:r>
        <w:rPr>
          <w:rFonts w:hint="eastAsia" w:asciiTheme="minorEastAsia" w:hAnsiTheme="minorEastAsia" w:cstheme="minorEastAsia"/>
          <w:color w:val="auto"/>
          <w:sz w:val="24"/>
          <w:szCs w:val="24"/>
          <w:highlight w:val="none"/>
        </w:rPr>
        <w:t>对接指引</w:t>
      </w:r>
      <w:r>
        <w:rPr>
          <w:rFonts w:hint="eastAsia" w:asciiTheme="minorEastAsia" w:hAnsiTheme="minorEastAsia" w:cstheme="minorEastAsia"/>
          <w:color w:val="auto"/>
          <w:sz w:val="24"/>
          <w:szCs w:val="24"/>
          <w:highlight w:val="none"/>
          <w:lang w:eastAsia="zh-CN"/>
        </w:rPr>
        <w:t>，</w:t>
      </w:r>
      <w:r>
        <w:rPr>
          <w:rFonts w:hint="eastAsia" w:asciiTheme="minorEastAsia" w:hAnsiTheme="minorEastAsia" w:cstheme="minorEastAsia"/>
          <w:color w:val="auto"/>
          <w:sz w:val="24"/>
          <w:szCs w:val="24"/>
          <w:highlight w:val="none"/>
        </w:rPr>
        <w:t>用于规范</w:t>
      </w:r>
      <w:r>
        <w:rPr>
          <w:rFonts w:hint="eastAsia" w:asciiTheme="minorEastAsia" w:hAnsiTheme="minorEastAsia" w:cstheme="minorEastAsia"/>
          <w:color w:val="auto"/>
          <w:sz w:val="24"/>
          <w:szCs w:val="24"/>
          <w:highlight w:val="none"/>
          <w:lang w:val="en-US" w:eastAsia="zh-CN"/>
        </w:rPr>
        <w:t>应用场景接入到电政通模块、</w:t>
      </w:r>
      <w:r>
        <w:rPr>
          <w:rFonts w:hint="eastAsia" w:asciiTheme="minorEastAsia" w:hAnsiTheme="minorEastAsia" w:cstheme="minorEastAsia"/>
          <w:color w:val="auto"/>
          <w:sz w:val="24"/>
          <w:szCs w:val="24"/>
          <w:highlight w:val="none"/>
        </w:rPr>
        <w:t>外部业务系统与</w:t>
      </w:r>
      <w:r>
        <w:rPr>
          <w:rFonts w:hint="eastAsia" w:asciiTheme="minorEastAsia" w:hAnsiTheme="minorEastAsia" w:cstheme="minorEastAsia"/>
          <w:color w:val="auto"/>
          <w:sz w:val="24"/>
          <w:szCs w:val="24"/>
          <w:highlight w:val="none"/>
          <w:lang w:val="en-US" w:eastAsia="zh-CN"/>
        </w:rPr>
        <w:t>电政通模块</w:t>
      </w:r>
      <w:r>
        <w:rPr>
          <w:rFonts w:hint="eastAsia" w:asciiTheme="minorEastAsia" w:hAnsiTheme="minorEastAsia" w:cstheme="minorEastAsia"/>
          <w:color w:val="auto"/>
          <w:sz w:val="24"/>
          <w:szCs w:val="24"/>
          <w:highlight w:val="none"/>
        </w:rPr>
        <w:t>跨链对接的流程及接口标准，为各接入方提供清晰、可操作的技术指导。</w:t>
      </w:r>
    </w:p>
    <w:p w14:paraId="2ADDA6BE">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3.5.2.4区块链+电力惠民服务</w:t>
      </w:r>
    </w:p>
    <w:p w14:paraId="0DD6A0DE">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依托跨链互操作与区块链可信数据交换平台，深化“数据要素×惠民服务”创新应用。通过构建民政低保人员权威数据的链上流转与核验机制，打造安全、合规的“区块链+低保优惠”专属服务能力，为各项惠民政策（如电费减免等）的精准落地与即时兑现提供坚实、可信的数据底座支撑。</w:t>
      </w:r>
    </w:p>
    <w:p w14:paraId="23D15C72">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3.5.3应用功能</w:t>
      </w:r>
    </w:p>
    <w:p w14:paraId="64EB994C">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本项目升级区块链平台广州边缘节点，建设区块链可信数据交换平台，提供“电政通”跨链数据校核能力，涉及4项一级应用功能、15项二级应用功能。</w:t>
      </w:r>
    </w:p>
    <w:p w14:paraId="46565464">
      <w:pPr>
        <w:pStyle w:val="20"/>
        <w:pageBreakBefore w:val="0"/>
        <w:kinsoku/>
        <w:wordWrap/>
        <w:overflowPunct/>
        <w:autoSpaceDE/>
        <w:autoSpaceDN/>
        <w:bidi w:val="0"/>
        <w:spacing w:beforeAutospacing="0" w:afterAutospacing="0" w:line="360" w:lineRule="auto"/>
        <w:ind w:firstLine="420"/>
        <w:rPr>
          <w:rFonts w:hint="eastAsia" w:asciiTheme="minorEastAsia" w:hAnsiTheme="minorEastAsia" w:cstheme="minorEastAsia"/>
          <w:color w:val="auto"/>
          <w:sz w:val="24"/>
          <w:szCs w:val="24"/>
          <w:highlight w:val="none"/>
        </w:rPr>
      </w:pPr>
      <w:r>
        <w:rPr>
          <w:color w:val="auto"/>
          <w:highlight w:val="none"/>
        </w:rPr>
        <w:drawing>
          <wp:inline distT="0" distB="0" distL="114300" distR="114300">
            <wp:extent cx="2844800" cy="2806065"/>
            <wp:effectExtent l="0" t="0" r="12700" b="13335"/>
            <wp:docPr id="2"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
                    <pic:cNvPicPr>
                      <a:picLocks noChangeAspect="1"/>
                    </pic:cNvPicPr>
                  </pic:nvPicPr>
                  <pic:blipFill>
                    <a:blip r:embed="rId8"/>
                    <a:stretch>
                      <a:fillRect/>
                    </a:stretch>
                  </pic:blipFill>
                  <pic:spPr>
                    <a:xfrm>
                      <a:off x="0" y="0"/>
                      <a:ext cx="2844800" cy="2806065"/>
                    </a:xfrm>
                    <a:prstGeom prst="rect">
                      <a:avLst/>
                    </a:prstGeom>
                    <a:noFill/>
                    <a:ln>
                      <a:noFill/>
                    </a:ln>
                  </pic:spPr>
                </pic:pic>
              </a:graphicData>
            </a:graphic>
          </wp:inline>
        </w:drawing>
      </w:r>
    </w:p>
    <w:p w14:paraId="7C117E59">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3.5.3.1升级区块链跨链互操作能力</w:t>
      </w:r>
    </w:p>
    <w:p w14:paraId="7943C258">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3.5.3.1.1跨链中继服务</w:t>
      </w:r>
    </w:p>
    <w:p w14:paraId="70002D3E">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对接广州政务区块链“穗智链”，</w:t>
      </w:r>
      <w:r>
        <w:rPr>
          <w:rFonts w:eastAsia="宋体" w:cs="宋体"/>
          <w:color w:val="auto"/>
          <w:sz w:val="24"/>
          <w:szCs w:val="24"/>
          <w:highlight w:val="none"/>
        </w:rPr>
        <w:t>通过跨链中继服务实现政务数据的跨链查询验证与存证能力。</w:t>
      </w:r>
    </w:p>
    <w:p w14:paraId="5D22D929">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3.5.3.1.2区块链平台适配</w:t>
      </w:r>
    </w:p>
    <w:p w14:paraId="2585582F">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eastAsia="宋体" w:cs="宋体"/>
          <w:color w:val="auto"/>
          <w:sz w:val="24"/>
          <w:szCs w:val="24"/>
          <w:highlight w:val="none"/>
        </w:rPr>
        <w:t>通过封装与适配现有区块链平台 SDK，在兼容旧链业务系统的基础上，使系统具备接入广州政务区块链“穗智链”进行跨链查询、存证及验证的综合中继服务能力。</w:t>
      </w:r>
    </w:p>
    <w:p w14:paraId="0CDD868A">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3.5.3.2区块链+可信数据交换平台</w:t>
      </w:r>
    </w:p>
    <w:p w14:paraId="482DFFC7">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基于区块链技术构建与</w:t>
      </w:r>
      <w:r>
        <w:rPr>
          <w:rFonts w:hint="eastAsia" w:asciiTheme="minorEastAsia" w:hAnsiTheme="minorEastAsia" w:cstheme="minorEastAsia"/>
          <w:color w:val="auto"/>
          <w:sz w:val="24"/>
          <w:highlight w:val="none"/>
        </w:rPr>
        <w:t>广州政务区块链“穗智链”</w:t>
      </w:r>
      <w:r>
        <w:rPr>
          <w:rFonts w:hint="eastAsia" w:asciiTheme="minorEastAsia" w:hAnsiTheme="minorEastAsia" w:cstheme="minorEastAsia"/>
          <w:color w:val="auto"/>
          <w:sz w:val="24"/>
          <w:szCs w:val="24"/>
          <w:highlight w:val="none"/>
        </w:rPr>
        <w:t>进行可信数据交互的跨链数据交换中枢。它负责向</w:t>
      </w:r>
      <w:r>
        <w:rPr>
          <w:rFonts w:hint="eastAsia" w:asciiTheme="minorEastAsia" w:hAnsiTheme="minorEastAsia" w:cstheme="minorEastAsia"/>
          <w:color w:val="auto"/>
          <w:sz w:val="24"/>
          <w:highlight w:val="none"/>
        </w:rPr>
        <w:t>广州政务区块链“穗智链”</w:t>
      </w:r>
      <w:r>
        <w:rPr>
          <w:rFonts w:hint="eastAsia" w:asciiTheme="minorEastAsia" w:hAnsiTheme="minorEastAsia" w:cstheme="minorEastAsia"/>
          <w:color w:val="auto"/>
          <w:sz w:val="24"/>
          <w:szCs w:val="24"/>
          <w:highlight w:val="none"/>
        </w:rPr>
        <w:t>发起验证请求，并将政务链上返回的验证结果同步回业务系统，从而在业务办理过程中实现政务权威数据的实时核验与链上留痕。</w:t>
      </w:r>
    </w:p>
    <w:p w14:paraId="32011597">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3.5.3.2.1数据调用方管理</w:t>
      </w:r>
    </w:p>
    <w:p w14:paraId="5FD1E910">
      <w:pPr>
        <w:pStyle w:val="20"/>
        <w:pageBreakBefore w:val="0"/>
        <w:kinsoku/>
        <w:wordWrap/>
        <w:overflowPunct/>
        <w:autoSpaceDE/>
        <w:autoSpaceDN/>
        <w:bidi w:val="0"/>
        <w:spacing w:beforeAutospacing="0" w:afterAutospacing="0" w:line="360" w:lineRule="auto"/>
        <w:ind w:firstLine="504"/>
        <w:rPr>
          <w:rFonts w:hint="eastAsia" w:eastAsia="宋体" w:cs="宋体"/>
          <w:color w:val="auto"/>
          <w:sz w:val="24"/>
          <w:szCs w:val="24"/>
          <w:highlight w:val="none"/>
        </w:rPr>
      </w:pPr>
      <w:r>
        <w:rPr>
          <w:rFonts w:eastAsia="宋体" w:cs="宋体"/>
          <w:color w:val="auto"/>
          <w:sz w:val="24"/>
          <w:szCs w:val="24"/>
          <w:highlight w:val="none"/>
        </w:rPr>
        <w:t>提供完善的数据调用方管理机制，支持对调用方身份信息的全生命周期管理，并具备灵活的 API 访问凭证下发、安全重置能力。</w:t>
      </w:r>
    </w:p>
    <w:p w14:paraId="1004FFE7">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3.5.3.2.2 数据登记</w:t>
      </w:r>
    </w:p>
    <w:p w14:paraId="50918A27">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提供业务数据的登记功能。作为跨链交互的“源头字典”，系统通过提取业务数据的元信息与结构定义，为后续的字段映射与跨链流转提供标准依据。</w:t>
      </w:r>
    </w:p>
    <w:p w14:paraId="4EC69C26">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3.5.3.2.3 数据交换</w:t>
      </w:r>
    </w:p>
    <w:p w14:paraId="397360BE">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作为跨链数据的安全通道与执行引擎，负责衔接南方电网业务系统与广州政务区块链“穗智链”。系统基于预设的映射规则执行数据的动态转换、路由分发，并对交换行为进行双链存证留痕。</w:t>
      </w:r>
    </w:p>
    <w:p w14:paraId="7D689EBC">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3.5.3.2.4 可信数据核验</w:t>
      </w:r>
    </w:p>
    <w:p w14:paraId="5372C690">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为业务系统使用跨链数据提供可信赖的校验支撑。通过将业务方接收到的数据特征与广州政务区块链“穗智链”上的存证记录进行比对，并结合预设的业务规则，确保数据在流转与使用过程中的真实性、完整性及有效性。</w:t>
      </w:r>
    </w:p>
    <w:p w14:paraId="4204C46B">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3.5.3.2.5 可信数据溯源</w:t>
      </w:r>
    </w:p>
    <w:p w14:paraId="2CEE6CB7">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eastAsia="宋体" w:cs="宋体"/>
          <w:color w:val="auto"/>
          <w:sz w:val="24"/>
          <w:szCs w:val="24"/>
          <w:highlight w:val="none"/>
        </w:rPr>
        <w:t>基于区块链技术</w:t>
      </w:r>
      <w:r>
        <w:rPr>
          <w:rFonts w:hint="eastAsia" w:eastAsia="宋体" w:cs="宋体"/>
          <w:color w:val="auto"/>
          <w:sz w:val="24"/>
          <w:szCs w:val="24"/>
          <w:highlight w:val="none"/>
        </w:rPr>
        <w:t>构建</w:t>
      </w:r>
      <w:r>
        <w:rPr>
          <w:rFonts w:eastAsia="宋体" w:cs="宋体"/>
          <w:color w:val="auto"/>
          <w:sz w:val="24"/>
          <w:szCs w:val="24"/>
          <w:highlight w:val="none"/>
        </w:rPr>
        <w:t>全链路数据溯源</w:t>
      </w:r>
      <w:r>
        <w:rPr>
          <w:rFonts w:hint="eastAsia" w:eastAsia="宋体" w:cs="宋体"/>
          <w:color w:val="auto"/>
          <w:sz w:val="24"/>
          <w:szCs w:val="24"/>
          <w:highlight w:val="none"/>
        </w:rPr>
        <w:t>能力</w:t>
      </w:r>
      <w:r>
        <w:rPr>
          <w:rFonts w:eastAsia="宋体" w:cs="宋体"/>
          <w:color w:val="auto"/>
          <w:sz w:val="24"/>
          <w:szCs w:val="24"/>
          <w:highlight w:val="none"/>
        </w:rPr>
        <w:t>，实现</w:t>
      </w:r>
      <w:r>
        <w:rPr>
          <w:rFonts w:hint="eastAsia" w:eastAsia="宋体" w:cs="宋体"/>
          <w:color w:val="auto"/>
          <w:sz w:val="24"/>
          <w:szCs w:val="24"/>
          <w:highlight w:val="none"/>
        </w:rPr>
        <w:t>南方电网区块链</w:t>
      </w:r>
      <w:r>
        <w:rPr>
          <w:rFonts w:eastAsia="宋体" w:cs="宋体"/>
          <w:color w:val="auto"/>
          <w:sz w:val="24"/>
          <w:szCs w:val="24"/>
          <w:highlight w:val="none"/>
        </w:rPr>
        <w:t>与</w:t>
      </w:r>
      <w:r>
        <w:rPr>
          <w:rFonts w:hint="eastAsia" w:asciiTheme="minorEastAsia" w:hAnsiTheme="minorEastAsia" w:cstheme="minorEastAsia"/>
          <w:color w:val="auto"/>
          <w:sz w:val="24"/>
          <w:szCs w:val="24"/>
          <w:highlight w:val="none"/>
        </w:rPr>
        <w:t>广州政务区块链“穗智链”数据交换过程的全程追溯</w:t>
      </w:r>
      <w:r>
        <w:rPr>
          <w:rFonts w:eastAsia="宋体" w:cs="宋体"/>
          <w:color w:val="auto"/>
          <w:sz w:val="24"/>
          <w:szCs w:val="24"/>
          <w:highlight w:val="none"/>
        </w:rPr>
        <w:t>，确保跨链流转全过程的真实性与不可篡改性。</w:t>
      </w:r>
    </w:p>
    <w:p w14:paraId="3BD5B873">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3.5.3.2.6账本管理</w:t>
      </w:r>
    </w:p>
    <w:p w14:paraId="5708B336">
      <w:pPr>
        <w:pStyle w:val="20"/>
        <w:pageBreakBefore w:val="0"/>
        <w:kinsoku/>
        <w:wordWrap/>
        <w:overflowPunct/>
        <w:autoSpaceDE/>
        <w:autoSpaceDN/>
        <w:bidi w:val="0"/>
        <w:spacing w:beforeAutospacing="0" w:afterAutospacing="0" w:line="360" w:lineRule="auto"/>
        <w:ind w:firstLine="504"/>
        <w:rPr>
          <w:rFonts w:hint="eastAsia" w:eastAsia="宋体" w:cs="宋体"/>
          <w:color w:val="auto"/>
          <w:sz w:val="24"/>
          <w:szCs w:val="24"/>
          <w:highlight w:val="none"/>
        </w:rPr>
      </w:pPr>
      <w:r>
        <w:rPr>
          <w:rFonts w:eastAsia="宋体" w:cs="宋体"/>
          <w:color w:val="auto"/>
          <w:sz w:val="24"/>
          <w:szCs w:val="24"/>
          <w:highlight w:val="none"/>
        </w:rPr>
        <w:t>具备账本全生命周期管理能力，支持多维度的账本初始化定义、快速检索及信息动态维护，并提供可视化的状态管控机制以实现对底层账本访问的实时准入控制。</w:t>
      </w:r>
    </w:p>
    <w:p w14:paraId="4E82D595">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3.5.3.2.7配置管理</w:t>
      </w:r>
    </w:p>
    <w:p w14:paraId="3E3C71FD">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3.5.3.2.7.1账本参数配置</w:t>
      </w:r>
    </w:p>
    <w:p w14:paraId="1FD31027">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eastAsia="宋体" w:cs="宋体"/>
          <w:color w:val="auto"/>
          <w:sz w:val="24"/>
          <w:szCs w:val="24"/>
          <w:highlight w:val="none"/>
        </w:rPr>
        <w:t>支持对账本数据结构的动态定义与参数化配置，允许用户自定义业务字段的名称及数据类型，并提供灵活的参数列表管理与维护机制，以实现对不同业务场景数据模型的精准适配。</w:t>
      </w:r>
    </w:p>
    <w:p w14:paraId="21E30674">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3.5.3.2.7.2账本校验规则配置</w:t>
      </w:r>
    </w:p>
    <w:p w14:paraId="759B9AB7">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eastAsia="宋体" w:cs="宋体"/>
          <w:color w:val="auto"/>
          <w:sz w:val="24"/>
          <w:szCs w:val="24"/>
          <w:highlight w:val="none"/>
        </w:rPr>
        <w:t>建立完善的跨链数据合规校验机制，支持用户自定义账本校验规则及适用场景，并提供规则的全生命周期管理与可视化启停控制，以确保上链数据的准确性与业务逻辑的一致性。</w:t>
      </w:r>
    </w:p>
    <w:p w14:paraId="0AFA38CC">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3.5.3.2.7.3账本校验规则校验字段配置</w:t>
      </w:r>
    </w:p>
    <w:p w14:paraId="07B0A1E6">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eastAsia="宋体" w:cs="宋体"/>
          <w:color w:val="auto"/>
          <w:sz w:val="24"/>
          <w:szCs w:val="24"/>
          <w:highlight w:val="none"/>
        </w:rPr>
        <w:t>支持对账本校验规则的底层字段进行动态配置，允许用户灵活定义校验字段的数据格式与关联逻辑，并提供标准化的字段维护机制，以实现对跨链数据质量的精确比对与合规管控。</w:t>
      </w:r>
    </w:p>
    <w:p w14:paraId="2F73F661">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3.5.3.2.7.4数据调用方-账本校验规则配置</w:t>
      </w:r>
    </w:p>
    <w:p w14:paraId="050340FF">
      <w:pPr>
        <w:pStyle w:val="20"/>
        <w:pageBreakBefore w:val="0"/>
        <w:kinsoku/>
        <w:wordWrap/>
        <w:overflowPunct/>
        <w:autoSpaceDE/>
        <w:autoSpaceDN/>
        <w:bidi w:val="0"/>
        <w:spacing w:beforeAutospacing="0" w:afterAutospacing="0" w:line="360" w:lineRule="auto"/>
        <w:ind w:firstLine="504"/>
        <w:rPr>
          <w:rFonts w:hint="eastAsia" w:eastAsia="宋体" w:cs="宋体"/>
          <w:color w:val="auto"/>
          <w:sz w:val="24"/>
          <w:szCs w:val="24"/>
          <w:highlight w:val="none"/>
        </w:rPr>
      </w:pPr>
      <w:r>
        <w:rPr>
          <w:rFonts w:eastAsia="宋体" w:cs="宋体"/>
          <w:color w:val="auto"/>
          <w:sz w:val="24"/>
          <w:szCs w:val="24"/>
          <w:highlight w:val="none"/>
        </w:rPr>
        <w:t>须支持数据调用方与账本校验规则的灵活绑定，通过提供可视化的规则配置与状态启停管理，实现对 API 接入方调用</w:t>
      </w:r>
      <w:r>
        <w:rPr>
          <w:rFonts w:hint="eastAsia" w:asciiTheme="minorEastAsia" w:hAnsiTheme="minorEastAsia" w:cstheme="minorEastAsia"/>
          <w:color w:val="auto"/>
          <w:sz w:val="24"/>
          <w:szCs w:val="24"/>
          <w:highlight w:val="none"/>
        </w:rPr>
        <w:t>广州政务区块链“穗智链”</w:t>
      </w:r>
      <w:r>
        <w:rPr>
          <w:rFonts w:eastAsia="宋体" w:cs="宋体"/>
          <w:color w:val="auto"/>
          <w:sz w:val="24"/>
          <w:szCs w:val="24"/>
          <w:highlight w:val="none"/>
        </w:rPr>
        <w:t>核验行为的精细化策略管控。</w:t>
      </w:r>
    </w:p>
    <w:p w14:paraId="2C7F9567">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3.5.3.2.8数据交换日志管理</w:t>
      </w:r>
    </w:p>
    <w:p w14:paraId="4B1E6794">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eastAsia="宋体" w:cs="宋体"/>
          <w:color w:val="auto"/>
          <w:sz w:val="24"/>
          <w:szCs w:val="24"/>
          <w:highlight w:val="none"/>
        </w:rPr>
        <w:t>提供全量跨链访问日志拦截与审计机制，支持对 API 调用流水进行实时记录、多维检索及统计分析，并具备日志导出能力，以满足系统运维审计需求。</w:t>
      </w:r>
    </w:p>
    <w:p w14:paraId="598A8CDD">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3.5.3.3“电政通”功能模块</w:t>
      </w:r>
    </w:p>
    <w:p w14:paraId="0C6B0B96">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3.5.3.3.1链码服务组件</w:t>
      </w:r>
    </w:p>
    <w:p w14:paraId="38C1973A">
      <w:pPr>
        <w:pStyle w:val="20"/>
        <w:pageBreakBefore w:val="0"/>
        <w:kinsoku/>
        <w:wordWrap/>
        <w:overflowPunct/>
        <w:autoSpaceDE/>
        <w:autoSpaceDN/>
        <w:bidi w:val="0"/>
        <w:spacing w:beforeAutospacing="0" w:afterAutospacing="0" w:line="360" w:lineRule="auto"/>
        <w:ind w:firstLine="504"/>
        <w:rPr>
          <w:rFonts w:hint="eastAsia" w:eastAsia="宋体" w:cs="宋体"/>
          <w:color w:val="auto"/>
          <w:sz w:val="24"/>
          <w:szCs w:val="24"/>
          <w:highlight w:val="none"/>
        </w:rPr>
      </w:pPr>
      <w:r>
        <w:rPr>
          <w:rFonts w:eastAsia="宋体" w:cs="宋体"/>
          <w:color w:val="auto"/>
          <w:sz w:val="24"/>
          <w:szCs w:val="24"/>
          <w:highlight w:val="none"/>
        </w:rPr>
        <w:t>链码服务组件作为衔接广州政务区块链</w:t>
      </w:r>
      <w:r>
        <w:rPr>
          <w:rFonts w:hint="eastAsia" w:eastAsia="宋体" w:cs="宋体"/>
          <w:color w:val="auto"/>
          <w:sz w:val="24"/>
          <w:szCs w:val="24"/>
          <w:highlight w:val="none"/>
        </w:rPr>
        <w:t>“穗智链”</w:t>
      </w:r>
      <w:r>
        <w:rPr>
          <w:rFonts w:eastAsia="宋体" w:cs="宋体"/>
          <w:color w:val="auto"/>
          <w:sz w:val="24"/>
          <w:szCs w:val="24"/>
          <w:highlight w:val="none"/>
        </w:rPr>
        <w:t>与业务应用系统的核心纽带，负责将广州政务区块链</w:t>
      </w:r>
      <w:r>
        <w:rPr>
          <w:rFonts w:hint="eastAsia" w:eastAsia="宋体" w:cs="宋体"/>
          <w:color w:val="auto"/>
          <w:sz w:val="24"/>
          <w:szCs w:val="24"/>
          <w:highlight w:val="none"/>
        </w:rPr>
        <w:t>“穗智链”</w:t>
      </w:r>
      <w:r>
        <w:rPr>
          <w:rFonts w:eastAsia="宋体" w:cs="宋体"/>
          <w:color w:val="auto"/>
          <w:sz w:val="24"/>
          <w:szCs w:val="24"/>
          <w:highlight w:val="none"/>
        </w:rPr>
        <w:t>底层的“区块链+可信认证”、“电子证照”、“电子签章”等核心能力进行高度封装。通过屏蔽异构区块链底层协议的复杂性，对外提供标准化的API接口，支撑业务系统合规、高效地使用政务侧可信服务</w:t>
      </w:r>
      <w:r>
        <w:rPr>
          <w:rFonts w:hint="eastAsia" w:eastAsia="宋体" w:cs="宋体"/>
          <w:color w:val="auto"/>
          <w:sz w:val="24"/>
          <w:szCs w:val="24"/>
          <w:highlight w:val="none"/>
        </w:rPr>
        <w:t>。</w:t>
      </w:r>
    </w:p>
    <w:p w14:paraId="4E416CA4">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3.5.3.3.3业务接入模块</w:t>
      </w:r>
    </w:p>
    <w:p w14:paraId="7D50EE98">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asciiTheme="minorEastAsia" w:hAnsiTheme="minorEastAsia" w:cstheme="minorEastAsia"/>
          <w:color w:val="auto"/>
          <w:sz w:val="24"/>
          <w:szCs w:val="24"/>
          <w:highlight w:val="none"/>
        </w:rPr>
        <w:t>为各类业务场景提供统一的接入管理能力。支持用户创建业务接入场景，配置场景基本信息、归属部门</w:t>
      </w:r>
      <w:r>
        <w:rPr>
          <w:rFonts w:hint="eastAsia" w:asciiTheme="minorEastAsia" w:hAnsiTheme="minorEastAsia" w:cstheme="minorEastAsia"/>
          <w:color w:val="auto"/>
          <w:sz w:val="24"/>
          <w:szCs w:val="24"/>
          <w:highlight w:val="none"/>
        </w:rPr>
        <w:t>等</w:t>
      </w:r>
      <w:r>
        <w:rPr>
          <w:rFonts w:asciiTheme="minorEastAsia" w:hAnsiTheme="minorEastAsia" w:cstheme="minorEastAsia"/>
          <w:color w:val="auto"/>
          <w:sz w:val="24"/>
          <w:szCs w:val="24"/>
          <w:highlight w:val="none"/>
        </w:rPr>
        <w:t>为业务系统快速对接政务区块链提供场景化的配置支撑。</w:t>
      </w:r>
    </w:p>
    <w:p w14:paraId="06A5DFF1">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3.5.3.3.4数据可视化</w:t>
      </w:r>
    </w:p>
    <w:p w14:paraId="2B9C22FA">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eastAsia="宋体" w:cs="宋体"/>
          <w:color w:val="auto"/>
          <w:sz w:val="24"/>
          <w:szCs w:val="24"/>
          <w:highlight w:val="none"/>
        </w:rPr>
        <w:t>须提供全景式数据可视化大屏，通过集成化看板实时监测调用方接入、账本活跃度及API核验</w:t>
      </w:r>
      <w:r>
        <w:rPr>
          <w:rFonts w:hint="eastAsia" w:eastAsia="宋体" w:cs="宋体"/>
          <w:color w:val="auto"/>
          <w:sz w:val="24"/>
          <w:szCs w:val="24"/>
          <w:highlight w:val="none"/>
        </w:rPr>
        <w:t>统计</w:t>
      </w:r>
      <w:r>
        <w:rPr>
          <w:rFonts w:eastAsia="宋体" w:cs="宋体"/>
          <w:color w:val="auto"/>
          <w:sz w:val="24"/>
          <w:szCs w:val="24"/>
          <w:highlight w:val="none"/>
        </w:rPr>
        <w:t>等核心运营指标，实现对跨链交换平台全局业务状态的直观监控与数据洞察。</w:t>
      </w:r>
    </w:p>
    <w:p w14:paraId="0C704005">
      <w:pPr>
        <w:pStyle w:val="20"/>
        <w:pageBreakBefore w:val="0"/>
        <w:kinsoku/>
        <w:wordWrap/>
        <w:overflowPunct/>
        <w:autoSpaceDE/>
        <w:autoSpaceDN/>
        <w:bidi w:val="0"/>
        <w:spacing w:beforeAutospacing="0" w:afterAutospacing="0" w:line="360" w:lineRule="auto"/>
        <w:ind w:firstLine="0" w:firstLineChars="0"/>
        <w:rPr>
          <w:rFonts w:hint="eastAsia" w:asciiTheme="minorEastAsia" w:hAnsiTheme="minorEastAsia" w:cstheme="minorEastAsia"/>
          <w:color w:val="auto"/>
          <w:sz w:val="24"/>
          <w:szCs w:val="24"/>
          <w:highlight w:val="none"/>
        </w:rPr>
      </w:pPr>
    </w:p>
    <w:p w14:paraId="590A751D">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3.5.3.4“区块链电力数据要素X”场景应用</w:t>
      </w:r>
    </w:p>
    <w:p w14:paraId="61B05F60">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eastAsia="宋体" w:cs="宋体"/>
          <w:color w:val="auto"/>
          <w:sz w:val="24"/>
          <w:szCs w:val="24"/>
          <w:highlight w:val="none"/>
        </w:rPr>
        <w:t>支持“区块链+电力惠民”典型场景应用，利用跨链技术合规调取并验证政务端低保等权威数据，通过建立即时可信的核验机制，实现电费补贴、绿色通道等惠民政策的精准下达与自动化核验。</w:t>
      </w:r>
    </w:p>
    <w:p w14:paraId="0465B11B">
      <w:pPr>
        <w:pStyle w:val="5"/>
        <w:pageBreakBefore w:val="0"/>
        <w:kinsoku/>
        <w:wordWrap/>
        <w:overflowPunct/>
        <w:autoSpaceDE/>
        <w:autoSpaceDN/>
        <w:bidi w:val="0"/>
        <w:spacing w:beforeAutospacing="0" w:afterAutospacing="0" w:line="360" w:lineRule="auto"/>
        <w:outlineLvl w:val="1"/>
        <w:rPr>
          <w:rFonts w:hint="eastAsia" w:eastAsia="宋体" w:cs="Times New Roman"/>
          <w:color w:val="auto"/>
          <w:sz w:val="24"/>
          <w:szCs w:val="24"/>
          <w:highlight w:val="none"/>
        </w:rPr>
      </w:pPr>
      <w:bookmarkStart w:id="33" w:name="_Toc16914"/>
      <w:bookmarkStart w:id="34" w:name="_Toc32328"/>
      <w:r>
        <w:rPr>
          <w:rFonts w:hint="eastAsia" w:eastAsia="宋体" w:cs="Times New Roman"/>
          <w:color w:val="auto"/>
          <w:sz w:val="24"/>
          <w:szCs w:val="24"/>
          <w:highlight w:val="none"/>
        </w:rPr>
        <w:t>技术要求</w:t>
      </w:r>
      <w:bookmarkEnd w:id="33"/>
      <w:bookmarkEnd w:id="34"/>
    </w:p>
    <w:p w14:paraId="6BBF19F0">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3.6.1 技术架构要求</w:t>
      </w:r>
    </w:p>
    <w:p w14:paraId="4FF79F28">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3.6.1.1技术架构</w:t>
      </w:r>
    </w:p>
    <w:p w14:paraId="61911918">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本项目涉及系统遵循《南网云总体架构和技术要求》《南网云微服务开发设计技术要求》等云化微服务化的技术要求，数据底座符合底座式云化数据中心的数据管控技术要求。</w:t>
      </w:r>
    </w:p>
    <w:p w14:paraId="36C7B575">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平台总体架构应包括基础设施层、区块链支撑服务层、区块链数据管理层、区块链应用层等核心层次，以及贯穿各层的区块链运行监控功能。</w:t>
      </w:r>
    </w:p>
    <w:p w14:paraId="087E536F">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本项目对原广州供电局区块链平台进行升级改造，重点开发部署区块链数据管理系统和区块链运行安全监控系统，提供该区块平台对可信数据存在和流通的技术支撑能力。</w:t>
      </w:r>
    </w:p>
    <w:p w14:paraId="0187837F">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3.6.1.2技术路线</w:t>
      </w:r>
    </w:p>
    <w:p w14:paraId="5B610F8B">
      <w:pPr>
        <w:pStyle w:val="20"/>
        <w:pageBreakBefore w:val="0"/>
        <w:kinsoku/>
        <w:wordWrap/>
        <w:overflowPunct/>
        <w:autoSpaceDE/>
        <w:autoSpaceDN/>
        <w:bidi w:val="0"/>
        <w:spacing w:beforeAutospacing="0" w:afterAutospacing="0" w:line="360" w:lineRule="auto"/>
        <w:ind w:firstLine="504"/>
        <w:rPr>
          <w:rFonts w:hint="eastAsia" w:eastAsia="宋体" w:cs="宋体"/>
          <w:color w:val="auto"/>
          <w:sz w:val="24"/>
          <w:szCs w:val="24"/>
          <w:highlight w:val="none"/>
        </w:rPr>
      </w:pPr>
      <w:r>
        <w:rPr>
          <w:rFonts w:hint="eastAsia" w:eastAsia="宋体" w:cs="宋体"/>
          <w:color w:val="auto"/>
          <w:sz w:val="24"/>
          <w:szCs w:val="24"/>
          <w:highlight w:val="none"/>
        </w:rPr>
        <w:t>本项目数据处理架构须依托招标人</w:t>
      </w:r>
      <w:r>
        <w:rPr>
          <w:rFonts w:hint="eastAsia" w:asciiTheme="minorEastAsia" w:hAnsiTheme="minorEastAsia" w:cstheme="minorEastAsia"/>
          <w:color w:val="auto"/>
          <w:sz w:val="24"/>
          <w:szCs w:val="24"/>
          <w:highlight w:val="none"/>
        </w:rPr>
        <w:t>“底座式”</w:t>
      </w:r>
      <w:r>
        <w:rPr>
          <w:rFonts w:hint="eastAsia" w:eastAsia="宋体" w:cs="宋体"/>
          <w:color w:val="auto"/>
          <w:sz w:val="24"/>
          <w:szCs w:val="24"/>
          <w:highlight w:val="none"/>
        </w:rPr>
        <w:t>数据中心的数据存储能力和数据处理能力，完成项目数据的接入、模型建立及数据处理计算，不得另行建设独立数据处理体系。项目应用架构须遵循招标人微服务架构规范进行应用开发，并基于招标人“南网云”进行部署运行，构建灵活、高效的微服务集群，实现服务的高可用、高性能、高扩展。具体如下：</w:t>
      </w:r>
    </w:p>
    <w:p w14:paraId="2F8A59BA">
      <w:pPr>
        <w:pStyle w:val="20"/>
        <w:pageBreakBefore w:val="0"/>
        <w:kinsoku/>
        <w:wordWrap/>
        <w:overflowPunct/>
        <w:autoSpaceDE/>
        <w:autoSpaceDN/>
        <w:bidi w:val="0"/>
        <w:spacing w:beforeAutospacing="0" w:afterAutospacing="0" w:line="360" w:lineRule="auto"/>
        <w:ind w:firstLine="504"/>
        <w:rPr>
          <w:rFonts w:hint="eastAsia" w:eastAsia="宋体" w:cs="宋体"/>
          <w:color w:val="auto"/>
          <w:sz w:val="24"/>
          <w:szCs w:val="24"/>
          <w:highlight w:val="none"/>
        </w:rPr>
      </w:pPr>
      <w:r>
        <w:rPr>
          <w:rFonts w:hint="eastAsia" w:eastAsia="宋体" w:cs="宋体"/>
          <w:color w:val="auto"/>
          <w:sz w:val="24"/>
          <w:szCs w:val="24"/>
          <w:highlight w:val="none"/>
        </w:rPr>
        <w:t>（一）系统架构</w:t>
      </w:r>
    </w:p>
    <w:p w14:paraId="292A15BA">
      <w:pPr>
        <w:pStyle w:val="20"/>
        <w:pageBreakBefore w:val="0"/>
        <w:kinsoku/>
        <w:wordWrap/>
        <w:overflowPunct/>
        <w:autoSpaceDE/>
        <w:autoSpaceDN/>
        <w:bidi w:val="0"/>
        <w:spacing w:beforeAutospacing="0" w:afterAutospacing="0" w:line="360" w:lineRule="auto"/>
        <w:ind w:firstLine="504"/>
        <w:rPr>
          <w:rFonts w:hint="eastAsia" w:eastAsia="宋体" w:cs="宋体"/>
          <w:color w:val="auto"/>
          <w:sz w:val="24"/>
          <w:szCs w:val="24"/>
          <w:highlight w:val="none"/>
        </w:rPr>
      </w:pPr>
      <w:r>
        <w:rPr>
          <w:rFonts w:hint="eastAsia" w:eastAsia="宋体" w:cs="宋体"/>
          <w:color w:val="auto"/>
          <w:sz w:val="24"/>
          <w:szCs w:val="24"/>
          <w:highlight w:val="none"/>
        </w:rPr>
        <w:t>系统须采用B/S架构，实现前后端分离，前后端通信须采用HTTP RESTful接口方式。</w:t>
      </w:r>
    </w:p>
    <w:p w14:paraId="1B24F194">
      <w:pPr>
        <w:pStyle w:val="20"/>
        <w:pageBreakBefore w:val="0"/>
        <w:kinsoku/>
        <w:wordWrap/>
        <w:overflowPunct/>
        <w:autoSpaceDE/>
        <w:autoSpaceDN/>
        <w:bidi w:val="0"/>
        <w:spacing w:beforeAutospacing="0" w:afterAutospacing="0" w:line="360" w:lineRule="auto"/>
        <w:ind w:firstLine="504"/>
        <w:rPr>
          <w:rFonts w:hint="eastAsia" w:eastAsia="宋体" w:cs="宋体"/>
          <w:color w:val="auto"/>
          <w:sz w:val="24"/>
          <w:szCs w:val="24"/>
          <w:highlight w:val="none"/>
        </w:rPr>
      </w:pPr>
      <w:r>
        <w:rPr>
          <w:rFonts w:hint="eastAsia" w:eastAsia="宋体" w:cs="宋体"/>
          <w:color w:val="auto"/>
          <w:sz w:val="24"/>
          <w:szCs w:val="24"/>
          <w:highlight w:val="none"/>
        </w:rPr>
        <w:t>（二）前端技术</w:t>
      </w:r>
    </w:p>
    <w:p w14:paraId="006C7964">
      <w:pPr>
        <w:pStyle w:val="20"/>
        <w:pageBreakBefore w:val="0"/>
        <w:kinsoku/>
        <w:wordWrap/>
        <w:overflowPunct/>
        <w:autoSpaceDE/>
        <w:autoSpaceDN/>
        <w:bidi w:val="0"/>
        <w:spacing w:beforeAutospacing="0" w:afterAutospacing="0" w:line="360" w:lineRule="auto"/>
        <w:ind w:firstLine="504"/>
        <w:rPr>
          <w:rFonts w:hint="eastAsia" w:eastAsia="宋体" w:cs="宋体"/>
          <w:color w:val="auto"/>
          <w:sz w:val="24"/>
          <w:szCs w:val="24"/>
          <w:highlight w:val="none"/>
        </w:rPr>
      </w:pPr>
      <w:r>
        <w:rPr>
          <w:rFonts w:hint="eastAsia" w:eastAsia="宋体" w:cs="宋体"/>
          <w:color w:val="auto"/>
          <w:sz w:val="24"/>
          <w:szCs w:val="24"/>
          <w:highlight w:val="none"/>
        </w:rPr>
        <w:t>前端须采用HTML5、CSS等主流Web技术实现，支持丰富的图形化展示能力，具备良好的浏览器兼容性。</w:t>
      </w:r>
    </w:p>
    <w:p w14:paraId="6129903D">
      <w:pPr>
        <w:pStyle w:val="20"/>
        <w:pageBreakBefore w:val="0"/>
        <w:kinsoku/>
        <w:wordWrap/>
        <w:overflowPunct/>
        <w:autoSpaceDE/>
        <w:autoSpaceDN/>
        <w:bidi w:val="0"/>
        <w:spacing w:beforeAutospacing="0" w:afterAutospacing="0" w:line="360" w:lineRule="auto"/>
        <w:ind w:firstLine="504"/>
        <w:rPr>
          <w:rFonts w:hint="eastAsia" w:eastAsia="宋体" w:cs="宋体"/>
          <w:color w:val="auto"/>
          <w:sz w:val="24"/>
          <w:szCs w:val="24"/>
          <w:highlight w:val="none"/>
        </w:rPr>
      </w:pPr>
      <w:r>
        <w:rPr>
          <w:rFonts w:hint="eastAsia" w:eastAsia="宋体" w:cs="宋体"/>
          <w:color w:val="auto"/>
          <w:sz w:val="24"/>
          <w:szCs w:val="24"/>
          <w:highlight w:val="none"/>
        </w:rPr>
        <w:t>（三）后端技术</w:t>
      </w:r>
    </w:p>
    <w:p w14:paraId="0ED49E1E">
      <w:pPr>
        <w:pStyle w:val="20"/>
        <w:pageBreakBefore w:val="0"/>
        <w:kinsoku/>
        <w:wordWrap/>
        <w:overflowPunct/>
        <w:autoSpaceDE/>
        <w:autoSpaceDN/>
        <w:bidi w:val="0"/>
        <w:spacing w:beforeAutospacing="0" w:afterAutospacing="0" w:line="360" w:lineRule="auto"/>
        <w:ind w:firstLine="504"/>
        <w:rPr>
          <w:rFonts w:hint="eastAsia" w:eastAsia="宋体" w:cs="宋体"/>
          <w:color w:val="auto"/>
          <w:sz w:val="24"/>
          <w:szCs w:val="24"/>
          <w:highlight w:val="none"/>
        </w:rPr>
      </w:pPr>
      <w:r>
        <w:rPr>
          <w:rFonts w:hint="eastAsia" w:eastAsia="宋体" w:cs="宋体"/>
          <w:color w:val="auto"/>
          <w:sz w:val="24"/>
          <w:szCs w:val="24"/>
          <w:highlight w:val="none"/>
        </w:rPr>
        <w:t>后端须采用主流微服务框架实现，微服务间通信支持HTTP RESTful或消息队列方式，并具备数据缓存能力。</w:t>
      </w:r>
    </w:p>
    <w:p w14:paraId="0D8FCF19">
      <w:pPr>
        <w:pStyle w:val="20"/>
        <w:pageBreakBefore w:val="0"/>
        <w:kinsoku/>
        <w:wordWrap/>
        <w:overflowPunct/>
        <w:autoSpaceDE/>
        <w:autoSpaceDN/>
        <w:bidi w:val="0"/>
        <w:spacing w:beforeAutospacing="0" w:afterAutospacing="0" w:line="360" w:lineRule="auto"/>
        <w:ind w:firstLine="504"/>
        <w:rPr>
          <w:rFonts w:hint="eastAsia" w:eastAsia="宋体" w:cs="宋体"/>
          <w:color w:val="auto"/>
          <w:sz w:val="24"/>
          <w:szCs w:val="24"/>
          <w:highlight w:val="none"/>
        </w:rPr>
      </w:pPr>
      <w:r>
        <w:rPr>
          <w:rFonts w:hint="eastAsia" w:eastAsia="宋体" w:cs="宋体"/>
          <w:color w:val="auto"/>
          <w:sz w:val="24"/>
          <w:szCs w:val="24"/>
          <w:highlight w:val="none"/>
        </w:rPr>
        <w:t>（四）数据存储</w:t>
      </w:r>
    </w:p>
    <w:p w14:paraId="30F6893D">
      <w:pPr>
        <w:pStyle w:val="20"/>
        <w:pageBreakBefore w:val="0"/>
        <w:kinsoku/>
        <w:wordWrap/>
        <w:overflowPunct/>
        <w:autoSpaceDE/>
        <w:autoSpaceDN/>
        <w:bidi w:val="0"/>
        <w:spacing w:beforeAutospacing="0" w:afterAutospacing="0" w:line="360" w:lineRule="auto"/>
        <w:ind w:firstLine="504"/>
        <w:rPr>
          <w:rFonts w:hint="eastAsia" w:eastAsia="宋体" w:cs="宋体"/>
          <w:color w:val="auto"/>
          <w:sz w:val="24"/>
          <w:szCs w:val="24"/>
          <w:highlight w:val="none"/>
        </w:rPr>
      </w:pPr>
      <w:r>
        <w:rPr>
          <w:rFonts w:hint="eastAsia" w:eastAsia="宋体" w:cs="宋体"/>
          <w:color w:val="auto"/>
          <w:sz w:val="24"/>
          <w:szCs w:val="24"/>
          <w:highlight w:val="none"/>
        </w:rPr>
        <w:t>数据存储须采用自主可控数据库，优先选用达梦数据库等国产数据库产品，满足数据同步、数据存储及数据处理需求。</w:t>
      </w:r>
    </w:p>
    <w:p w14:paraId="5648BFEF">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bookmarkStart w:id="35" w:name="_Toc193112444"/>
      <w:bookmarkStart w:id="36" w:name="_Toc10107"/>
      <w:r>
        <w:rPr>
          <w:rFonts w:hint="eastAsia" w:asciiTheme="minorEastAsia" w:hAnsiTheme="minorEastAsia" w:cstheme="minorEastAsia"/>
          <w:color w:val="auto"/>
          <w:sz w:val="24"/>
          <w:szCs w:val="24"/>
          <w:highlight w:val="none"/>
        </w:rPr>
        <w:t>3.6.1.3技术分类</w:t>
      </w:r>
    </w:p>
    <w:bookmarkEnd w:id="35"/>
    <w:bookmarkEnd w:id="36"/>
    <w:p w14:paraId="5F0EEAC2">
      <w:pPr>
        <w:pageBreakBefore w:val="0"/>
        <w:kinsoku/>
        <w:wordWrap/>
        <w:overflowPunct/>
        <w:autoSpaceDE/>
        <w:autoSpaceDN/>
        <w:bidi w:val="0"/>
        <w:spacing w:beforeAutospacing="0" w:afterAutospacing="0" w:line="360" w:lineRule="auto"/>
        <w:ind w:firstLine="504" w:firstLineChars="200"/>
        <w:rPr>
          <w:rFonts w:hint="eastAsia" w:ascii="宋体" w:hAnsi="宋体" w:eastAsia="宋体" w:cs="宋体"/>
          <w:color w:val="auto"/>
          <w:spacing w:val="6"/>
          <w:sz w:val="24"/>
          <w:highlight w:val="none"/>
        </w:rPr>
      </w:pPr>
      <w:r>
        <w:rPr>
          <w:rFonts w:hint="eastAsia" w:ascii="宋体" w:hAnsi="宋体" w:eastAsia="宋体" w:cs="宋体"/>
          <w:color w:val="auto"/>
          <w:spacing w:val="6"/>
          <w:sz w:val="24"/>
          <w:highlight w:val="none"/>
        </w:rPr>
        <w:t>本次建设涉及的技术分类情况，如下表所示：</w:t>
      </w:r>
    </w:p>
    <w:tbl>
      <w:tblPr>
        <w:tblStyle w:val="1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241"/>
        <w:gridCol w:w="2378"/>
        <w:gridCol w:w="3903"/>
      </w:tblGrid>
      <w:tr w14:paraId="02AC64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1315" w:type="pct"/>
            <w:shd w:val="clear" w:color="000000" w:fill="D9D9D9"/>
            <w:vAlign w:val="center"/>
          </w:tcPr>
          <w:p w14:paraId="1BDC703F">
            <w:pPr>
              <w:pageBreakBefore w:val="0"/>
              <w:widowControl/>
              <w:kinsoku/>
              <w:wordWrap/>
              <w:overflowPunct/>
              <w:autoSpaceDE/>
              <w:autoSpaceDN/>
              <w:bidi w:val="0"/>
              <w:spacing w:beforeAutospacing="0" w:afterAutospacing="0" w:line="360" w:lineRule="auto"/>
              <w:jc w:val="center"/>
              <w:rPr>
                <w:rFonts w:hint="eastAsia" w:ascii="宋体" w:hAnsi="宋体" w:cs="宋体"/>
                <w:b/>
                <w:bCs/>
                <w:color w:val="auto"/>
                <w:kern w:val="0"/>
                <w:szCs w:val="21"/>
                <w:highlight w:val="none"/>
              </w:rPr>
            </w:pPr>
            <w:r>
              <w:rPr>
                <w:rFonts w:hint="eastAsia" w:ascii="宋体" w:hAnsi="宋体" w:cs="宋体"/>
                <w:b/>
                <w:bCs/>
                <w:color w:val="auto"/>
                <w:kern w:val="0"/>
                <w:szCs w:val="21"/>
                <w:highlight w:val="none"/>
              </w:rPr>
              <w:t>技术域</w:t>
            </w:r>
          </w:p>
        </w:tc>
        <w:tc>
          <w:tcPr>
            <w:tcW w:w="1395" w:type="pct"/>
            <w:shd w:val="clear" w:color="000000" w:fill="D9D9D9"/>
            <w:vAlign w:val="center"/>
          </w:tcPr>
          <w:p w14:paraId="5D43DB1B">
            <w:pPr>
              <w:pageBreakBefore w:val="0"/>
              <w:widowControl/>
              <w:kinsoku/>
              <w:wordWrap/>
              <w:overflowPunct/>
              <w:autoSpaceDE/>
              <w:autoSpaceDN/>
              <w:bidi w:val="0"/>
              <w:spacing w:beforeAutospacing="0" w:afterAutospacing="0" w:line="360" w:lineRule="auto"/>
              <w:jc w:val="center"/>
              <w:rPr>
                <w:rFonts w:hint="eastAsia" w:ascii="宋体" w:hAnsi="宋体" w:cs="宋体"/>
                <w:b/>
                <w:bCs/>
                <w:color w:val="auto"/>
                <w:kern w:val="0"/>
                <w:szCs w:val="21"/>
                <w:highlight w:val="none"/>
              </w:rPr>
            </w:pPr>
            <w:r>
              <w:rPr>
                <w:rFonts w:hint="eastAsia" w:ascii="宋体" w:hAnsi="宋体" w:cs="宋体"/>
                <w:b/>
                <w:bCs/>
                <w:color w:val="auto"/>
                <w:kern w:val="0"/>
                <w:szCs w:val="21"/>
                <w:highlight w:val="none"/>
              </w:rPr>
              <w:t>一级技术分类</w:t>
            </w:r>
          </w:p>
        </w:tc>
        <w:tc>
          <w:tcPr>
            <w:tcW w:w="2290" w:type="pct"/>
            <w:shd w:val="clear" w:color="000000" w:fill="D9D9D9"/>
            <w:vAlign w:val="center"/>
          </w:tcPr>
          <w:p w14:paraId="398A46DC">
            <w:pPr>
              <w:pageBreakBefore w:val="0"/>
              <w:widowControl/>
              <w:kinsoku/>
              <w:wordWrap/>
              <w:overflowPunct/>
              <w:autoSpaceDE/>
              <w:autoSpaceDN/>
              <w:bidi w:val="0"/>
              <w:spacing w:beforeAutospacing="0" w:afterAutospacing="0" w:line="360" w:lineRule="auto"/>
              <w:jc w:val="center"/>
              <w:rPr>
                <w:rFonts w:hint="eastAsia" w:ascii="宋体" w:hAnsi="宋体" w:cs="宋体"/>
                <w:b/>
                <w:bCs/>
                <w:color w:val="auto"/>
                <w:kern w:val="0"/>
                <w:szCs w:val="21"/>
                <w:highlight w:val="none"/>
              </w:rPr>
            </w:pPr>
            <w:r>
              <w:rPr>
                <w:rFonts w:hint="eastAsia" w:ascii="宋体" w:hAnsi="宋体" w:cs="宋体"/>
                <w:b/>
                <w:bCs/>
                <w:color w:val="auto"/>
                <w:kern w:val="0"/>
                <w:szCs w:val="21"/>
                <w:highlight w:val="none"/>
              </w:rPr>
              <w:t>二级技术分类</w:t>
            </w:r>
          </w:p>
        </w:tc>
      </w:tr>
      <w:tr w14:paraId="7A2ED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1315" w:type="pct"/>
            <w:shd w:val="clear" w:color="000000" w:fill="FFFFFF"/>
            <w:vAlign w:val="center"/>
          </w:tcPr>
          <w:p w14:paraId="7DABCF77">
            <w:pPr>
              <w:pageBreakBefore w:val="0"/>
              <w:widowControl/>
              <w:tabs>
                <w:tab w:val="left" w:pos="0"/>
              </w:tabs>
              <w:kinsoku/>
              <w:wordWrap/>
              <w:overflowPunct/>
              <w:autoSpaceDE/>
              <w:autoSpaceDN/>
              <w:bidi w:val="0"/>
              <w:spacing w:beforeAutospacing="0" w:afterAutospacing="0" w:line="360" w:lineRule="auto"/>
              <w:jc w:val="center"/>
              <w:rPr>
                <w:rFonts w:cs="宋体"/>
                <w:color w:val="auto"/>
                <w:kern w:val="0"/>
                <w:szCs w:val="21"/>
                <w:highlight w:val="none"/>
              </w:rPr>
            </w:pPr>
            <w:r>
              <w:rPr>
                <w:rFonts w:hint="eastAsia" w:cs="宋体"/>
                <w:color w:val="auto"/>
                <w:kern w:val="0"/>
                <w:szCs w:val="21"/>
                <w:highlight w:val="none"/>
              </w:rPr>
              <w:t>技术平台</w:t>
            </w:r>
          </w:p>
        </w:tc>
        <w:tc>
          <w:tcPr>
            <w:tcW w:w="1395" w:type="pct"/>
            <w:shd w:val="clear" w:color="000000" w:fill="FFFFFF"/>
            <w:vAlign w:val="center"/>
          </w:tcPr>
          <w:p w14:paraId="024656E0">
            <w:pPr>
              <w:pageBreakBefore w:val="0"/>
              <w:widowControl/>
              <w:tabs>
                <w:tab w:val="left" w:pos="0"/>
              </w:tabs>
              <w:kinsoku/>
              <w:wordWrap/>
              <w:overflowPunct/>
              <w:autoSpaceDE/>
              <w:autoSpaceDN/>
              <w:bidi w:val="0"/>
              <w:spacing w:beforeAutospacing="0" w:afterAutospacing="0" w:line="360" w:lineRule="auto"/>
              <w:jc w:val="center"/>
              <w:rPr>
                <w:rFonts w:cs="宋体"/>
                <w:color w:val="auto"/>
                <w:kern w:val="0"/>
                <w:szCs w:val="21"/>
                <w:highlight w:val="none"/>
              </w:rPr>
            </w:pPr>
            <w:r>
              <w:rPr>
                <w:rFonts w:hint="eastAsia" w:cs="宋体"/>
                <w:color w:val="auto"/>
                <w:kern w:val="0"/>
                <w:szCs w:val="21"/>
                <w:highlight w:val="none"/>
              </w:rPr>
              <w:t>区块链平台</w:t>
            </w:r>
          </w:p>
        </w:tc>
        <w:tc>
          <w:tcPr>
            <w:tcW w:w="2290" w:type="pct"/>
            <w:shd w:val="clear" w:color="000000" w:fill="FFFFFF"/>
            <w:vAlign w:val="center"/>
          </w:tcPr>
          <w:p w14:paraId="6FAB375C">
            <w:pPr>
              <w:pageBreakBefore w:val="0"/>
              <w:widowControl/>
              <w:tabs>
                <w:tab w:val="left" w:pos="0"/>
              </w:tabs>
              <w:kinsoku/>
              <w:wordWrap/>
              <w:overflowPunct/>
              <w:autoSpaceDE/>
              <w:autoSpaceDN/>
              <w:bidi w:val="0"/>
              <w:spacing w:beforeAutospacing="0" w:afterAutospacing="0" w:line="360" w:lineRule="auto"/>
              <w:jc w:val="center"/>
              <w:rPr>
                <w:rFonts w:cs="宋体"/>
                <w:color w:val="auto"/>
                <w:kern w:val="0"/>
                <w:szCs w:val="21"/>
                <w:highlight w:val="none"/>
              </w:rPr>
            </w:pPr>
            <w:r>
              <w:rPr>
                <w:rFonts w:hint="eastAsia" w:cs="宋体"/>
                <w:color w:val="auto"/>
                <w:kern w:val="0"/>
                <w:szCs w:val="21"/>
                <w:highlight w:val="none"/>
              </w:rPr>
              <w:t>软件工具包</w:t>
            </w:r>
          </w:p>
        </w:tc>
      </w:tr>
      <w:tr w14:paraId="7E682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315" w:type="pct"/>
            <w:shd w:val="clear" w:color="000000" w:fill="FFFFFF"/>
            <w:vAlign w:val="center"/>
          </w:tcPr>
          <w:p w14:paraId="0E578228">
            <w:pPr>
              <w:pageBreakBefore w:val="0"/>
              <w:widowControl/>
              <w:tabs>
                <w:tab w:val="left" w:pos="0"/>
              </w:tabs>
              <w:kinsoku/>
              <w:wordWrap/>
              <w:overflowPunct/>
              <w:autoSpaceDE/>
              <w:autoSpaceDN/>
              <w:bidi w:val="0"/>
              <w:spacing w:beforeAutospacing="0" w:afterAutospacing="0" w:line="360" w:lineRule="auto"/>
              <w:jc w:val="center"/>
              <w:rPr>
                <w:rFonts w:cs="宋体"/>
                <w:color w:val="auto"/>
                <w:kern w:val="0"/>
                <w:szCs w:val="21"/>
                <w:highlight w:val="none"/>
              </w:rPr>
            </w:pPr>
            <w:r>
              <w:rPr>
                <w:rFonts w:hint="eastAsia" w:cs="宋体"/>
                <w:color w:val="auto"/>
                <w:kern w:val="0"/>
                <w:szCs w:val="21"/>
                <w:highlight w:val="none"/>
              </w:rPr>
              <w:t>技术平台</w:t>
            </w:r>
          </w:p>
        </w:tc>
        <w:tc>
          <w:tcPr>
            <w:tcW w:w="1395" w:type="pct"/>
            <w:shd w:val="clear" w:color="000000" w:fill="FFFFFF"/>
            <w:vAlign w:val="center"/>
          </w:tcPr>
          <w:p w14:paraId="342BA2B6">
            <w:pPr>
              <w:pageBreakBefore w:val="0"/>
              <w:widowControl/>
              <w:tabs>
                <w:tab w:val="left" w:pos="0"/>
              </w:tabs>
              <w:kinsoku/>
              <w:wordWrap/>
              <w:overflowPunct/>
              <w:autoSpaceDE/>
              <w:autoSpaceDN/>
              <w:bidi w:val="0"/>
              <w:spacing w:beforeAutospacing="0" w:afterAutospacing="0" w:line="360" w:lineRule="auto"/>
              <w:jc w:val="center"/>
              <w:rPr>
                <w:rFonts w:cs="宋体"/>
                <w:color w:val="auto"/>
                <w:kern w:val="0"/>
                <w:szCs w:val="21"/>
                <w:highlight w:val="none"/>
              </w:rPr>
            </w:pPr>
            <w:r>
              <w:rPr>
                <w:rFonts w:hint="eastAsia" w:cs="宋体"/>
                <w:color w:val="auto"/>
                <w:kern w:val="0"/>
                <w:szCs w:val="21"/>
                <w:highlight w:val="none"/>
              </w:rPr>
              <w:t>区块链平台</w:t>
            </w:r>
          </w:p>
        </w:tc>
        <w:tc>
          <w:tcPr>
            <w:tcW w:w="2290" w:type="pct"/>
            <w:shd w:val="clear" w:color="000000" w:fill="FFFFFF"/>
            <w:vAlign w:val="center"/>
          </w:tcPr>
          <w:p w14:paraId="4201E250">
            <w:pPr>
              <w:pageBreakBefore w:val="0"/>
              <w:widowControl/>
              <w:tabs>
                <w:tab w:val="left" w:pos="0"/>
              </w:tabs>
              <w:kinsoku/>
              <w:wordWrap/>
              <w:overflowPunct/>
              <w:autoSpaceDE/>
              <w:autoSpaceDN/>
              <w:bidi w:val="0"/>
              <w:spacing w:beforeAutospacing="0" w:afterAutospacing="0" w:line="360" w:lineRule="auto"/>
              <w:jc w:val="center"/>
              <w:rPr>
                <w:rFonts w:cs="宋体"/>
                <w:color w:val="auto"/>
                <w:kern w:val="0"/>
                <w:szCs w:val="21"/>
                <w:highlight w:val="none"/>
              </w:rPr>
            </w:pPr>
            <w:r>
              <w:rPr>
                <w:rFonts w:hint="eastAsia" w:cs="宋体"/>
                <w:color w:val="auto"/>
                <w:kern w:val="0"/>
                <w:szCs w:val="21"/>
                <w:highlight w:val="none"/>
              </w:rPr>
              <w:t>区块链服务层</w:t>
            </w:r>
          </w:p>
        </w:tc>
      </w:tr>
      <w:tr w14:paraId="0A7E1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1315" w:type="pct"/>
            <w:shd w:val="clear" w:color="000000" w:fill="FFFFFF"/>
            <w:vAlign w:val="center"/>
          </w:tcPr>
          <w:p w14:paraId="2FD36663">
            <w:pPr>
              <w:pageBreakBefore w:val="0"/>
              <w:widowControl/>
              <w:tabs>
                <w:tab w:val="left" w:pos="0"/>
              </w:tabs>
              <w:kinsoku/>
              <w:wordWrap/>
              <w:overflowPunct/>
              <w:autoSpaceDE/>
              <w:autoSpaceDN/>
              <w:bidi w:val="0"/>
              <w:spacing w:beforeAutospacing="0" w:afterAutospacing="0" w:line="360" w:lineRule="auto"/>
              <w:jc w:val="center"/>
              <w:rPr>
                <w:rFonts w:cs="宋体"/>
                <w:color w:val="auto"/>
                <w:kern w:val="0"/>
                <w:szCs w:val="21"/>
                <w:highlight w:val="none"/>
              </w:rPr>
            </w:pPr>
            <w:r>
              <w:rPr>
                <w:rFonts w:hint="eastAsia" w:cs="宋体"/>
                <w:color w:val="auto"/>
                <w:kern w:val="0"/>
                <w:szCs w:val="21"/>
                <w:highlight w:val="none"/>
              </w:rPr>
              <w:t>技术平台</w:t>
            </w:r>
          </w:p>
        </w:tc>
        <w:tc>
          <w:tcPr>
            <w:tcW w:w="1395" w:type="pct"/>
            <w:shd w:val="clear" w:color="000000" w:fill="FFFFFF"/>
            <w:vAlign w:val="center"/>
          </w:tcPr>
          <w:p w14:paraId="1CB7623E">
            <w:pPr>
              <w:pageBreakBefore w:val="0"/>
              <w:widowControl/>
              <w:tabs>
                <w:tab w:val="left" w:pos="0"/>
              </w:tabs>
              <w:kinsoku/>
              <w:wordWrap/>
              <w:overflowPunct/>
              <w:autoSpaceDE/>
              <w:autoSpaceDN/>
              <w:bidi w:val="0"/>
              <w:spacing w:beforeAutospacing="0" w:afterAutospacing="0" w:line="360" w:lineRule="auto"/>
              <w:jc w:val="center"/>
              <w:rPr>
                <w:rFonts w:cs="宋体"/>
                <w:color w:val="auto"/>
                <w:kern w:val="0"/>
                <w:szCs w:val="21"/>
                <w:highlight w:val="none"/>
              </w:rPr>
            </w:pPr>
            <w:r>
              <w:rPr>
                <w:rFonts w:hint="eastAsia" w:cs="宋体"/>
                <w:color w:val="auto"/>
                <w:kern w:val="0"/>
                <w:szCs w:val="21"/>
                <w:highlight w:val="none"/>
              </w:rPr>
              <w:t>区块链平台</w:t>
            </w:r>
          </w:p>
        </w:tc>
        <w:tc>
          <w:tcPr>
            <w:tcW w:w="2290" w:type="pct"/>
            <w:shd w:val="clear" w:color="000000" w:fill="FFFFFF"/>
            <w:vAlign w:val="center"/>
          </w:tcPr>
          <w:p w14:paraId="08FB29E6">
            <w:pPr>
              <w:pageBreakBefore w:val="0"/>
              <w:widowControl/>
              <w:tabs>
                <w:tab w:val="left" w:pos="0"/>
              </w:tabs>
              <w:kinsoku/>
              <w:wordWrap/>
              <w:overflowPunct/>
              <w:autoSpaceDE/>
              <w:autoSpaceDN/>
              <w:bidi w:val="0"/>
              <w:spacing w:beforeAutospacing="0" w:afterAutospacing="0" w:line="360" w:lineRule="auto"/>
              <w:jc w:val="center"/>
              <w:rPr>
                <w:rFonts w:cs="宋体"/>
                <w:color w:val="auto"/>
                <w:kern w:val="0"/>
                <w:szCs w:val="21"/>
                <w:highlight w:val="none"/>
              </w:rPr>
            </w:pPr>
            <w:r>
              <w:rPr>
                <w:rFonts w:hint="eastAsia" w:cs="宋体"/>
                <w:color w:val="auto"/>
                <w:kern w:val="0"/>
                <w:szCs w:val="21"/>
                <w:highlight w:val="none"/>
              </w:rPr>
              <w:t>区块链服务功能组件</w:t>
            </w:r>
          </w:p>
        </w:tc>
      </w:tr>
    </w:tbl>
    <w:p w14:paraId="247168CB">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bookmarkStart w:id="37" w:name="_Toc27421"/>
      <w:bookmarkStart w:id="38" w:name="_Toc193112445"/>
      <w:r>
        <w:rPr>
          <w:rFonts w:hint="eastAsia" w:asciiTheme="minorEastAsia" w:hAnsiTheme="minorEastAsia" w:cstheme="minorEastAsia"/>
          <w:color w:val="auto"/>
          <w:sz w:val="24"/>
          <w:szCs w:val="24"/>
          <w:highlight w:val="none"/>
        </w:rPr>
        <w:t>3.6.1.4技术组件</w:t>
      </w:r>
      <w:bookmarkEnd w:id="37"/>
      <w:bookmarkEnd w:id="38"/>
    </w:p>
    <w:tbl>
      <w:tblPr>
        <w:tblStyle w:val="1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537"/>
        <w:gridCol w:w="1631"/>
        <w:gridCol w:w="2678"/>
        <w:gridCol w:w="2676"/>
      </w:tblGrid>
      <w:tr w14:paraId="211F73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902" w:type="pct"/>
            <w:shd w:val="clear" w:color="000000" w:fill="D9D9D9"/>
            <w:vAlign w:val="center"/>
          </w:tcPr>
          <w:p w14:paraId="1AB9104C">
            <w:pPr>
              <w:pageBreakBefore w:val="0"/>
              <w:widowControl/>
              <w:kinsoku/>
              <w:wordWrap/>
              <w:overflowPunct/>
              <w:autoSpaceDE/>
              <w:autoSpaceDN/>
              <w:bidi w:val="0"/>
              <w:spacing w:beforeAutospacing="0" w:afterAutospacing="0" w:line="360" w:lineRule="auto"/>
              <w:jc w:val="center"/>
              <w:rPr>
                <w:rFonts w:hint="eastAsia" w:ascii="宋体" w:hAnsi="宋体" w:cs="宋体"/>
                <w:b/>
                <w:bCs/>
                <w:color w:val="auto"/>
                <w:kern w:val="0"/>
                <w:szCs w:val="21"/>
                <w:highlight w:val="none"/>
              </w:rPr>
            </w:pPr>
            <w:r>
              <w:rPr>
                <w:rFonts w:hint="eastAsia" w:ascii="宋体" w:hAnsi="宋体" w:cs="宋体"/>
                <w:b/>
                <w:bCs/>
                <w:color w:val="auto"/>
                <w:kern w:val="0"/>
                <w:szCs w:val="21"/>
                <w:highlight w:val="none"/>
              </w:rPr>
              <w:t>技术域</w:t>
            </w:r>
          </w:p>
        </w:tc>
        <w:tc>
          <w:tcPr>
            <w:tcW w:w="957" w:type="pct"/>
            <w:shd w:val="clear" w:color="000000" w:fill="D9D9D9"/>
            <w:vAlign w:val="center"/>
          </w:tcPr>
          <w:p w14:paraId="56BC346B">
            <w:pPr>
              <w:pageBreakBefore w:val="0"/>
              <w:widowControl/>
              <w:kinsoku/>
              <w:wordWrap/>
              <w:overflowPunct/>
              <w:autoSpaceDE/>
              <w:autoSpaceDN/>
              <w:bidi w:val="0"/>
              <w:spacing w:beforeAutospacing="0" w:afterAutospacing="0" w:line="360" w:lineRule="auto"/>
              <w:jc w:val="center"/>
              <w:rPr>
                <w:rFonts w:hint="eastAsia" w:ascii="宋体" w:hAnsi="宋体" w:cs="宋体"/>
                <w:b/>
                <w:bCs/>
                <w:color w:val="auto"/>
                <w:kern w:val="0"/>
                <w:szCs w:val="21"/>
                <w:highlight w:val="none"/>
              </w:rPr>
            </w:pPr>
            <w:r>
              <w:rPr>
                <w:rFonts w:hint="eastAsia" w:ascii="宋体" w:hAnsi="宋体" w:cs="宋体"/>
                <w:b/>
                <w:bCs/>
                <w:color w:val="auto"/>
                <w:kern w:val="0"/>
                <w:szCs w:val="21"/>
                <w:highlight w:val="none"/>
              </w:rPr>
              <w:t>一级技术分类</w:t>
            </w:r>
          </w:p>
        </w:tc>
        <w:tc>
          <w:tcPr>
            <w:tcW w:w="1571" w:type="pct"/>
            <w:shd w:val="clear" w:color="000000" w:fill="D9D9D9"/>
            <w:vAlign w:val="center"/>
          </w:tcPr>
          <w:p w14:paraId="6160BEB9">
            <w:pPr>
              <w:pageBreakBefore w:val="0"/>
              <w:widowControl/>
              <w:kinsoku/>
              <w:wordWrap/>
              <w:overflowPunct/>
              <w:autoSpaceDE/>
              <w:autoSpaceDN/>
              <w:bidi w:val="0"/>
              <w:spacing w:beforeAutospacing="0" w:afterAutospacing="0" w:line="360" w:lineRule="auto"/>
              <w:jc w:val="center"/>
              <w:rPr>
                <w:rFonts w:hint="eastAsia" w:ascii="宋体" w:hAnsi="宋体" w:cs="宋体"/>
                <w:b/>
                <w:bCs/>
                <w:color w:val="auto"/>
                <w:kern w:val="0"/>
                <w:szCs w:val="21"/>
                <w:highlight w:val="none"/>
              </w:rPr>
            </w:pPr>
            <w:r>
              <w:rPr>
                <w:rFonts w:hint="eastAsia" w:ascii="宋体" w:hAnsi="宋体" w:cs="宋体"/>
                <w:b/>
                <w:bCs/>
                <w:color w:val="auto"/>
                <w:kern w:val="0"/>
                <w:szCs w:val="21"/>
                <w:highlight w:val="none"/>
              </w:rPr>
              <w:t>二级技术分类</w:t>
            </w:r>
          </w:p>
        </w:tc>
        <w:tc>
          <w:tcPr>
            <w:tcW w:w="1570" w:type="pct"/>
            <w:shd w:val="clear" w:color="auto" w:fill="D8D8D8" w:themeFill="background1" w:themeFillShade="D9"/>
          </w:tcPr>
          <w:p w14:paraId="625A97D1">
            <w:pPr>
              <w:pageBreakBefore w:val="0"/>
              <w:widowControl/>
              <w:kinsoku/>
              <w:wordWrap/>
              <w:overflowPunct/>
              <w:autoSpaceDE/>
              <w:autoSpaceDN/>
              <w:bidi w:val="0"/>
              <w:spacing w:beforeAutospacing="0" w:afterAutospacing="0" w:line="360" w:lineRule="auto"/>
              <w:jc w:val="center"/>
              <w:rPr>
                <w:rFonts w:hint="eastAsia" w:ascii="宋体" w:hAnsi="宋体" w:cs="宋体"/>
                <w:b/>
                <w:bCs/>
                <w:color w:val="auto"/>
                <w:kern w:val="0"/>
                <w:szCs w:val="21"/>
                <w:highlight w:val="none"/>
              </w:rPr>
            </w:pPr>
            <w:r>
              <w:rPr>
                <w:rFonts w:hint="eastAsia" w:ascii="宋体" w:hAnsi="宋体" w:cs="宋体"/>
                <w:b/>
                <w:bCs/>
                <w:color w:val="auto"/>
                <w:kern w:val="0"/>
                <w:szCs w:val="21"/>
                <w:highlight w:val="none"/>
              </w:rPr>
              <w:t>技术组件</w:t>
            </w:r>
          </w:p>
        </w:tc>
      </w:tr>
      <w:tr w14:paraId="141307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2" w:hRule="atLeast"/>
        </w:trPr>
        <w:tc>
          <w:tcPr>
            <w:tcW w:w="902" w:type="pct"/>
            <w:shd w:val="clear" w:color="000000" w:fill="FFFFFF"/>
            <w:vAlign w:val="center"/>
          </w:tcPr>
          <w:p w14:paraId="30B88703">
            <w:pPr>
              <w:pageBreakBefore w:val="0"/>
              <w:widowControl/>
              <w:tabs>
                <w:tab w:val="left" w:pos="0"/>
              </w:tabs>
              <w:kinsoku/>
              <w:wordWrap/>
              <w:overflowPunct/>
              <w:autoSpaceDE/>
              <w:autoSpaceDN/>
              <w:bidi w:val="0"/>
              <w:spacing w:beforeAutospacing="0" w:afterAutospacing="0" w:line="360" w:lineRule="auto"/>
              <w:jc w:val="center"/>
              <w:rPr>
                <w:rFonts w:cs="宋体"/>
                <w:color w:val="auto"/>
                <w:kern w:val="0"/>
                <w:szCs w:val="21"/>
                <w:highlight w:val="none"/>
              </w:rPr>
            </w:pPr>
            <w:r>
              <w:rPr>
                <w:rFonts w:hint="eastAsia" w:cs="宋体"/>
                <w:color w:val="auto"/>
                <w:kern w:val="0"/>
                <w:szCs w:val="21"/>
                <w:highlight w:val="none"/>
              </w:rPr>
              <w:t>技术平台</w:t>
            </w:r>
          </w:p>
        </w:tc>
        <w:tc>
          <w:tcPr>
            <w:tcW w:w="957" w:type="pct"/>
            <w:shd w:val="clear" w:color="000000" w:fill="FFFFFF"/>
            <w:vAlign w:val="center"/>
          </w:tcPr>
          <w:p w14:paraId="0A16A198">
            <w:pPr>
              <w:pageBreakBefore w:val="0"/>
              <w:widowControl/>
              <w:tabs>
                <w:tab w:val="left" w:pos="0"/>
              </w:tabs>
              <w:kinsoku/>
              <w:wordWrap/>
              <w:overflowPunct/>
              <w:autoSpaceDE/>
              <w:autoSpaceDN/>
              <w:bidi w:val="0"/>
              <w:spacing w:beforeAutospacing="0" w:afterAutospacing="0" w:line="360" w:lineRule="auto"/>
              <w:jc w:val="center"/>
              <w:rPr>
                <w:rFonts w:cs="宋体"/>
                <w:color w:val="auto"/>
                <w:kern w:val="0"/>
                <w:szCs w:val="21"/>
                <w:highlight w:val="none"/>
              </w:rPr>
            </w:pPr>
            <w:r>
              <w:rPr>
                <w:rFonts w:hint="eastAsia" w:cs="宋体"/>
                <w:color w:val="auto"/>
                <w:kern w:val="0"/>
                <w:szCs w:val="21"/>
                <w:highlight w:val="none"/>
              </w:rPr>
              <w:t>区块链平台</w:t>
            </w:r>
          </w:p>
        </w:tc>
        <w:tc>
          <w:tcPr>
            <w:tcW w:w="1571" w:type="pct"/>
            <w:shd w:val="clear" w:color="000000" w:fill="FFFFFF"/>
            <w:vAlign w:val="center"/>
          </w:tcPr>
          <w:p w14:paraId="742B5255">
            <w:pPr>
              <w:pageBreakBefore w:val="0"/>
              <w:widowControl/>
              <w:tabs>
                <w:tab w:val="left" w:pos="0"/>
              </w:tabs>
              <w:kinsoku/>
              <w:wordWrap/>
              <w:overflowPunct/>
              <w:autoSpaceDE/>
              <w:autoSpaceDN/>
              <w:bidi w:val="0"/>
              <w:spacing w:beforeAutospacing="0" w:afterAutospacing="0" w:line="360" w:lineRule="auto"/>
              <w:jc w:val="center"/>
              <w:rPr>
                <w:rFonts w:cs="宋体"/>
                <w:color w:val="auto"/>
                <w:kern w:val="0"/>
                <w:szCs w:val="21"/>
                <w:highlight w:val="none"/>
              </w:rPr>
            </w:pPr>
            <w:r>
              <w:rPr>
                <w:rFonts w:hint="eastAsia" w:cs="宋体"/>
                <w:color w:val="auto"/>
                <w:kern w:val="0"/>
                <w:szCs w:val="21"/>
                <w:highlight w:val="none"/>
              </w:rPr>
              <w:t>软件工具包</w:t>
            </w:r>
          </w:p>
        </w:tc>
        <w:tc>
          <w:tcPr>
            <w:tcW w:w="1570" w:type="pct"/>
          </w:tcPr>
          <w:p w14:paraId="7A68029E">
            <w:pPr>
              <w:pageBreakBefore w:val="0"/>
              <w:widowControl/>
              <w:tabs>
                <w:tab w:val="left" w:pos="0"/>
              </w:tabs>
              <w:kinsoku/>
              <w:wordWrap/>
              <w:overflowPunct/>
              <w:autoSpaceDE/>
              <w:autoSpaceDN/>
              <w:bidi w:val="0"/>
              <w:spacing w:beforeAutospacing="0" w:afterAutospacing="0" w:line="360" w:lineRule="auto"/>
              <w:jc w:val="center"/>
              <w:rPr>
                <w:rFonts w:cs="宋体"/>
                <w:color w:val="auto"/>
                <w:kern w:val="0"/>
                <w:szCs w:val="21"/>
                <w:highlight w:val="none"/>
              </w:rPr>
            </w:pPr>
            <w:r>
              <w:rPr>
                <w:rFonts w:hint="eastAsia" w:cs="宋体"/>
                <w:color w:val="auto"/>
                <w:kern w:val="0"/>
                <w:szCs w:val="21"/>
                <w:highlight w:val="none"/>
              </w:rPr>
              <w:t>可信数据交换</w:t>
            </w:r>
          </w:p>
        </w:tc>
      </w:tr>
      <w:tr w14:paraId="2D2678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902" w:type="pct"/>
            <w:shd w:val="clear" w:color="000000" w:fill="FFFFFF"/>
            <w:vAlign w:val="center"/>
          </w:tcPr>
          <w:p w14:paraId="0ABAAEF2">
            <w:pPr>
              <w:pageBreakBefore w:val="0"/>
              <w:widowControl/>
              <w:tabs>
                <w:tab w:val="left" w:pos="0"/>
              </w:tabs>
              <w:kinsoku/>
              <w:wordWrap/>
              <w:overflowPunct/>
              <w:autoSpaceDE/>
              <w:autoSpaceDN/>
              <w:bidi w:val="0"/>
              <w:spacing w:beforeAutospacing="0" w:afterAutospacing="0" w:line="360" w:lineRule="auto"/>
              <w:jc w:val="center"/>
              <w:rPr>
                <w:rFonts w:cs="宋体"/>
                <w:color w:val="auto"/>
                <w:kern w:val="0"/>
                <w:szCs w:val="21"/>
                <w:highlight w:val="none"/>
              </w:rPr>
            </w:pPr>
            <w:r>
              <w:rPr>
                <w:rFonts w:hint="eastAsia" w:cs="宋体"/>
                <w:color w:val="auto"/>
                <w:kern w:val="0"/>
                <w:szCs w:val="21"/>
                <w:highlight w:val="none"/>
              </w:rPr>
              <w:t>技术平台</w:t>
            </w:r>
          </w:p>
        </w:tc>
        <w:tc>
          <w:tcPr>
            <w:tcW w:w="957" w:type="pct"/>
            <w:shd w:val="clear" w:color="000000" w:fill="FFFFFF"/>
            <w:vAlign w:val="center"/>
          </w:tcPr>
          <w:p w14:paraId="7A52F779">
            <w:pPr>
              <w:pageBreakBefore w:val="0"/>
              <w:widowControl/>
              <w:tabs>
                <w:tab w:val="left" w:pos="0"/>
              </w:tabs>
              <w:kinsoku/>
              <w:wordWrap/>
              <w:overflowPunct/>
              <w:autoSpaceDE/>
              <w:autoSpaceDN/>
              <w:bidi w:val="0"/>
              <w:spacing w:beforeAutospacing="0" w:afterAutospacing="0" w:line="360" w:lineRule="auto"/>
              <w:jc w:val="center"/>
              <w:rPr>
                <w:rFonts w:cs="宋体"/>
                <w:color w:val="auto"/>
                <w:kern w:val="0"/>
                <w:szCs w:val="21"/>
                <w:highlight w:val="none"/>
              </w:rPr>
            </w:pPr>
            <w:r>
              <w:rPr>
                <w:rFonts w:hint="eastAsia" w:cs="宋体"/>
                <w:color w:val="auto"/>
                <w:kern w:val="0"/>
                <w:szCs w:val="21"/>
                <w:highlight w:val="none"/>
              </w:rPr>
              <w:t>区块链平台</w:t>
            </w:r>
          </w:p>
        </w:tc>
        <w:tc>
          <w:tcPr>
            <w:tcW w:w="1571" w:type="pct"/>
            <w:shd w:val="clear" w:color="000000" w:fill="FFFFFF"/>
            <w:vAlign w:val="center"/>
          </w:tcPr>
          <w:p w14:paraId="1A7217A3">
            <w:pPr>
              <w:pageBreakBefore w:val="0"/>
              <w:widowControl/>
              <w:tabs>
                <w:tab w:val="left" w:pos="0"/>
              </w:tabs>
              <w:kinsoku/>
              <w:wordWrap/>
              <w:overflowPunct/>
              <w:autoSpaceDE/>
              <w:autoSpaceDN/>
              <w:bidi w:val="0"/>
              <w:spacing w:beforeAutospacing="0" w:afterAutospacing="0" w:line="360" w:lineRule="auto"/>
              <w:jc w:val="center"/>
              <w:rPr>
                <w:rFonts w:cs="宋体"/>
                <w:color w:val="auto"/>
                <w:kern w:val="0"/>
                <w:szCs w:val="21"/>
                <w:highlight w:val="none"/>
              </w:rPr>
            </w:pPr>
            <w:r>
              <w:rPr>
                <w:rFonts w:hint="eastAsia" w:cs="宋体"/>
                <w:color w:val="auto"/>
                <w:kern w:val="0"/>
                <w:szCs w:val="21"/>
                <w:highlight w:val="none"/>
              </w:rPr>
              <w:t>区块链服务层</w:t>
            </w:r>
          </w:p>
        </w:tc>
        <w:tc>
          <w:tcPr>
            <w:tcW w:w="1570" w:type="pct"/>
          </w:tcPr>
          <w:p w14:paraId="616CF849">
            <w:pPr>
              <w:pageBreakBefore w:val="0"/>
              <w:widowControl/>
              <w:tabs>
                <w:tab w:val="left" w:pos="0"/>
              </w:tabs>
              <w:kinsoku/>
              <w:wordWrap/>
              <w:overflowPunct/>
              <w:autoSpaceDE/>
              <w:autoSpaceDN/>
              <w:bidi w:val="0"/>
              <w:spacing w:beforeAutospacing="0" w:afterAutospacing="0" w:line="360" w:lineRule="auto"/>
              <w:jc w:val="center"/>
              <w:rPr>
                <w:rFonts w:cs="宋体"/>
                <w:color w:val="auto"/>
                <w:kern w:val="0"/>
                <w:szCs w:val="21"/>
                <w:highlight w:val="none"/>
              </w:rPr>
            </w:pPr>
            <w:r>
              <w:rPr>
                <w:rFonts w:hint="eastAsia" w:cs="宋体"/>
                <w:color w:val="auto"/>
                <w:kern w:val="0"/>
                <w:szCs w:val="21"/>
                <w:highlight w:val="none"/>
              </w:rPr>
              <w:t>电政通链码模块</w:t>
            </w:r>
          </w:p>
        </w:tc>
      </w:tr>
      <w:tr w14:paraId="4D65B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0" w:hRule="atLeast"/>
        </w:trPr>
        <w:tc>
          <w:tcPr>
            <w:tcW w:w="902" w:type="pct"/>
            <w:shd w:val="clear" w:color="000000" w:fill="FFFFFF"/>
            <w:vAlign w:val="center"/>
          </w:tcPr>
          <w:p w14:paraId="6132B056">
            <w:pPr>
              <w:pageBreakBefore w:val="0"/>
              <w:widowControl/>
              <w:tabs>
                <w:tab w:val="left" w:pos="0"/>
              </w:tabs>
              <w:kinsoku/>
              <w:wordWrap/>
              <w:overflowPunct/>
              <w:autoSpaceDE/>
              <w:autoSpaceDN/>
              <w:bidi w:val="0"/>
              <w:spacing w:beforeAutospacing="0" w:afterAutospacing="0" w:line="360" w:lineRule="auto"/>
              <w:jc w:val="center"/>
              <w:rPr>
                <w:rFonts w:cs="宋体"/>
                <w:color w:val="auto"/>
                <w:kern w:val="0"/>
                <w:szCs w:val="21"/>
                <w:highlight w:val="none"/>
              </w:rPr>
            </w:pPr>
            <w:r>
              <w:rPr>
                <w:rFonts w:hint="eastAsia" w:cs="宋体"/>
                <w:color w:val="auto"/>
                <w:kern w:val="0"/>
                <w:szCs w:val="21"/>
                <w:highlight w:val="none"/>
              </w:rPr>
              <w:t>技术平台</w:t>
            </w:r>
          </w:p>
        </w:tc>
        <w:tc>
          <w:tcPr>
            <w:tcW w:w="957" w:type="pct"/>
            <w:shd w:val="clear" w:color="000000" w:fill="FFFFFF"/>
            <w:vAlign w:val="center"/>
          </w:tcPr>
          <w:p w14:paraId="0B28EF99">
            <w:pPr>
              <w:pageBreakBefore w:val="0"/>
              <w:widowControl/>
              <w:tabs>
                <w:tab w:val="left" w:pos="0"/>
              </w:tabs>
              <w:kinsoku/>
              <w:wordWrap/>
              <w:overflowPunct/>
              <w:autoSpaceDE/>
              <w:autoSpaceDN/>
              <w:bidi w:val="0"/>
              <w:spacing w:beforeAutospacing="0" w:afterAutospacing="0" w:line="360" w:lineRule="auto"/>
              <w:jc w:val="center"/>
              <w:rPr>
                <w:rFonts w:cs="宋体"/>
                <w:color w:val="auto"/>
                <w:kern w:val="0"/>
                <w:szCs w:val="21"/>
                <w:highlight w:val="none"/>
              </w:rPr>
            </w:pPr>
            <w:r>
              <w:rPr>
                <w:rFonts w:hint="eastAsia" w:cs="宋体"/>
                <w:color w:val="auto"/>
                <w:kern w:val="0"/>
                <w:szCs w:val="21"/>
                <w:highlight w:val="none"/>
              </w:rPr>
              <w:t>区块链平台</w:t>
            </w:r>
          </w:p>
        </w:tc>
        <w:tc>
          <w:tcPr>
            <w:tcW w:w="1571" w:type="pct"/>
            <w:shd w:val="clear" w:color="000000" w:fill="FFFFFF"/>
            <w:vAlign w:val="center"/>
          </w:tcPr>
          <w:p w14:paraId="30C80963">
            <w:pPr>
              <w:pageBreakBefore w:val="0"/>
              <w:widowControl/>
              <w:tabs>
                <w:tab w:val="left" w:pos="0"/>
              </w:tabs>
              <w:kinsoku/>
              <w:wordWrap/>
              <w:overflowPunct/>
              <w:autoSpaceDE/>
              <w:autoSpaceDN/>
              <w:bidi w:val="0"/>
              <w:spacing w:beforeAutospacing="0" w:afterAutospacing="0" w:line="360" w:lineRule="auto"/>
              <w:jc w:val="center"/>
              <w:rPr>
                <w:rFonts w:cs="宋体"/>
                <w:color w:val="auto"/>
                <w:kern w:val="0"/>
                <w:szCs w:val="21"/>
                <w:highlight w:val="none"/>
              </w:rPr>
            </w:pPr>
            <w:r>
              <w:rPr>
                <w:rFonts w:hint="eastAsia" w:cs="宋体"/>
                <w:color w:val="auto"/>
                <w:kern w:val="0"/>
                <w:szCs w:val="21"/>
                <w:highlight w:val="none"/>
              </w:rPr>
              <w:t>区块链服务功能组件</w:t>
            </w:r>
          </w:p>
        </w:tc>
        <w:tc>
          <w:tcPr>
            <w:tcW w:w="1570" w:type="pct"/>
          </w:tcPr>
          <w:p w14:paraId="0A8361C4">
            <w:pPr>
              <w:pageBreakBefore w:val="0"/>
              <w:widowControl/>
              <w:tabs>
                <w:tab w:val="left" w:pos="0"/>
              </w:tabs>
              <w:kinsoku/>
              <w:wordWrap/>
              <w:overflowPunct/>
              <w:autoSpaceDE/>
              <w:autoSpaceDN/>
              <w:bidi w:val="0"/>
              <w:spacing w:beforeAutospacing="0" w:afterAutospacing="0" w:line="360" w:lineRule="auto"/>
              <w:jc w:val="center"/>
              <w:rPr>
                <w:rFonts w:cs="宋体"/>
                <w:color w:val="auto"/>
                <w:kern w:val="0"/>
                <w:szCs w:val="21"/>
                <w:highlight w:val="none"/>
              </w:rPr>
            </w:pPr>
            <w:r>
              <w:rPr>
                <w:rFonts w:hint="eastAsia" w:cs="宋体"/>
                <w:color w:val="auto"/>
                <w:kern w:val="0"/>
                <w:szCs w:val="21"/>
                <w:highlight w:val="none"/>
              </w:rPr>
              <w:t>区块链数据要求X场景应用</w:t>
            </w:r>
          </w:p>
        </w:tc>
      </w:tr>
    </w:tbl>
    <w:p w14:paraId="1B0F8C0E">
      <w:pPr>
        <w:pStyle w:val="20"/>
        <w:pageBreakBefore w:val="0"/>
        <w:kinsoku/>
        <w:wordWrap/>
        <w:overflowPunct/>
        <w:autoSpaceDE/>
        <w:autoSpaceDN/>
        <w:bidi w:val="0"/>
        <w:spacing w:beforeAutospacing="0" w:afterAutospacing="0" w:line="360" w:lineRule="auto"/>
        <w:ind w:firstLine="504"/>
        <w:rPr>
          <w:rFonts w:hint="eastAsia" w:eastAsia="宋体" w:cs="宋体"/>
          <w:color w:val="auto"/>
          <w:sz w:val="24"/>
          <w:szCs w:val="24"/>
          <w:highlight w:val="none"/>
        </w:rPr>
      </w:pPr>
    </w:p>
    <w:p w14:paraId="77C87EAF">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3.6.2 部署方式与软硬件要求</w:t>
      </w:r>
    </w:p>
    <w:p w14:paraId="3BE3D4BD">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3.6.2.1部署方式</w:t>
      </w:r>
    </w:p>
    <w:p w14:paraId="3169583A">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系统采用南网云（广州局）分节点集中部署，统一通过综合数据网络接入并访问应用，系统用户包括广州局本部及下属各单位。项目涉及的所有广东电网的数据接入数据中心广东分节点，确保以公司数据中心作为基础数据底座的建设模式，系统部署结构如下图所示：</w:t>
      </w:r>
    </w:p>
    <w:p w14:paraId="669A97C0">
      <w:pPr>
        <w:pStyle w:val="20"/>
        <w:pageBreakBefore w:val="0"/>
        <w:kinsoku/>
        <w:wordWrap/>
        <w:overflowPunct/>
        <w:autoSpaceDE/>
        <w:autoSpaceDN/>
        <w:bidi w:val="0"/>
        <w:spacing w:beforeAutospacing="0" w:afterAutospacing="0" w:line="360" w:lineRule="auto"/>
        <w:ind w:firstLine="0" w:firstLineChars="0"/>
        <w:rPr>
          <w:rFonts w:hint="eastAsia" w:asciiTheme="minorEastAsia" w:hAnsiTheme="minorEastAsia" w:cstheme="minorEastAsia"/>
          <w:color w:val="auto"/>
          <w:sz w:val="24"/>
          <w:szCs w:val="24"/>
          <w:highlight w:val="none"/>
        </w:rPr>
      </w:pPr>
      <w:r>
        <w:rPr>
          <w:rFonts w:hint="eastAsia"/>
          <w:color w:val="auto"/>
          <w:highlight w:val="none"/>
        </w:rPr>
        <w:drawing>
          <wp:inline distT="0" distB="0" distL="0" distR="0">
            <wp:extent cx="6120130" cy="2158365"/>
            <wp:effectExtent l="0" t="0" r="4445" b="3810"/>
            <wp:docPr id="23358161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3581614" name="图片 1"/>
                    <pic:cNvPicPr>
                      <a:picLocks noChangeAspect="1"/>
                    </pic:cNvPicPr>
                  </pic:nvPicPr>
                  <pic:blipFill>
                    <a:blip r:embed="rId9"/>
                    <a:stretch>
                      <a:fillRect/>
                    </a:stretch>
                  </pic:blipFill>
                  <pic:spPr>
                    <a:xfrm>
                      <a:off x="0" y="0"/>
                      <a:ext cx="6120130" cy="2158365"/>
                    </a:xfrm>
                    <a:prstGeom prst="rect">
                      <a:avLst/>
                    </a:prstGeom>
                  </pic:spPr>
                </pic:pic>
              </a:graphicData>
            </a:graphic>
          </wp:inline>
        </w:drawing>
      </w:r>
    </w:p>
    <w:p w14:paraId="3D410045">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p>
    <w:p w14:paraId="217DB93B">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3.6.2.2软硬件资源需求</w:t>
      </w:r>
    </w:p>
    <w:p w14:paraId="2D3B8A88">
      <w:pPr>
        <w:pStyle w:val="20"/>
        <w:pageBreakBefore w:val="0"/>
        <w:kinsoku/>
        <w:wordWrap/>
        <w:overflowPunct/>
        <w:autoSpaceDE/>
        <w:autoSpaceDN/>
        <w:bidi w:val="0"/>
        <w:spacing w:beforeAutospacing="0" w:afterAutospacing="0" w:line="360" w:lineRule="auto"/>
        <w:ind w:firstLine="0" w:firstLineChars="0"/>
        <w:rPr>
          <w:rFonts w:hint="eastAsia" w:asciiTheme="minorEastAsia" w:hAnsiTheme="minorEastAsia" w:cstheme="minorEastAsia"/>
          <w:color w:val="auto"/>
          <w:sz w:val="24"/>
          <w:szCs w:val="24"/>
          <w:highlight w:val="none"/>
        </w:rPr>
      </w:pPr>
      <w:r>
        <w:rPr>
          <w:rFonts w:hint="eastAsia" w:ascii="Times New Roman" w:hAnsi="Times New Roman" w:eastAsia="宋体" w:cs="Times New Roman"/>
          <w:color w:val="auto"/>
          <w:sz w:val="24"/>
          <w:highlight w:val="none"/>
        </w:rPr>
        <w:t>本项目所需硬件资源由招标人通过云资源或虚拟化资源方式统一提供，硬件资源投资不在本项目列支，投标人报价中不得包含硬件采购费用。基础软硬件须满足自主可控要求。</w:t>
      </w:r>
    </w:p>
    <w:p w14:paraId="335E1DE9">
      <w:pPr>
        <w:pStyle w:val="20"/>
        <w:pageBreakBefore w:val="0"/>
        <w:kinsoku/>
        <w:wordWrap/>
        <w:overflowPunct/>
        <w:autoSpaceDE/>
        <w:autoSpaceDN/>
        <w:bidi w:val="0"/>
        <w:spacing w:beforeAutospacing="0" w:afterAutospacing="0" w:line="360" w:lineRule="auto"/>
        <w:ind w:left="0" w:leftChars="0" w:firstLine="0" w:firstLineChars="0"/>
        <w:outlineLvl w:val="1"/>
        <w:rPr>
          <w:rFonts w:hint="eastAsia" w:asciiTheme="minorEastAsia" w:hAnsiTheme="minorEastAsia" w:cstheme="minorEastAsia"/>
          <w:b/>
          <w:bCs/>
          <w:color w:val="auto"/>
          <w:sz w:val="24"/>
          <w:szCs w:val="24"/>
          <w:highlight w:val="none"/>
        </w:rPr>
      </w:pPr>
      <w:bookmarkStart w:id="39" w:name="_Toc13162"/>
      <w:r>
        <w:rPr>
          <w:rFonts w:hint="eastAsia" w:asciiTheme="minorEastAsia" w:hAnsiTheme="minorEastAsia" w:cstheme="minorEastAsia"/>
          <w:b/>
          <w:bCs/>
          <w:color w:val="auto"/>
          <w:sz w:val="24"/>
          <w:szCs w:val="24"/>
          <w:highlight w:val="none"/>
        </w:rPr>
        <w:t>3.7 自主可控要求</w:t>
      </w:r>
      <w:bookmarkEnd w:id="39"/>
    </w:p>
    <w:p w14:paraId="40787C71">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1、优先使用《南网云平台技术白皮书》所发布的服务与组件，采用南网云平台的中间件、数据库组件、计算、存储资源等技术或开源技术保证自主可控。</w:t>
      </w:r>
    </w:p>
    <w:p w14:paraId="6536D088">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2、项目建设阶段，要求围绕《南方电网公司全栈自主可控技术路线目录（2024）》开展产品差异分析及设计，设计方案参考《南方电网公司系统自主可控适配典型设计参考（2024版）》，且后续根据上述文件同步更新迭代。</w:t>
      </w:r>
    </w:p>
    <w:p w14:paraId="1BDEB7FF">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3、本项目涉及的所有应用和软硬件产品必须符合自主可控要求，且本项目涉及的所有应用能够适配未来自主可控环境潜在变化需求，目前南方电网公司CPU、操作系统、数据库、中间件、计算机终端、浏览器、开源软件及关键组件等自主可控选型适配设计情况包括但不仅限于：</w:t>
      </w:r>
    </w:p>
    <w:p w14:paraId="2D2CC8F4">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1）CPU：计算机终端CPU要求兼容自主可控CPU（ARM、MIPS、X86、ALPHA等）架构，根据项目业务需求选择自主可控CPU（如龙芯、兆芯、飞腾、鲲鹏、申威、海光等）。服务器CPU要求兼容自主可控CPU（ARM、MIPS、X86、ALPHA等）架构，选型要求确保系统的稳定性、可靠性以及满足特定的性能需求，包括不限于飞腾、鲲鹏、海光等产品。</w:t>
      </w:r>
    </w:p>
    <w:p w14:paraId="14DD260B">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2）操作系统：兼容国内主流桌面、服务器自主可控操作系统（如统信UOS、银河麒麟、麒麟信安等）。</w:t>
      </w:r>
    </w:p>
    <w:p w14:paraId="43AD205A">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3）数据库：要求兼容国内主流自主可控数据库（包括不限于达梦、金仓等）。</w:t>
      </w:r>
    </w:p>
    <w:p w14:paraId="100ED890">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4）中间件：兼容国内主流自主可控中间件（如：中创等）。</w:t>
      </w:r>
    </w:p>
    <w:p w14:paraId="79298683">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5）浏览器：兼容统信浏览器、麒麟奇安信浏览器、360安全浏览器、搜狗浏览器、红芯浏览器等自主可控浏览器，应用系统可与支持国密算法的国产浏览器加密通信。</w:t>
      </w:r>
    </w:p>
    <w:p w14:paraId="5F3DB448">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6）开源软件及关键组件：要求开源软件及关键组件自主可控，选型过程中评估这些组件与现有系统的兼容性和可替代性。</w:t>
      </w:r>
    </w:p>
    <w:p w14:paraId="5C62E394">
      <w:pPr>
        <w:pStyle w:val="20"/>
        <w:pageBreakBefore w:val="0"/>
        <w:kinsoku/>
        <w:wordWrap/>
        <w:overflowPunct/>
        <w:autoSpaceDE/>
        <w:autoSpaceDN/>
        <w:bidi w:val="0"/>
        <w:spacing w:beforeAutospacing="0" w:afterAutospacing="0" w:line="360" w:lineRule="auto"/>
        <w:ind w:firstLine="506"/>
        <w:outlineLvl w:val="1"/>
        <w:rPr>
          <w:rFonts w:hint="eastAsia" w:asciiTheme="minorEastAsia" w:hAnsiTheme="minorEastAsia" w:cstheme="minorEastAsia"/>
          <w:color w:val="auto"/>
          <w:sz w:val="24"/>
          <w:szCs w:val="24"/>
          <w:highlight w:val="none"/>
        </w:rPr>
      </w:pPr>
      <w:bookmarkStart w:id="40" w:name="_Toc19166"/>
      <w:r>
        <w:rPr>
          <w:rFonts w:hint="eastAsia" w:asciiTheme="minorEastAsia" w:hAnsiTheme="minorEastAsia" w:cstheme="minorEastAsia"/>
          <w:b/>
          <w:bCs/>
          <w:color w:val="auto"/>
          <w:sz w:val="24"/>
          <w:szCs w:val="24"/>
          <w:highlight w:val="none"/>
        </w:rPr>
        <w:t>3.8技术标准与规范引用</w:t>
      </w:r>
      <w:bookmarkEnd w:id="40"/>
    </w:p>
    <w:p w14:paraId="132A597E">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bookmarkStart w:id="41" w:name="_Toc216792254"/>
      <w:r>
        <w:rPr>
          <w:rFonts w:hint="eastAsia" w:asciiTheme="minorEastAsia" w:hAnsiTheme="minorEastAsia" w:cstheme="minorEastAsia"/>
          <w:color w:val="auto"/>
          <w:sz w:val="24"/>
          <w:szCs w:val="24"/>
          <w:highlight w:val="none"/>
        </w:rPr>
        <w:t>应符合区块链已发布的有关标准。</w:t>
      </w:r>
    </w:p>
    <w:p w14:paraId="40DE017C">
      <w:pPr>
        <w:pStyle w:val="20"/>
        <w:pageBreakBefore w:val="0"/>
        <w:tabs>
          <w:tab w:val="left" w:pos="1050"/>
        </w:tabs>
        <w:kinsoku/>
        <w:wordWrap/>
        <w:overflowPunct/>
        <w:autoSpaceDE/>
        <w:autoSpaceDN/>
        <w:bidi w:val="0"/>
        <w:spacing w:beforeAutospacing="0" w:afterAutospacing="0" w:line="360" w:lineRule="auto"/>
        <w:ind w:firstLine="637" w:firstLineChars="253"/>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（1）GB/T 43572-2023 《区块链和分布式记账技术 术语》</w:t>
      </w:r>
    </w:p>
    <w:p w14:paraId="0ECEDA2B">
      <w:pPr>
        <w:pStyle w:val="20"/>
        <w:pageBreakBefore w:val="0"/>
        <w:tabs>
          <w:tab w:val="left" w:pos="1050"/>
        </w:tabs>
        <w:kinsoku/>
        <w:wordWrap/>
        <w:overflowPunct/>
        <w:autoSpaceDE/>
        <w:autoSpaceDN/>
        <w:bidi w:val="0"/>
        <w:spacing w:beforeAutospacing="0" w:afterAutospacing="0" w:line="360" w:lineRule="auto"/>
        <w:ind w:firstLine="637" w:firstLineChars="253"/>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（2）GB/T 43575-2023 《区块链和分布式记账技术 系统测试规范》</w:t>
      </w:r>
    </w:p>
    <w:p w14:paraId="269C1971">
      <w:pPr>
        <w:pStyle w:val="20"/>
        <w:pageBreakBefore w:val="0"/>
        <w:tabs>
          <w:tab w:val="left" w:pos="1050"/>
        </w:tabs>
        <w:kinsoku/>
        <w:wordWrap/>
        <w:overflowPunct/>
        <w:autoSpaceDE/>
        <w:autoSpaceDN/>
        <w:bidi w:val="0"/>
        <w:spacing w:beforeAutospacing="0" w:afterAutospacing="0" w:line="360" w:lineRule="auto"/>
        <w:ind w:firstLine="637" w:firstLineChars="253"/>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（3）GB/T 43579-2023 《区块链和分布式记账技术 智能合约生命周期管理》</w:t>
      </w:r>
    </w:p>
    <w:p w14:paraId="58DDBCA0">
      <w:pPr>
        <w:pStyle w:val="20"/>
        <w:pageBreakBefore w:val="0"/>
        <w:tabs>
          <w:tab w:val="left" w:pos="1050"/>
        </w:tabs>
        <w:kinsoku/>
        <w:wordWrap/>
        <w:overflowPunct/>
        <w:autoSpaceDE/>
        <w:autoSpaceDN/>
        <w:bidi w:val="0"/>
        <w:spacing w:beforeAutospacing="0" w:afterAutospacing="0" w:line="360" w:lineRule="auto"/>
        <w:ind w:firstLine="637" w:firstLineChars="253"/>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（4）GB/T 43580-2023 《技术规范区块链和分布式记账技术 存证通用服务指南》</w:t>
      </w:r>
    </w:p>
    <w:p w14:paraId="568E628F">
      <w:pPr>
        <w:pStyle w:val="20"/>
        <w:pageBreakBefore w:val="0"/>
        <w:tabs>
          <w:tab w:val="left" w:pos="1050"/>
        </w:tabs>
        <w:kinsoku/>
        <w:wordWrap/>
        <w:overflowPunct/>
        <w:autoSpaceDE/>
        <w:autoSpaceDN/>
        <w:bidi w:val="0"/>
        <w:spacing w:beforeAutospacing="0" w:afterAutospacing="0" w:line="360" w:lineRule="auto"/>
        <w:ind w:firstLine="637" w:firstLineChars="253"/>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（5）GB/T 43582-2023 《区块链和分布式记账技术 应用程序接口 中间件技术指南》</w:t>
      </w:r>
    </w:p>
    <w:p w14:paraId="3357048B">
      <w:pPr>
        <w:pStyle w:val="20"/>
        <w:pageBreakBefore w:val="0"/>
        <w:tabs>
          <w:tab w:val="left" w:pos="1050"/>
        </w:tabs>
        <w:kinsoku/>
        <w:wordWrap/>
        <w:overflowPunct/>
        <w:autoSpaceDE/>
        <w:autoSpaceDN/>
        <w:bidi w:val="0"/>
        <w:spacing w:beforeAutospacing="0" w:afterAutospacing="0" w:line="360" w:lineRule="auto"/>
        <w:ind w:firstLine="637" w:firstLineChars="253"/>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（6）GB/T 42752-2023 《区块链和分布式记账技术 参考架构》</w:t>
      </w:r>
    </w:p>
    <w:p w14:paraId="739C8296">
      <w:pPr>
        <w:pStyle w:val="20"/>
        <w:pageBreakBefore w:val="0"/>
        <w:tabs>
          <w:tab w:val="left" w:pos="1050"/>
        </w:tabs>
        <w:kinsoku/>
        <w:wordWrap/>
        <w:overflowPunct/>
        <w:autoSpaceDE/>
        <w:autoSpaceDN/>
        <w:bidi w:val="0"/>
        <w:spacing w:beforeAutospacing="0" w:afterAutospacing="0" w:line="360" w:lineRule="auto"/>
        <w:ind w:firstLine="637" w:firstLineChars="253"/>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（7）GB/T 22239-2019 《信息安全技术网络安全等级保护基本要求》</w:t>
      </w:r>
    </w:p>
    <w:p w14:paraId="17DE441A">
      <w:pPr>
        <w:pStyle w:val="20"/>
        <w:pageBreakBefore w:val="0"/>
        <w:tabs>
          <w:tab w:val="left" w:pos="1050"/>
        </w:tabs>
        <w:kinsoku/>
        <w:wordWrap/>
        <w:overflowPunct/>
        <w:autoSpaceDE/>
        <w:autoSpaceDN/>
        <w:bidi w:val="0"/>
        <w:spacing w:beforeAutospacing="0" w:afterAutospacing="0" w:line="360" w:lineRule="auto"/>
        <w:ind w:firstLine="637" w:firstLineChars="253"/>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（8）《中国南方电网有限责任公司信息化项目建设管理细则》</w:t>
      </w:r>
    </w:p>
    <w:p w14:paraId="07939BF8">
      <w:pPr>
        <w:pStyle w:val="20"/>
        <w:pageBreakBefore w:val="0"/>
        <w:tabs>
          <w:tab w:val="left" w:pos="1050"/>
        </w:tabs>
        <w:kinsoku/>
        <w:wordWrap/>
        <w:overflowPunct/>
        <w:autoSpaceDE/>
        <w:autoSpaceDN/>
        <w:bidi w:val="0"/>
        <w:spacing w:beforeAutospacing="0" w:afterAutospacing="0" w:line="360" w:lineRule="auto"/>
        <w:ind w:firstLine="637" w:firstLineChars="253"/>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（9）《南方电网公司数字南网建设技术架构管控工作指引（试行）》</w:t>
      </w:r>
    </w:p>
    <w:p w14:paraId="4C05B44A">
      <w:pPr>
        <w:pStyle w:val="20"/>
        <w:pageBreakBefore w:val="0"/>
        <w:tabs>
          <w:tab w:val="left" w:pos="1050"/>
        </w:tabs>
        <w:kinsoku/>
        <w:wordWrap/>
        <w:overflowPunct/>
        <w:autoSpaceDE/>
        <w:autoSpaceDN/>
        <w:bidi w:val="0"/>
        <w:spacing w:beforeAutospacing="0" w:afterAutospacing="0" w:line="360" w:lineRule="auto"/>
        <w:ind w:firstLine="637" w:firstLineChars="253"/>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（10）《中国南方电网有限责任公司软硬件平台架构和资源分配指导意见》</w:t>
      </w:r>
    </w:p>
    <w:p w14:paraId="30A51FCB">
      <w:pPr>
        <w:pStyle w:val="20"/>
        <w:pageBreakBefore w:val="0"/>
        <w:tabs>
          <w:tab w:val="left" w:pos="1050"/>
        </w:tabs>
        <w:kinsoku/>
        <w:wordWrap/>
        <w:overflowPunct/>
        <w:autoSpaceDE/>
        <w:autoSpaceDN/>
        <w:bidi w:val="0"/>
        <w:spacing w:beforeAutospacing="0" w:afterAutospacing="0" w:line="360" w:lineRule="auto"/>
        <w:ind w:firstLine="637" w:firstLineChars="253"/>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（11）《关于进一步加强公司信息化项目和数据管理工作的通知》</w:t>
      </w:r>
    </w:p>
    <w:p w14:paraId="5EADD03B">
      <w:pPr>
        <w:pStyle w:val="20"/>
        <w:pageBreakBefore w:val="0"/>
        <w:tabs>
          <w:tab w:val="left" w:pos="1050"/>
        </w:tabs>
        <w:kinsoku/>
        <w:wordWrap/>
        <w:overflowPunct/>
        <w:autoSpaceDE/>
        <w:autoSpaceDN/>
        <w:bidi w:val="0"/>
        <w:spacing w:beforeAutospacing="0" w:afterAutospacing="0" w:line="360" w:lineRule="auto"/>
        <w:ind w:firstLine="637" w:firstLineChars="253"/>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（12）《中国南方电网有限责任公司网络安全和数字化工作管理规定》</w:t>
      </w:r>
    </w:p>
    <w:p w14:paraId="5B8C0CFE">
      <w:pPr>
        <w:pStyle w:val="20"/>
        <w:pageBreakBefore w:val="0"/>
        <w:tabs>
          <w:tab w:val="left" w:pos="1050"/>
        </w:tabs>
        <w:kinsoku/>
        <w:wordWrap/>
        <w:overflowPunct/>
        <w:autoSpaceDE/>
        <w:autoSpaceDN/>
        <w:bidi w:val="0"/>
        <w:spacing w:beforeAutospacing="0" w:afterAutospacing="0" w:line="360" w:lineRule="auto"/>
        <w:ind w:firstLine="637" w:firstLineChars="253"/>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（13）T/GZBIA 001–2025 《政务区块链建设规范》，发布单位：广州市区块链产业协会，发布日期：2025年12月10日，实施日期：2026年1月1日</w:t>
      </w:r>
    </w:p>
    <w:p w14:paraId="16B03FCB">
      <w:pPr>
        <w:pStyle w:val="20"/>
        <w:pageBreakBefore w:val="0"/>
        <w:tabs>
          <w:tab w:val="left" w:pos="1050"/>
        </w:tabs>
        <w:kinsoku/>
        <w:wordWrap/>
        <w:overflowPunct/>
        <w:autoSpaceDE/>
        <w:autoSpaceDN/>
        <w:bidi w:val="0"/>
        <w:spacing w:beforeAutospacing="0" w:afterAutospacing="0" w:line="360" w:lineRule="auto"/>
        <w:ind w:firstLine="637" w:firstLineChars="253"/>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（14）T/GZBIA 002–2025 《政务区块链技术安全规范》，发布单位：广州市区块链产业协会，发布日期：2025年12月10日，实施日期：2026年1月1日</w:t>
      </w:r>
    </w:p>
    <w:p w14:paraId="5C3738F0">
      <w:pPr>
        <w:pStyle w:val="20"/>
        <w:pageBreakBefore w:val="0"/>
        <w:tabs>
          <w:tab w:val="left" w:pos="1050"/>
        </w:tabs>
        <w:kinsoku/>
        <w:wordWrap/>
        <w:overflowPunct/>
        <w:autoSpaceDE/>
        <w:autoSpaceDN/>
        <w:bidi w:val="0"/>
        <w:spacing w:beforeAutospacing="0" w:afterAutospacing="0" w:line="360" w:lineRule="auto"/>
        <w:ind w:firstLine="637" w:firstLineChars="253"/>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（15）T/GZBIA 003–2025 《政务区块链跨链数据格式规范》，发布单位：广州市区块链产业协会，发布日期：2025年12月10日，实施日期：2026年1月1日</w:t>
      </w:r>
    </w:p>
    <w:p w14:paraId="50333469">
      <w:pPr>
        <w:pStyle w:val="20"/>
        <w:pageBreakBefore w:val="0"/>
        <w:kinsoku/>
        <w:wordWrap/>
        <w:overflowPunct/>
        <w:autoSpaceDE/>
        <w:autoSpaceDN/>
        <w:bidi w:val="0"/>
        <w:spacing w:beforeAutospacing="0" w:afterAutospacing="0" w:line="360" w:lineRule="auto"/>
        <w:ind w:left="0" w:leftChars="0" w:firstLine="0" w:firstLineChars="0"/>
        <w:rPr>
          <w:rFonts w:hint="eastAsia" w:asciiTheme="minorEastAsia" w:hAnsiTheme="minorEastAsia" w:cstheme="minorEastAsia"/>
          <w:color w:val="auto"/>
          <w:sz w:val="24"/>
          <w:szCs w:val="24"/>
          <w:highlight w:val="none"/>
        </w:rPr>
      </w:pPr>
    </w:p>
    <w:p w14:paraId="7D5EAEEA">
      <w:pPr>
        <w:keepNext/>
        <w:keepLines/>
        <w:pageBreakBefore w:val="0"/>
        <w:tabs>
          <w:tab w:val="left" w:pos="576"/>
          <w:tab w:val="left" w:pos="1151"/>
        </w:tabs>
        <w:kinsoku/>
        <w:wordWrap/>
        <w:overflowPunct/>
        <w:topLinePunct/>
        <w:autoSpaceDE/>
        <w:autoSpaceDN/>
        <w:bidi w:val="0"/>
        <w:adjustRightInd w:val="0"/>
        <w:snapToGrid w:val="0"/>
        <w:spacing w:beforeAutospacing="0" w:afterAutospacing="0" w:line="360" w:lineRule="auto"/>
        <w:jc w:val="left"/>
        <w:textAlignment w:val="center"/>
        <w:outlineLvl w:val="1"/>
        <w:rPr>
          <w:rFonts w:ascii="Times New Roman" w:hAnsi="Times New Roman" w:eastAsia="宋体" w:cs="宋体"/>
          <w:b/>
          <w:bCs/>
          <w:color w:val="auto"/>
          <w:kern w:val="0"/>
          <w:sz w:val="28"/>
          <w:szCs w:val="32"/>
          <w:highlight w:val="none"/>
        </w:rPr>
      </w:pPr>
      <w:bookmarkStart w:id="42" w:name="_Toc1702"/>
      <w:r>
        <w:rPr>
          <w:rFonts w:hint="eastAsia" w:ascii="Times New Roman" w:hAnsi="Times New Roman" w:eastAsia="宋体" w:cs="宋体"/>
          <w:b/>
          <w:bCs/>
          <w:color w:val="auto"/>
          <w:kern w:val="0"/>
          <w:sz w:val="28"/>
          <w:szCs w:val="32"/>
          <w:highlight w:val="none"/>
        </w:rPr>
        <w:t>3.9安全技术方案</w:t>
      </w:r>
      <w:bookmarkEnd w:id="41"/>
      <w:bookmarkEnd w:id="42"/>
    </w:p>
    <w:p w14:paraId="2D9B6D87">
      <w:pPr>
        <w:keepNext/>
        <w:keepLines/>
        <w:pageBreakBefore w:val="0"/>
        <w:tabs>
          <w:tab w:val="left" w:pos="1151"/>
        </w:tabs>
        <w:kinsoku/>
        <w:wordWrap/>
        <w:overflowPunct/>
        <w:topLinePunct/>
        <w:autoSpaceDE/>
        <w:autoSpaceDN/>
        <w:bidi w:val="0"/>
        <w:adjustRightInd w:val="0"/>
        <w:snapToGrid w:val="0"/>
        <w:spacing w:beforeAutospacing="0" w:afterAutospacing="0" w:line="360" w:lineRule="auto"/>
        <w:jc w:val="left"/>
        <w:textAlignment w:val="center"/>
        <w:outlineLvl w:val="2"/>
        <w:rPr>
          <w:rFonts w:hint="eastAsia" w:ascii="宋体" w:hAnsi="宋体" w:eastAsia="宋体" w:cs="Times New Roman"/>
          <w:b/>
          <w:bCs/>
          <w:color w:val="auto"/>
          <w:sz w:val="28"/>
          <w:szCs w:val="28"/>
          <w:highlight w:val="none"/>
          <w:lang w:val="sv-SE"/>
        </w:rPr>
      </w:pPr>
      <w:bookmarkStart w:id="43" w:name="_Toc24016164"/>
      <w:bookmarkStart w:id="44" w:name="_Toc29824872"/>
      <w:r>
        <w:rPr>
          <w:rFonts w:hint="eastAsia" w:ascii="宋体" w:hAnsi="宋体" w:eastAsia="宋体" w:cs="Times New Roman"/>
          <w:b/>
          <w:bCs/>
          <w:color w:val="auto"/>
          <w:sz w:val="28"/>
          <w:szCs w:val="28"/>
          <w:highlight w:val="none"/>
        </w:rPr>
        <w:t>3.9.1</w:t>
      </w:r>
      <w:r>
        <w:rPr>
          <w:rFonts w:hint="eastAsia" w:ascii="宋体" w:hAnsi="宋体" w:eastAsia="宋体" w:cs="Times New Roman"/>
          <w:b/>
          <w:bCs/>
          <w:color w:val="auto"/>
          <w:sz w:val="28"/>
          <w:szCs w:val="28"/>
          <w:highlight w:val="none"/>
          <w:lang w:val="sv-SE"/>
        </w:rPr>
        <w:t>总体安全防护要求</w:t>
      </w:r>
      <w:bookmarkEnd w:id="43"/>
      <w:bookmarkEnd w:id="44"/>
    </w:p>
    <w:p w14:paraId="6A16235B">
      <w:pPr>
        <w:pageBreakBefore w:val="0"/>
        <w:kinsoku/>
        <w:wordWrap/>
        <w:overflowPunct/>
        <w:autoSpaceDE/>
        <w:autoSpaceDN/>
        <w:bidi w:val="0"/>
        <w:spacing w:beforeAutospacing="0" w:afterAutospacing="0" w:line="360" w:lineRule="auto"/>
        <w:ind w:firstLine="480"/>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1、按照“同步规划、同步建设、同步投运”原则加强本系统的网络安全防护，确保不发生重大及以上信息安全事件是本系统建设与运行的网络安全防护底线。</w:t>
      </w:r>
    </w:p>
    <w:p w14:paraId="1C0B0F6C">
      <w:pPr>
        <w:pageBreakBefore w:val="0"/>
        <w:kinsoku/>
        <w:wordWrap/>
        <w:overflowPunct/>
        <w:autoSpaceDE/>
        <w:autoSpaceDN/>
        <w:bidi w:val="0"/>
        <w:spacing w:beforeAutospacing="0" w:afterAutospacing="0" w:line="360" w:lineRule="auto"/>
        <w:ind w:firstLine="480"/>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2、需要根据</w:t>
      </w:r>
      <w:r>
        <w:rPr>
          <w:rFonts w:hint="eastAsia" w:ascii="宋体" w:hAnsi="宋体" w:eastAsia="宋体" w:cs="Times New Roman"/>
          <w:b/>
          <w:color w:val="auto"/>
          <w:sz w:val="24"/>
          <w:highlight w:val="none"/>
        </w:rPr>
        <w:t>《信息安全技术 网络安全等级保护基本要求》（GB/T 22239-2019）</w:t>
      </w:r>
      <w:r>
        <w:rPr>
          <w:rFonts w:hint="eastAsia" w:ascii="宋体" w:hAnsi="宋体" w:eastAsia="宋体" w:cs="Times New Roman"/>
          <w:color w:val="auto"/>
          <w:sz w:val="24"/>
          <w:highlight w:val="none"/>
        </w:rPr>
        <w:t>及云计算、移动互联、物联网和工业控制系统等拓展要求，进行本系统的建设、定级、防护、测评及备案，确保关键信息基础设施安全。</w:t>
      </w:r>
    </w:p>
    <w:p w14:paraId="46A97CFE">
      <w:pPr>
        <w:pageBreakBefore w:val="0"/>
        <w:kinsoku/>
        <w:wordWrap/>
        <w:overflowPunct/>
        <w:autoSpaceDE/>
        <w:autoSpaceDN/>
        <w:bidi w:val="0"/>
        <w:spacing w:beforeAutospacing="0" w:afterAutospacing="0" w:line="360" w:lineRule="auto"/>
        <w:ind w:firstLine="480"/>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3、需要根据</w:t>
      </w:r>
      <w:r>
        <w:rPr>
          <w:rFonts w:hint="eastAsia" w:ascii="宋体" w:hAnsi="宋体" w:eastAsia="宋体" w:cs="Times New Roman"/>
          <w:b/>
          <w:color w:val="auto"/>
          <w:sz w:val="24"/>
          <w:highlight w:val="none"/>
        </w:rPr>
        <w:t>《信息安全技术 信息系统密码应用基本要求》（GB/T 39786-2021）</w:t>
      </w:r>
      <w:r>
        <w:rPr>
          <w:rFonts w:hint="eastAsia" w:ascii="宋体" w:hAnsi="宋体" w:eastAsia="宋体" w:cs="Times New Roman"/>
          <w:color w:val="auto"/>
          <w:sz w:val="24"/>
          <w:highlight w:val="none"/>
        </w:rPr>
        <w:t>实现国产密码应用，并对接公司统一密码服务平台以实现密码等服务的统一管控和认证。</w:t>
      </w:r>
    </w:p>
    <w:p w14:paraId="07C17D3D">
      <w:pPr>
        <w:pageBreakBefore w:val="0"/>
        <w:kinsoku/>
        <w:wordWrap/>
        <w:overflowPunct/>
        <w:autoSpaceDE/>
        <w:autoSpaceDN/>
        <w:bidi w:val="0"/>
        <w:spacing w:beforeAutospacing="0" w:afterAutospacing="0" w:line="360" w:lineRule="auto"/>
        <w:ind w:firstLine="480"/>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4、需要遵循国家发改委《电力监控系统安全防护规定》（2024年第27号令）以及国家能源局《</w:t>
      </w:r>
      <w:bookmarkStart w:id="45" w:name="OLE_LINK1"/>
      <w:r>
        <w:rPr>
          <w:rFonts w:hint="eastAsia" w:ascii="宋体" w:hAnsi="宋体" w:eastAsia="宋体" w:cs="Times New Roman"/>
          <w:color w:val="auto"/>
          <w:sz w:val="24"/>
          <w:highlight w:val="none"/>
        </w:rPr>
        <w:t>电力监控系统安全防护总体方案</w:t>
      </w:r>
      <w:bookmarkEnd w:id="45"/>
      <w:r>
        <w:rPr>
          <w:rFonts w:hint="eastAsia" w:ascii="宋体" w:hAnsi="宋体" w:eastAsia="宋体" w:cs="Times New Roman"/>
          <w:color w:val="auto"/>
          <w:sz w:val="24"/>
          <w:highlight w:val="none"/>
        </w:rPr>
        <w:t>等安全防护方案和评估规范》（国能安全〔2015〕36号）等要求，贯彻落实“安全分区、网络专用、横向隔离、纵向认证”十六字方针。</w:t>
      </w:r>
    </w:p>
    <w:p w14:paraId="6B30F7FE">
      <w:pPr>
        <w:pageBreakBefore w:val="0"/>
        <w:kinsoku/>
        <w:wordWrap/>
        <w:overflowPunct/>
        <w:autoSpaceDE/>
        <w:autoSpaceDN/>
        <w:bidi w:val="0"/>
        <w:spacing w:beforeAutospacing="0" w:afterAutospacing="0" w:line="360" w:lineRule="auto"/>
        <w:ind w:firstLine="480"/>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5、需要满足</w:t>
      </w:r>
      <w:bookmarkStart w:id="46" w:name="_Hlk150358522"/>
      <w:r>
        <w:rPr>
          <w:rFonts w:hint="eastAsia" w:ascii="宋体" w:hAnsi="宋体" w:eastAsia="宋体" w:cs="Times New Roman"/>
          <w:color w:val="auto"/>
          <w:sz w:val="24"/>
          <w:highlight w:val="none"/>
        </w:rPr>
        <w:t>《中国南方电网电力监控系统安全防护技术规范》《南方电网公司网络安全合规库（2022年修订版）》《南方电网公司管制类业务网络安全设计导则（2023年版）》《南方电网公司IT主流设备安全基线技术规范》《南方电网公司涉密事项界定范围表》（南方电网办</w:t>
      </w:r>
      <w:r>
        <w:rPr>
          <w:rFonts w:hint="eastAsia" w:ascii="宋体" w:hAnsi="宋体" w:eastAsia="宋体" w:cs="Times New Roman"/>
          <w:color w:val="auto"/>
          <w:sz w:val="24"/>
          <w:szCs w:val="28"/>
          <w:highlight w:val="none"/>
        </w:rPr>
        <w:t>〔2016〕</w:t>
      </w:r>
      <w:r>
        <w:rPr>
          <w:rFonts w:hint="eastAsia" w:ascii="宋体" w:hAnsi="宋体" w:eastAsia="宋体" w:cs="Times New Roman"/>
          <w:color w:val="auto"/>
          <w:sz w:val="24"/>
          <w:highlight w:val="none"/>
        </w:rPr>
        <w:t>13号）、《南方电网公司数据共享开放指导意见（试行版）》（信息</w:t>
      </w:r>
      <w:r>
        <w:rPr>
          <w:rFonts w:hint="eastAsia" w:ascii="宋体" w:hAnsi="宋体" w:eastAsia="宋体" w:cs="Times New Roman"/>
          <w:color w:val="auto"/>
          <w:sz w:val="24"/>
          <w:szCs w:val="28"/>
          <w:highlight w:val="none"/>
        </w:rPr>
        <w:t>〔2017〕</w:t>
      </w:r>
      <w:r>
        <w:rPr>
          <w:rFonts w:hint="eastAsia" w:ascii="宋体" w:hAnsi="宋体" w:eastAsia="宋体" w:cs="Times New Roman"/>
          <w:color w:val="auto"/>
          <w:sz w:val="24"/>
          <w:highlight w:val="none"/>
        </w:rPr>
        <w:t>51号）等相关要求</w:t>
      </w:r>
      <w:bookmarkEnd w:id="46"/>
      <w:r>
        <w:rPr>
          <w:rFonts w:hint="eastAsia" w:ascii="宋体" w:hAnsi="宋体" w:eastAsia="宋体" w:cs="Times New Roman"/>
          <w:color w:val="auto"/>
          <w:sz w:val="24"/>
          <w:highlight w:val="none"/>
        </w:rPr>
        <w:t>。</w:t>
      </w:r>
    </w:p>
    <w:p w14:paraId="3E6FAB20">
      <w:pPr>
        <w:pageBreakBefore w:val="0"/>
        <w:kinsoku/>
        <w:wordWrap/>
        <w:overflowPunct/>
        <w:autoSpaceDE/>
        <w:autoSpaceDN/>
        <w:bidi w:val="0"/>
        <w:spacing w:beforeAutospacing="0" w:afterAutospacing="0" w:line="360" w:lineRule="auto"/>
        <w:ind w:firstLine="480"/>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6、需要按照《中华人民共和国网络安全法》《中华人民共和国数据安全法》《中华人民共和国个人信息保护法》《中国南方电网有限责任公司数据安全管理细则》（Q/CSG2223007-2024）、《南方电网数据安全总体要求技术规范》（Q/CSG1210049-2020）等法律法规相关要求，落实数据安全相关要求。</w:t>
      </w:r>
    </w:p>
    <w:p w14:paraId="3AFF759C">
      <w:pPr>
        <w:pageBreakBefore w:val="0"/>
        <w:kinsoku/>
        <w:wordWrap/>
        <w:overflowPunct/>
        <w:autoSpaceDE/>
        <w:autoSpaceDN/>
        <w:bidi w:val="0"/>
        <w:spacing w:beforeAutospacing="0" w:afterAutospacing="0" w:line="360" w:lineRule="auto"/>
        <w:ind w:firstLine="480"/>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7、通过数字身份与访问控制中心，实现本系统统一账号、统一认证、统一权限控制、统一审计管理。</w:t>
      </w:r>
    </w:p>
    <w:p w14:paraId="486970F0">
      <w:pPr>
        <w:pageBreakBefore w:val="0"/>
        <w:kinsoku/>
        <w:wordWrap/>
        <w:overflowPunct/>
        <w:autoSpaceDE/>
        <w:autoSpaceDN/>
        <w:bidi w:val="0"/>
        <w:spacing w:beforeAutospacing="0" w:afterAutospacing="0" w:line="360" w:lineRule="auto"/>
        <w:ind w:firstLine="480"/>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8、通过云盾平台，进行本系统的集中监控以及安全态势感知，实现集监测、预警、防护、检测、响应和恢复的动态网络安全管控。</w:t>
      </w:r>
    </w:p>
    <w:p w14:paraId="63A93380">
      <w:pPr>
        <w:keepNext/>
        <w:keepLines/>
        <w:pageBreakBefore w:val="0"/>
        <w:tabs>
          <w:tab w:val="left" w:pos="1151"/>
        </w:tabs>
        <w:kinsoku/>
        <w:wordWrap/>
        <w:overflowPunct/>
        <w:topLinePunct/>
        <w:autoSpaceDE/>
        <w:autoSpaceDN/>
        <w:bidi w:val="0"/>
        <w:adjustRightInd w:val="0"/>
        <w:snapToGrid w:val="0"/>
        <w:spacing w:beforeAutospacing="0" w:afterAutospacing="0" w:line="360" w:lineRule="auto"/>
        <w:jc w:val="left"/>
        <w:textAlignment w:val="center"/>
        <w:outlineLvl w:val="2"/>
        <w:rPr>
          <w:rFonts w:hint="eastAsia" w:ascii="宋体" w:hAnsi="宋体" w:eastAsia="宋体" w:cs="Times New Roman"/>
          <w:b/>
          <w:bCs/>
          <w:color w:val="auto"/>
          <w:sz w:val="28"/>
          <w:szCs w:val="28"/>
          <w:highlight w:val="none"/>
          <w:lang w:val="sv-SE"/>
        </w:rPr>
      </w:pPr>
      <w:bookmarkStart w:id="47" w:name="_Toc24016165"/>
      <w:bookmarkStart w:id="48" w:name="_Toc29824873"/>
      <w:r>
        <w:rPr>
          <w:rFonts w:hint="eastAsia" w:ascii="宋体" w:hAnsi="宋体" w:eastAsia="宋体" w:cs="Times New Roman"/>
          <w:b/>
          <w:bCs/>
          <w:color w:val="auto"/>
          <w:sz w:val="28"/>
          <w:szCs w:val="28"/>
          <w:highlight w:val="none"/>
        </w:rPr>
        <w:t>3.9.2</w:t>
      </w:r>
      <w:r>
        <w:rPr>
          <w:rFonts w:hint="eastAsia" w:ascii="宋体" w:hAnsi="宋体" w:eastAsia="宋体" w:cs="Times New Roman"/>
          <w:b/>
          <w:bCs/>
          <w:color w:val="auto"/>
          <w:sz w:val="28"/>
          <w:szCs w:val="28"/>
          <w:highlight w:val="none"/>
          <w:lang w:val="sv-SE"/>
        </w:rPr>
        <w:t>安全保护等级</w:t>
      </w:r>
      <w:bookmarkEnd w:id="47"/>
      <w:bookmarkEnd w:id="48"/>
    </w:p>
    <w:p w14:paraId="0B5D2263">
      <w:pPr>
        <w:pageBreakBefore w:val="0"/>
        <w:kinsoku/>
        <w:wordWrap/>
        <w:overflowPunct/>
        <w:autoSpaceDE/>
        <w:autoSpaceDN/>
        <w:bidi w:val="0"/>
        <w:spacing w:beforeAutospacing="0" w:afterAutospacing="0" w:line="360" w:lineRule="auto"/>
        <w:ind w:firstLine="480"/>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根据《信息安全技术 网络安全等级保护基本要求》（GB/T 22239-2019）以及《南方电网管理信息系统安全等级保护标准》要求，</w:t>
      </w:r>
      <w:r>
        <w:rPr>
          <w:rFonts w:hint="eastAsia" w:ascii="Times New Roman" w:hAnsi="Times New Roman" w:eastAsia="宋体" w:cs="Times New Roman"/>
          <w:bCs/>
          <w:color w:val="auto"/>
          <w:sz w:val="24"/>
          <w:highlight w:val="none"/>
        </w:rPr>
        <w:t>本系统的安全等级保护定为</w:t>
      </w:r>
      <w:r>
        <w:rPr>
          <w:rFonts w:hint="eastAsia" w:ascii="宋体" w:hAnsi="宋体" w:eastAsia="宋体" w:cs="Times New Roman"/>
          <w:bCs/>
          <w:color w:val="auto"/>
          <w:sz w:val="24"/>
          <w:szCs w:val="28"/>
          <w:highlight w:val="none"/>
        </w:rPr>
        <w:t>二级</w:t>
      </w:r>
      <w:r>
        <w:rPr>
          <w:rFonts w:hint="eastAsia" w:ascii="宋体" w:hAnsi="宋体" w:eastAsia="宋体" w:cs="Times New Roman"/>
          <w:color w:val="auto"/>
          <w:sz w:val="24"/>
          <w:highlight w:val="none"/>
        </w:rPr>
        <w:t>。并需要按照中华人民共和国国家标准《信息安全技术 网络安全等级保护基本要求》（GB/T 22239-2019）进行系统的安全防护。</w:t>
      </w:r>
    </w:p>
    <w:p w14:paraId="70DCEE7B">
      <w:pPr>
        <w:pageBreakBefore w:val="0"/>
        <w:kinsoku/>
        <w:wordWrap/>
        <w:overflowPunct/>
        <w:autoSpaceDE/>
        <w:autoSpaceDN/>
        <w:bidi w:val="0"/>
        <w:spacing w:beforeAutospacing="0" w:afterAutospacing="0" w:line="360" w:lineRule="auto"/>
        <w:ind w:firstLine="480"/>
        <w:rPr>
          <w:rFonts w:hint="eastAsia" w:ascii="宋体" w:hAnsi="宋体" w:eastAsia="宋体" w:cs="Times New Roman"/>
          <w:color w:val="auto"/>
          <w:sz w:val="24"/>
          <w:highlight w:val="none"/>
        </w:rPr>
      </w:pPr>
      <w:r>
        <w:rPr>
          <w:rFonts w:hint="eastAsia" w:ascii="宋体" w:hAnsi="宋体" w:eastAsia="宋体" w:cs="宋体"/>
          <w:color w:val="auto"/>
          <w:sz w:val="24"/>
          <w:highlight w:val="none"/>
        </w:rPr>
        <w:t>系统建设完成后按照国家及南网的要求开展系统入网安评及信息系统安全等级测评及备案工作</w:t>
      </w:r>
      <w:r>
        <w:rPr>
          <w:rFonts w:hint="eastAsia" w:ascii="宋体" w:hAnsi="宋体" w:eastAsia="宋体" w:cs="Times New Roman"/>
          <w:color w:val="auto"/>
          <w:sz w:val="24"/>
          <w:highlight w:val="none"/>
        </w:rPr>
        <w:t>。</w:t>
      </w:r>
    </w:p>
    <w:p w14:paraId="1118D9D1">
      <w:pPr>
        <w:keepNext/>
        <w:keepLines/>
        <w:pageBreakBefore w:val="0"/>
        <w:tabs>
          <w:tab w:val="left" w:pos="1151"/>
        </w:tabs>
        <w:kinsoku/>
        <w:wordWrap/>
        <w:overflowPunct/>
        <w:topLinePunct/>
        <w:autoSpaceDE/>
        <w:autoSpaceDN/>
        <w:bidi w:val="0"/>
        <w:adjustRightInd w:val="0"/>
        <w:snapToGrid w:val="0"/>
        <w:spacing w:beforeAutospacing="0" w:afterAutospacing="0" w:line="360" w:lineRule="auto"/>
        <w:jc w:val="left"/>
        <w:textAlignment w:val="center"/>
        <w:outlineLvl w:val="2"/>
        <w:rPr>
          <w:rFonts w:hint="eastAsia" w:ascii="宋体" w:hAnsi="宋体" w:eastAsia="宋体" w:cs="Times New Roman"/>
          <w:b/>
          <w:bCs/>
          <w:color w:val="auto"/>
          <w:sz w:val="28"/>
          <w:szCs w:val="28"/>
          <w:highlight w:val="none"/>
          <w:lang w:val="sv-SE"/>
        </w:rPr>
      </w:pPr>
      <w:bookmarkStart w:id="49" w:name="_Toc29824874"/>
      <w:bookmarkStart w:id="50" w:name="_Toc24016166"/>
      <w:r>
        <w:rPr>
          <w:rFonts w:hint="eastAsia" w:ascii="宋体" w:hAnsi="宋体" w:eastAsia="宋体" w:cs="Times New Roman"/>
          <w:b/>
          <w:bCs/>
          <w:color w:val="auto"/>
          <w:sz w:val="28"/>
          <w:szCs w:val="28"/>
          <w:highlight w:val="none"/>
        </w:rPr>
        <w:t>3.9.3</w:t>
      </w:r>
      <w:r>
        <w:rPr>
          <w:rFonts w:hint="eastAsia" w:ascii="宋体" w:hAnsi="宋体" w:eastAsia="宋体" w:cs="Times New Roman"/>
          <w:b/>
          <w:bCs/>
          <w:color w:val="auto"/>
          <w:sz w:val="28"/>
          <w:szCs w:val="28"/>
          <w:highlight w:val="none"/>
          <w:lang w:val="sv-SE"/>
        </w:rPr>
        <w:t>物理和环境安全</w:t>
      </w:r>
      <w:bookmarkEnd w:id="49"/>
      <w:bookmarkEnd w:id="50"/>
    </w:p>
    <w:p w14:paraId="2466AFA3">
      <w:pPr>
        <w:pageBreakBefore w:val="0"/>
        <w:kinsoku/>
        <w:wordWrap/>
        <w:overflowPunct/>
        <w:autoSpaceDE/>
        <w:autoSpaceDN/>
        <w:bidi w:val="0"/>
        <w:spacing w:beforeAutospacing="0" w:afterAutospacing="0" w:line="360" w:lineRule="auto"/>
        <w:ind w:firstLine="480"/>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本信息系统需部署在南方电网公司专业机房内。专业机房需符合国家以及南方电网公司信息机房建设技术规范以及运营相关要求。具备防震、防风、防雨、防雷、防火、防盗等保护措施。机房温、湿度的变化在本系统设备运行所允许的范围之内。</w:t>
      </w:r>
    </w:p>
    <w:p w14:paraId="6E8AFADC">
      <w:pPr>
        <w:pageBreakBefore w:val="0"/>
        <w:kinsoku/>
        <w:wordWrap/>
        <w:overflowPunct/>
        <w:autoSpaceDE/>
        <w:autoSpaceDN/>
        <w:bidi w:val="0"/>
        <w:spacing w:beforeAutospacing="0" w:afterAutospacing="0" w:line="360" w:lineRule="auto"/>
        <w:ind w:firstLine="480"/>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通过符合国产密码要求的电子门禁系统确保机房出入控制；通过符合国产密码要求的视频监控系统实现视频监控。</w:t>
      </w:r>
    </w:p>
    <w:p w14:paraId="2C1C2F00">
      <w:pPr>
        <w:keepNext/>
        <w:keepLines/>
        <w:pageBreakBefore w:val="0"/>
        <w:tabs>
          <w:tab w:val="left" w:pos="1151"/>
        </w:tabs>
        <w:kinsoku/>
        <w:wordWrap/>
        <w:overflowPunct/>
        <w:topLinePunct/>
        <w:autoSpaceDE/>
        <w:autoSpaceDN/>
        <w:bidi w:val="0"/>
        <w:adjustRightInd w:val="0"/>
        <w:snapToGrid w:val="0"/>
        <w:spacing w:beforeAutospacing="0" w:afterAutospacing="0" w:line="360" w:lineRule="auto"/>
        <w:jc w:val="left"/>
        <w:textAlignment w:val="center"/>
        <w:outlineLvl w:val="2"/>
        <w:rPr>
          <w:rFonts w:hint="eastAsia" w:ascii="宋体" w:hAnsi="宋体" w:eastAsia="宋体" w:cs="Times New Roman"/>
          <w:b/>
          <w:bCs/>
          <w:color w:val="auto"/>
          <w:sz w:val="28"/>
          <w:szCs w:val="28"/>
          <w:highlight w:val="none"/>
          <w:lang w:val="sv-SE"/>
        </w:rPr>
      </w:pPr>
      <w:bookmarkStart w:id="51" w:name="_Toc29824875"/>
      <w:bookmarkStart w:id="52" w:name="_Toc24016167"/>
      <w:r>
        <w:rPr>
          <w:rFonts w:hint="eastAsia" w:ascii="宋体" w:hAnsi="宋体" w:eastAsia="宋体" w:cs="Times New Roman"/>
          <w:b/>
          <w:bCs/>
          <w:color w:val="auto"/>
          <w:sz w:val="28"/>
          <w:szCs w:val="28"/>
          <w:highlight w:val="none"/>
        </w:rPr>
        <w:t>3.9.4</w:t>
      </w:r>
      <w:r>
        <w:rPr>
          <w:rFonts w:hint="eastAsia" w:ascii="宋体" w:hAnsi="宋体" w:eastAsia="宋体" w:cs="Times New Roman"/>
          <w:b/>
          <w:bCs/>
          <w:color w:val="auto"/>
          <w:sz w:val="28"/>
          <w:szCs w:val="28"/>
          <w:highlight w:val="none"/>
          <w:lang w:val="sv-SE"/>
        </w:rPr>
        <w:t>网络和通信安全</w:t>
      </w:r>
      <w:bookmarkEnd w:id="51"/>
      <w:bookmarkEnd w:id="52"/>
    </w:p>
    <w:p w14:paraId="133D320D">
      <w:pPr>
        <w:pageBreakBefore w:val="0"/>
        <w:kinsoku/>
        <w:wordWrap/>
        <w:overflowPunct/>
        <w:autoSpaceDE/>
        <w:autoSpaceDN/>
        <w:bidi w:val="0"/>
        <w:spacing w:beforeAutospacing="0" w:afterAutospacing="0" w:line="360" w:lineRule="auto"/>
        <w:ind w:firstLine="480"/>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为保证网络层的安全性，需要合理设计网络拓扑结构，并实施网络边界控制措施。</w:t>
      </w:r>
    </w:p>
    <w:p w14:paraId="3F17DB6A">
      <w:pPr>
        <w:keepNext/>
        <w:keepLines/>
        <w:pageBreakBefore w:val="0"/>
        <w:tabs>
          <w:tab w:val="left" w:pos="420"/>
        </w:tabs>
        <w:kinsoku/>
        <w:wordWrap/>
        <w:overflowPunct/>
        <w:topLinePunct/>
        <w:autoSpaceDE/>
        <w:autoSpaceDN/>
        <w:bidi w:val="0"/>
        <w:adjustRightInd w:val="0"/>
        <w:snapToGrid w:val="0"/>
        <w:spacing w:beforeAutospacing="0" w:afterAutospacing="0" w:line="360" w:lineRule="auto"/>
        <w:textAlignment w:val="center"/>
        <w:outlineLvl w:val="3"/>
        <w:rPr>
          <w:rFonts w:ascii="Times New Roman" w:hAnsi="Times New Roman" w:eastAsia="宋体" w:cs="Times New Roman"/>
          <w:b/>
          <w:bCs/>
          <w:color w:val="auto"/>
          <w:sz w:val="28"/>
          <w:szCs w:val="28"/>
          <w:highlight w:val="none"/>
          <w:lang w:val="sv-SE"/>
        </w:rPr>
      </w:pPr>
      <w:r>
        <w:rPr>
          <w:rFonts w:ascii="Times New Roman" w:hAnsi="Times New Roman" w:eastAsia="宋体" w:cs="Times New Roman"/>
          <w:b/>
          <w:bCs/>
          <w:color w:val="auto"/>
          <w:sz w:val="28"/>
          <w:szCs w:val="28"/>
          <w:highlight w:val="none"/>
        </w:rPr>
        <w:t>3.9.4.1</w:t>
      </w:r>
      <w:r>
        <w:rPr>
          <w:rFonts w:hint="eastAsia" w:ascii="Times New Roman" w:hAnsi="Times New Roman" w:eastAsia="宋体" w:cs="Times New Roman"/>
          <w:b/>
          <w:bCs/>
          <w:color w:val="auto"/>
          <w:sz w:val="28"/>
          <w:szCs w:val="28"/>
          <w:highlight w:val="none"/>
          <w:lang w:val="sv-SE"/>
        </w:rPr>
        <w:t>网络拓扑结构</w:t>
      </w:r>
    </w:p>
    <w:p w14:paraId="0D66D8F1">
      <w:pPr>
        <w:pageBreakBefore w:val="0"/>
        <w:kinsoku/>
        <w:wordWrap/>
        <w:overflowPunct/>
        <w:autoSpaceDE/>
        <w:autoSpaceDN/>
        <w:bidi w:val="0"/>
        <w:spacing w:beforeAutospacing="0" w:afterAutospacing="0" w:line="360" w:lineRule="auto"/>
        <w:ind w:firstLine="480"/>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网络结构安全保证网络设备的业务处理能力具备冗余空间和链路负载均衡能力，满足业务高峰期需要。</w:t>
      </w:r>
    </w:p>
    <w:p w14:paraId="11EF2A22">
      <w:pPr>
        <w:pageBreakBefore w:val="0"/>
        <w:kinsoku/>
        <w:wordWrap/>
        <w:overflowPunct/>
        <w:autoSpaceDE/>
        <w:autoSpaceDN/>
        <w:bidi w:val="0"/>
        <w:spacing w:beforeAutospacing="0" w:afterAutospacing="0" w:line="360" w:lineRule="auto"/>
        <w:ind w:firstLine="480"/>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根据本系统的安全属性，其部署在信息内网。并按照“三级（及以上）系统独立成域、二级（及以下）系统集成成域”的原则，通过虚拟化网络技术或者SDN技术实现本系统单独设域，与其他系统实现逻辑隔离，在不同网段之间进行路由控制，建立安全的访问路径，实行针对性、差异化防护。</w:t>
      </w:r>
    </w:p>
    <w:p w14:paraId="254B4A45">
      <w:pPr>
        <w:pageBreakBefore w:val="0"/>
        <w:kinsoku/>
        <w:wordWrap/>
        <w:overflowPunct/>
        <w:autoSpaceDE/>
        <w:autoSpaceDN/>
        <w:bidi w:val="0"/>
        <w:spacing w:beforeAutospacing="0" w:afterAutospacing="0" w:line="360" w:lineRule="auto"/>
        <w:ind w:firstLine="480"/>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涉及internet的应用，需部署在信息外网区，使用统一集中的互联网出口，并通过信息安全交换平台实现强逻辑隔离。</w:t>
      </w:r>
    </w:p>
    <w:p w14:paraId="2C239167">
      <w:pPr>
        <w:pageBreakBefore w:val="0"/>
        <w:kinsoku/>
        <w:wordWrap/>
        <w:overflowPunct/>
        <w:autoSpaceDE/>
        <w:autoSpaceDN/>
        <w:bidi w:val="0"/>
        <w:spacing w:beforeAutospacing="0" w:afterAutospacing="0" w:line="360" w:lineRule="auto"/>
        <w:ind w:firstLine="480"/>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要求采用冗余技术设计网络拓扑结构，确保路由冗余。</w:t>
      </w:r>
    </w:p>
    <w:p w14:paraId="5F6152AA">
      <w:pPr>
        <w:pageBreakBefore w:val="0"/>
        <w:kinsoku/>
        <w:wordWrap/>
        <w:overflowPunct/>
        <w:autoSpaceDE/>
        <w:autoSpaceDN/>
        <w:bidi w:val="0"/>
        <w:spacing w:beforeAutospacing="0" w:afterAutospacing="0" w:line="360" w:lineRule="auto"/>
        <w:ind w:firstLine="480"/>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网络优先级配置：根据本系统的重要性设置带宽分配级别，保证在网络发生拥堵的时候优先本系统服务连续性。</w:t>
      </w:r>
    </w:p>
    <w:p w14:paraId="0928168E">
      <w:pPr>
        <w:pageBreakBefore w:val="0"/>
        <w:kinsoku/>
        <w:wordWrap/>
        <w:overflowPunct/>
        <w:autoSpaceDE/>
        <w:autoSpaceDN/>
        <w:bidi w:val="0"/>
        <w:spacing w:beforeAutospacing="0" w:afterAutospacing="0" w:line="360" w:lineRule="auto"/>
        <w:ind w:firstLine="480"/>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网络设备冗余配置，避免存在网络单点故障，确保网络设备高可靠性。</w:t>
      </w:r>
    </w:p>
    <w:p w14:paraId="3F67EED9">
      <w:pPr>
        <w:keepNext/>
        <w:keepLines/>
        <w:pageBreakBefore w:val="0"/>
        <w:tabs>
          <w:tab w:val="left" w:pos="420"/>
        </w:tabs>
        <w:kinsoku/>
        <w:wordWrap/>
        <w:overflowPunct/>
        <w:topLinePunct/>
        <w:autoSpaceDE/>
        <w:autoSpaceDN/>
        <w:bidi w:val="0"/>
        <w:adjustRightInd w:val="0"/>
        <w:snapToGrid w:val="0"/>
        <w:spacing w:beforeAutospacing="0" w:afterAutospacing="0" w:line="360" w:lineRule="auto"/>
        <w:textAlignment w:val="center"/>
        <w:outlineLvl w:val="3"/>
        <w:rPr>
          <w:rFonts w:ascii="Times New Roman" w:hAnsi="Times New Roman" w:eastAsia="宋体" w:cs="Times New Roman"/>
          <w:b/>
          <w:bCs/>
          <w:color w:val="auto"/>
          <w:sz w:val="28"/>
          <w:szCs w:val="28"/>
          <w:highlight w:val="none"/>
          <w:lang w:val="sv-SE"/>
        </w:rPr>
      </w:pPr>
      <w:r>
        <w:rPr>
          <w:rFonts w:ascii="Times New Roman" w:hAnsi="Times New Roman" w:eastAsia="宋体" w:cs="Times New Roman"/>
          <w:b/>
          <w:bCs/>
          <w:color w:val="auto"/>
          <w:sz w:val="28"/>
          <w:szCs w:val="28"/>
          <w:highlight w:val="none"/>
        </w:rPr>
        <w:t>3.9.4.2</w:t>
      </w:r>
      <w:r>
        <w:rPr>
          <w:rFonts w:hint="eastAsia" w:ascii="Times New Roman" w:hAnsi="Times New Roman" w:eastAsia="宋体" w:cs="Times New Roman"/>
          <w:b/>
          <w:bCs/>
          <w:color w:val="auto"/>
          <w:sz w:val="28"/>
          <w:szCs w:val="28"/>
          <w:highlight w:val="none"/>
          <w:lang w:val="sv-SE"/>
        </w:rPr>
        <w:t>网络通信安全</w:t>
      </w:r>
    </w:p>
    <w:p w14:paraId="287D48C6">
      <w:pPr>
        <w:pageBreakBefore w:val="0"/>
        <w:kinsoku/>
        <w:wordWrap/>
        <w:overflowPunct/>
        <w:autoSpaceDE/>
        <w:autoSpaceDN/>
        <w:bidi w:val="0"/>
        <w:spacing w:beforeAutospacing="0" w:afterAutospacing="0" w:line="360" w:lineRule="auto"/>
        <w:ind w:firstLine="480"/>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数据通信中要采用校验技术或密码技术保证通信过程中数据的完整性以及保密性。</w:t>
      </w:r>
    </w:p>
    <w:p w14:paraId="464B652D">
      <w:pPr>
        <w:keepNext/>
        <w:keepLines/>
        <w:pageBreakBefore w:val="0"/>
        <w:tabs>
          <w:tab w:val="left" w:pos="420"/>
        </w:tabs>
        <w:kinsoku/>
        <w:wordWrap/>
        <w:overflowPunct/>
        <w:topLinePunct/>
        <w:autoSpaceDE/>
        <w:autoSpaceDN/>
        <w:bidi w:val="0"/>
        <w:adjustRightInd w:val="0"/>
        <w:snapToGrid w:val="0"/>
        <w:spacing w:beforeAutospacing="0" w:afterAutospacing="0" w:line="360" w:lineRule="auto"/>
        <w:textAlignment w:val="center"/>
        <w:outlineLvl w:val="3"/>
        <w:rPr>
          <w:rFonts w:ascii="Times New Roman" w:hAnsi="Times New Roman" w:eastAsia="宋体" w:cs="Times New Roman"/>
          <w:b/>
          <w:bCs/>
          <w:color w:val="auto"/>
          <w:sz w:val="28"/>
          <w:szCs w:val="28"/>
          <w:highlight w:val="none"/>
          <w:lang w:val="sv-SE"/>
        </w:rPr>
      </w:pPr>
      <w:r>
        <w:rPr>
          <w:rFonts w:ascii="Times New Roman" w:hAnsi="Times New Roman" w:eastAsia="宋体" w:cs="Times New Roman"/>
          <w:b/>
          <w:bCs/>
          <w:color w:val="auto"/>
          <w:sz w:val="28"/>
          <w:szCs w:val="28"/>
          <w:highlight w:val="none"/>
        </w:rPr>
        <w:t>3.9.4.3</w:t>
      </w:r>
      <w:r>
        <w:rPr>
          <w:rFonts w:hint="eastAsia" w:ascii="Times New Roman" w:hAnsi="Times New Roman" w:eastAsia="宋体" w:cs="Times New Roman"/>
          <w:b/>
          <w:bCs/>
          <w:color w:val="auto"/>
          <w:sz w:val="28"/>
          <w:szCs w:val="28"/>
          <w:highlight w:val="none"/>
          <w:lang w:val="sv-SE"/>
        </w:rPr>
        <w:t>网络边界防护</w:t>
      </w:r>
    </w:p>
    <w:p w14:paraId="48664D02">
      <w:pPr>
        <w:pageBreakBefore w:val="0"/>
        <w:kinsoku/>
        <w:wordWrap/>
        <w:overflowPunct/>
        <w:autoSpaceDE/>
        <w:autoSpaceDN/>
        <w:bidi w:val="0"/>
        <w:spacing w:beforeAutospacing="0" w:afterAutospacing="0" w:line="360" w:lineRule="auto"/>
        <w:ind w:firstLine="480"/>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通过ACL技术或防火墙技术，在网络边界或区域之间根据访问控制策略设置访问控制规则，对本系统域实现端口级访问控制，默认情况下除允许通信外受控接口拒绝所有通信；应删除多余或无效的访问控制规则，优化访问控制列表，并保证访问控制规则数量最小化。并对源地址、目的地址、源端口、目的端口和协议等进行检查，以允许/拒绝数据包进出，保证信息及网络资源不被非法使用和访问。</w:t>
      </w:r>
    </w:p>
    <w:p w14:paraId="29CD83C0">
      <w:pPr>
        <w:pageBreakBefore w:val="0"/>
        <w:kinsoku/>
        <w:wordWrap/>
        <w:overflowPunct/>
        <w:autoSpaceDE/>
        <w:autoSpaceDN/>
        <w:bidi w:val="0"/>
        <w:spacing w:beforeAutospacing="0" w:afterAutospacing="0" w:line="360" w:lineRule="auto"/>
        <w:ind w:firstLine="480"/>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通过入侵监测技术，在网络边界处监视如端口扫描、强力攻击、木马后门攻击、拒绝服务攻击、缓冲区溢出攻击、IP碎片攻击和网络蠕虫攻击等攻击行为，并给予告警以及响应和处理。</w:t>
      </w:r>
    </w:p>
    <w:p w14:paraId="399ABB06">
      <w:pPr>
        <w:pageBreakBefore w:val="0"/>
        <w:kinsoku/>
        <w:wordWrap/>
        <w:overflowPunct/>
        <w:autoSpaceDE/>
        <w:autoSpaceDN/>
        <w:bidi w:val="0"/>
        <w:spacing w:beforeAutospacing="0" w:afterAutospacing="0" w:line="360" w:lineRule="auto"/>
        <w:ind w:firstLine="480"/>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在网络边界及核心业务网段处对恶意代码进行检测和清除；及时实现恶意代码库升级和检测系统更新。</w:t>
      </w:r>
    </w:p>
    <w:p w14:paraId="69B3F7A2">
      <w:pPr>
        <w:pageBreakBefore w:val="0"/>
        <w:kinsoku/>
        <w:wordWrap/>
        <w:overflowPunct/>
        <w:autoSpaceDE/>
        <w:autoSpaceDN/>
        <w:bidi w:val="0"/>
        <w:spacing w:beforeAutospacing="0" w:afterAutospacing="0" w:line="360" w:lineRule="auto"/>
        <w:ind w:firstLine="480"/>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通过网络安全扫描工具，利用优化系统配置和打补丁等各种方式最大可能地弥补最新的安全漏洞和消除安全隐患。</w:t>
      </w:r>
    </w:p>
    <w:p w14:paraId="1346FCE6">
      <w:pPr>
        <w:keepNext/>
        <w:keepLines/>
        <w:pageBreakBefore w:val="0"/>
        <w:tabs>
          <w:tab w:val="left" w:pos="420"/>
        </w:tabs>
        <w:kinsoku/>
        <w:wordWrap/>
        <w:overflowPunct/>
        <w:topLinePunct/>
        <w:autoSpaceDE/>
        <w:autoSpaceDN/>
        <w:bidi w:val="0"/>
        <w:adjustRightInd w:val="0"/>
        <w:snapToGrid w:val="0"/>
        <w:spacing w:beforeAutospacing="0" w:afterAutospacing="0" w:line="360" w:lineRule="auto"/>
        <w:textAlignment w:val="center"/>
        <w:outlineLvl w:val="3"/>
        <w:rPr>
          <w:rFonts w:ascii="Times New Roman" w:hAnsi="Times New Roman" w:eastAsia="宋体" w:cs="Times New Roman"/>
          <w:b/>
          <w:bCs/>
          <w:color w:val="auto"/>
          <w:sz w:val="28"/>
          <w:szCs w:val="28"/>
          <w:highlight w:val="none"/>
          <w:lang w:val="sv-SE"/>
        </w:rPr>
      </w:pPr>
      <w:bookmarkStart w:id="53" w:name="_Toc6033"/>
      <w:r>
        <w:rPr>
          <w:rFonts w:ascii="Times New Roman" w:hAnsi="Times New Roman" w:eastAsia="宋体" w:cs="Times New Roman"/>
          <w:b/>
          <w:bCs/>
          <w:color w:val="auto"/>
          <w:sz w:val="28"/>
          <w:szCs w:val="28"/>
          <w:highlight w:val="none"/>
        </w:rPr>
        <w:t>3.9.4.4</w:t>
      </w:r>
      <w:r>
        <w:rPr>
          <w:rFonts w:hint="eastAsia" w:ascii="Times New Roman" w:hAnsi="Times New Roman" w:eastAsia="宋体" w:cs="Times New Roman"/>
          <w:b/>
          <w:bCs/>
          <w:color w:val="auto"/>
          <w:sz w:val="28"/>
          <w:szCs w:val="28"/>
          <w:highlight w:val="none"/>
          <w:lang w:val="sv-SE"/>
        </w:rPr>
        <w:t>网络安全审计</w:t>
      </w:r>
    </w:p>
    <w:p w14:paraId="5ED01753">
      <w:pPr>
        <w:pageBreakBefore w:val="0"/>
        <w:kinsoku/>
        <w:wordWrap/>
        <w:overflowPunct/>
        <w:autoSpaceDE/>
        <w:autoSpaceDN/>
        <w:bidi w:val="0"/>
        <w:spacing w:beforeAutospacing="0" w:afterAutospacing="0" w:line="360" w:lineRule="auto"/>
        <w:ind w:firstLine="480"/>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通过信息安全运行预警系统，实现对网络设备、安全设备运行状况、网络流量、用户行为等进行日志信息实时采集、集中监控及实时预警。审计记录应包括：事件的日期和时间、用户、事件类型、事件是否成功及其他与审计相关的信息。</w:t>
      </w:r>
    </w:p>
    <w:p w14:paraId="31538A47">
      <w:pPr>
        <w:keepNext/>
        <w:keepLines/>
        <w:pageBreakBefore w:val="0"/>
        <w:tabs>
          <w:tab w:val="left" w:pos="420"/>
        </w:tabs>
        <w:kinsoku/>
        <w:wordWrap/>
        <w:overflowPunct/>
        <w:topLinePunct/>
        <w:autoSpaceDE/>
        <w:autoSpaceDN/>
        <w:bidi w:val="0"/>
        <w:adjustRightInd w:val="0"/>
        <w:snapToGrid w:val="0"/>
        <w:spacing w:beforeAutospacing="0" w:afterAutospacing="0" w:line="360" w:lineRule="auto"/>
        <w:textAlignment w:val="center"/>
        <w:outlineLvl w:val="3"/>
        <w:rPr>
          <w:rFonts w:ascii="Times New Roman" w:hAnsi="Times New Roman" w:eastAsia="宋体" w:cs="Times New Roman"/>
          <w:b/>
          <w:bCs/>
          <w:color w:val="auto"/>
          <w:sz w:val="28"/>
          <w:szCs w:val="28"/>
          <w:highlight w:val="none"/>
          <w:lang w:val="sv-SE"/>
        </w:rPr>
      </w:pPr>
      <w:r>
        <w:rPr>
          <w:rFonts w:ascii="Times New Roman" w:hAnsi="Times New Roman" w:eastAsia="宋体" w:cs="Times New Roman"/>
          <w:b/>
          <w:bCs/>
          <w:color w:val="auto"/>
          <w:sz w:val="28"/>
          <w:szCs w:val="28"/>
          <w:highlight w:val="none"/>
        </w:rPr>
        <w:t>3.9.4.5</w:t>
      </w:r>
      <w:r>
        <w:rPr>
          <w:rFonts w:hint="eastAsia" w:ascii="Times New Roman" w:hAnsi="Times New Roman" w:eastAsia="宋体" w:cs="Times New Roman"/>
          <w:b/>
          <w:bCs/>
          <w:color w:val="auto"/>
          <w:sz w:val="28"/>
          <w:szCs w:val="28"/>
          <w:highlight w:val="none"/>
          <w:lang w:val="sv-SE"/>
        </w:rPr>
        <w:t>网络安全加固</w:t>
      </w:r>
    </w:p>
    <w:p w14:paraId="1EBE0A71">
      <w:pPr>
        <w:pageBreakBefore w:val="0"/>
        <w:kinsoku/>
        <w:wordWrap/>
        <w:overflowPunct/>
        <w:autoSpaceDE/>
        <w:autoSpaceDN/>
        <w:bidi w:val="0"/>
        <w:spacing w:beforeAutospacing="0" w:afterAutospacing="0" w:line="360" w:lineRule="auto"/>
        <w:ind w:firstLine="480"/>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1、对登录网络设备的用户进行身份鉴别。</w:t>
      </w:r>
    </w:p>
    <w:p w14:paraId="5FA1DE8E">
      <w:pPr>
        <w:pageBreakBefore w:val="0"/>
        <w:kinsoku/>
        <w:wordWrap/>
        <w:overflowPunct/>
        <w:autoSpaceDE/>
        <w:autoSpaceDN/>
        <w:bidi w:val="0"/>
        <w:spacing w:beforeAutospacing="0" w:afterAutospacing="0" w:line="360" w:lineRule="auto"/>
        <w:ind w:firstLine="480"/>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2、禁止采用默认的管理员账号和密码。</w:t>
      </w:r>
    </w:p>
    <w:p w14:paraId="3770713A">
      <w:pPr>
        <w:pageBreakBefore w:val="0"/>
        <w:kinsoku/>
        <w:wordWrap/>
        <w:overflowPunct/>
        <w:autoSpaceDE/>
        <w:autoSpaceDN/>
        <w:bidi w:val="0"/>
        <w:spacing w:beforeAutospacing="0" w:afterAutospacing="0" w:line="360" w:lineRule="auto"/>
        <w:ind w:firstLine="480"/>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3、对网络设备管理员登录的地址进行限制。</w:t>
      </w:r>
    </w:p>
    <w:p w14:paraId="31E87333">
      <w:pPr>
        <w:pageBreakBefore w:val="0"/>
        <w:kinsoku/>
        <w:wordWrap/>
        <w:overflowPunct/>
        <w:autoSpaceDE/>
        <w:autoSpaceDN/>
        <w:bidi w:val="0"/>
        <w:spacing w:beforeAutospacing="0" w:afterAutospacing="0" w:line="360" w:lineRule="auto"/>
        <w:ind w:firstLine="480"/>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4、通过支持国密算法的U-key认证方式登录，key证书具有唯一性。</w:t>
      </w:r>
    </w:p>
    <w:p w14:paraId="33D30363">
      <w:pPr>
        <w:pageBreakBefore w:val="0"/>
        <w:kinsoku/>
        <w:wordWrap/>
        <w:overflowPunct/>
        <w:autoSpaceDE/>
        <w:autoSpaceDN/>
        <w:bidi w:val="0"/>
        <w:spacing w:beforeAutospacing="0" w:afterAutospacing="0" w:line="360" w:lineRule="auto"/>
        <w:ind w:firstLine="480"/>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5、网络设备账号满足密码复杂度设置，并定期进行更新，存储为加密存储方式。</w:t>
      </w:r>
    </w:p>
    <w:p w14:paraId="725C5F59">
      <w:pPr>
        <w:pageBreakBefore w:val="0"/>
        <w:kinsoku/>
        <w:wordWrap/>
        <w:overflowPunct/>
        <w:autoSpaceDE/>
        <w:autoSpaceDN/>
        <w:bidi w:val="0"/>
        <w:spacing w:beforeAutospacing="0" w:afterAutospacing="0" w:line="360" w:lineRule="auto"/>
        <w:ind w:firstLine="480"/>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6、具有登录失败处理功能，登录5次失败后，采取结束会话的措施。</w:t>
      </w:r>
    </w:p>
    <w:p w14:paraId="25E38FD7">
      <w:pPr>
        <w:pageBreakBefore w:val="0"/>
        <w:kinsoku/>
        <w:wordWrap/>
        <w:overflowPunct/>
        <w:autoSpaceDE/>
        <w:autoSpaceDN/>
        <w:bidi w:val="0"/>
        <w:spacing w:beforeAutospacing="0" w:afterAutospacing="0" w:line="360" w:lineRule="auto"/>
        <w:ind w:firstLine="480"/>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7、采取SSH加密协议远程管理网络设备。</w:t>
      </w:r>
    </w:p>
    <w:p w14:paraId="515EA9C2">
      <w:pPr>
        <w:pageBreakBefore w:val="0"/>
        <w:kinsoku/>
        <w:wordWrap/>
        <w:overflowPunct/>
        <w:autoSpaceDE/>
        <w:autoSpaceDN/>
        <w:bidi w:val="0"/>
        <w:spacing w:beforeAutospacing="0" w:afterAutospacing="0" w:line="360" w:lineRule="auto"/>
        <w:ind w:firstLine="480"/>
        <w:rPr>
          <w:rFonts w:hint="eastAsia" w:ascii="宋体" w:hAnsi="宋体" w:eastAsia="宋体" w:cs="Times New Roman"/>
          <w:color w:val="auto"/>
          <w:sz w:val="28"/>
          <w:szCs w:val="28"/>
          <w:highlight w:val="none"/>
        </w:rPr>
      </w:pPr>
      <w:r>
        <w:rPr>
          <w:rFonts w:hint="eastAsia" w:ascii="宋体" w:hAnsi="宋体" w:eastAsia="宋体" w:cs="Times New Roman"/>
          <w:color w:val="auto"/>
          <w:sz w:val="24"/>
          <w:highlight w:val="none"/>
        </w:rPr>
        <w:t>8、已通过服务器区防火墙进行限制，只对系统的特定端口进行开放。</w:t>
      </w:r>
    </w:p>
    <w:bookmarkEnd w:id="53"/>
    <w:p w14:paraId="5229D4A3">
      <w:pPr>
        <w:keepNext/>
        <w:keepLines/>
        <w:pageBreakBefore w:val="0"/>
        <w:tabs>
          <w:tab w:val="left" w:pos="1151"/>
        </w:tabs>
        <w:kinsoku/>
        <w:wordWrap/>
        <w:overflowPunct/>
        <w:topLinePunct/>
        <w:autoSpaceDE/>
        <w:autoSpaceDN/>
        <w:bidi w:val="0"/>
        <w:adjustRightInd w:val="0"/>
        <w:snapToGrid w:val="0"/>
        <w:spacing w:beforeAutospacing="0" w:afterAutospacing="0" w:line="360" w:lineRule="auto"/>
        <w:jc w:val="left"/>
        <w:textAlignment w:val="center"/>
        <w:outlineLvl w:val="2"/>
        <w:rPr>
          <w:rFonts w:hint="eastAsia" w:ascii="宋体" w:hAnsi="宋体" w:eastAsia="宋体" w:cs="Times New Roman"/>
          <w:b/>
          <w:bCs/>
          <w:color w:val="auto"/>
          <w:sz w:val="28"/>
          <w:szCs w:val="28"/>
          <w:highlight w:val="none"/>
          <w:lang w:val="sv-SE"/>
        </w:rPr>
      </w:pPr>
      <w:bookmarkStart w:id="54" w:name="_Toc24016168"/>
      <w:bookmarkStart w:id="55" w:name="_Toc29824876"/>
      <w:r>
        <w:rPr>
          <w:rFonts w:hint="eastAsia" w:ascii="宋体" w:hAnsi="宋体" w:eastAsia="宋体" w:cs="Times New Roman"/>
          <w:b/>
          <w:bCs/>
          <w:color w:val="auto"/>
          <w:sz w:val="28"/>
          <w:szCs w:val="28"/>
          <w:highlight w:val="none"/>
        </w:rPr>
        <w:t>3.9.5</w:t>
      </w:r>
      <w:r>
        <w:rPr>
          <w:rFonts w:hint="eastAsia" w:ascii="宋体" w:hAnsi="宋体" w:eastAsia="宋体" w:cs="Times New Roman"/>
          <w:b/>
          <w:bCs/>
          <w:color w:val="auto"/>
          <w:sz w:val="28"/>
          <w:szCs w:val="28"/>
          <w:highlight w:val="none"/>
          <w:lang w:val="sv-SE"/>
        </w:rPr>
        <w:t>设备和计算安全</w:t>
      </w:r>
      <w:bookmarkEnd w:id="54"/>
      <w:bookmarkEnd w:id="55"/>
    </w:p>
    <w:p w14:paraId="15D1DC55">
      <w:pPr>
        <w:keepNext/>
        <w:keepLines/>
        <w:pageBreakBefore w:val="0"/>
        <w:tabs>
          <w:tab w:val="left" w:pos="420"/>
        </w:tabs>
        <w:kinsoku/>
        <w:wordWrap/>
        <w:overflowPunct/>
        <w:topLinePunct/>
        <w:autoSpaceDE/>
        <w:autoSpaceDN/>
        <w:bidi w:val="0"/>
        <w:adjustRightInd w:val="0"/>
        <w:snapToGrid w:val="0"/>
        <w:spacing w:beforeAutospacing="0" w:afterAutospacing="0" w:line="360" w:lineRule="auto"/>
        <w:textAlignment w:val="center"/>
        <w:outlineLvl w:val="3"/>
        <w:rPr>
          <w:rFonts w:ascii="Times New Roman" w:hAnsi="Times New Roman" w:eastAsia="宋体" w:cs="Times New Roman"/>
          <w:b/>
          <w:bCs/>
          <w:color w:val="auto"/>
          <w:sz w:val="28"/>
          <w:szCs w:val="28"/>
          <w:highlight w:val="none"/>
          <w:lang w:val="sv-SE"/>
        </w:rPr>
      </w:pPr>
      <w:r>
        <w:rPr>
          <w:rFonts w:ascii="Times New Roman" w:hAnsi="Times New Roman" w:eastAsia="宋体" w:cs="Times New Roman"/>
          <w:b/>
          <w:bCs/>
          <w:color w:val="auto"/>
          <w:sz w:val="28"/>
          <w:szCs w:val="28"/>
          <w:highlight w:val="none"/>
        </w:rPr>
        <w:t>3.9.5.1</w:t>
      </w:r>
      <w:r>
        <w:rPr>
          <w:rFonts w:hint="eastAsia" w:ascii="Times New Roman" w:hAnsi="Times New Roman" w:eastAsia="宋体" w:cs="Times New Roman"/>
          <w:b/>
          <w:bCs/>
          <w:color w:val="auto"/>
          <w:sz w:val="28"/>
          <w:szCs w:val="28"/>
          <w:highlight w:val="none"/>
          <w:lang w:val="sv-SE"/>
        </w:rPr>
        <w:t>硬件安全</w:t>
      </w:r>
    </w:p>
    <w:p w14:paraId="05C075EF">
      <w:pPr>
        <w:pageBreakBefore w:val="0"/>
        <w:kinsoku/>
        <w:wordWrap/>
        <w:overflowPunct/>
        <w:autoSpaceDE/>
        <w:autoSpaceDN/>
        <w:bidi w:val="0"/>
        <w:spacing w:beforeAutospacing="0" w:afterAutospacing="0" w:line="360" w:lineRule="auto"/>
        <w:ind w:firstLine="480"/>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采用服务器设备具备冗余配置（包括双机热备等）；具备不间断电源保障，具备服务器运行状态监控，确保本系统处理性能要求。</w:t>
      </w:r>
    </w:p>
    <w:p w14:paraId="654B1182">
      <w:pPr>
        <w:pageBreakBefore w:val="0"/>
        <w:kinsoku/>
        <w:wordWrap/>
        <w:overflowPunct/>
        <w:autoSpaceDE/>
        <w:autoSpaceDN/>
        <w:bidi w:val="0"/>
        <w:spacing w:beforeAutospacing="0" w:afterAutospacing="0" w:line="360" w:lineRule="auto"/>
        <w:ind w:firstLine="480"/>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对登录的用户进行身份标识和鉴别，身份标识具有唯一性，身份鉴别信息具有复杂度要求并定期更换；应具有登录失败处理功能，应配置并启用结束会话、限制非法登录次数和当登录连接超时自动退出等相关措施；</w:t>
      </w:r>
      <w:r>
        <w:rPr>
          <w:rFonts w:hint="eastAsia" w:ascii="宋体" w:hAnsi="宋体" w:eastAsia="宋体" w:cs="Times New Roman"/>
          <w:color w:val="auto"/>
          <w:sz w:val="24"/>
          <w:highlight w:val="none"/>
        </w:rPr>
        <w:tab/>
      </w:r>
      <w:r>
        <w:rPr>
          <w:rFonts w:hint="eastAsia" w:ascii="宋体" w:hAnsi="宋体" w:eastAsia="宋体" w:cs="Times New Roman"/>
          <w:color w:val="auto"/>
          <w:sz w:val="24"/>
          <w:highlight w:val="none"/>
        </w:rPr>
        <w:t>当进行远程管理时，应采取加密措施。</w:t>
      </w:r>
    </w:p>
    <w:p w14:paraId="24C21D53">
      <w:pPr>
        <w:keepNext/>
        <w:keepLines/>
        <w:pageBreakBefore w:val="0"/>
        <w:tabs>
          <w:tab w:val="left" w:pos="420"/>
        </w:tabs>
        <w:kinsoku/>
        <w:wordWrap/>
        <w:overflowPunct/>
        <w:topLinePunct/>
        <w:autoSpaceDE/>
        <w:autoSpaceDN/>
        <w:bidi w:val="0"/>
        <w:adjustRightInd w:val="0"/>
        <w:snapToGrid w:val="0"/>
        <w:spacing w:beforeAutospacing="0" w:afterAutospacing="0" w:line="360" w:lineRule="auto"/>
        <w:textAlignment w:val="center"/>
        <w:outlineLvl w:val="3"/>
        <w:rPr>
          <w:rFonts w:ascii="Times New Roman" w:hAnsi="Times New Roman" w:eastAsia="宋体" w:cs="Times New Roman"/>
          <w:b/>
          <w:bCs/>
          <w:color w:val="auto"/>
          <w:sz w:val="28"/>
          <w:szCs w:val="28"/>
          <w:highlight w:val="none"/>
          <w:lang w:val="sv-SE"/>
        </w:rPr>
      </w:pPr>
      <w:r>
        <w:rPr>
          <w:rFonts w:ascii="Times New Roman" w:hAnsi="Times New Roman" w:eastAsia="宋体" w:cs="Times New Roman"/>
          <w:b/>
          <w:bCs/>
          <w:color w:val="auto"/>
          <w:sz w:val="28"/>
          <w:szCs w:val="28"/>
          <w:highlight w:val="none"/>
        </w:rPr>
        <w:t>3.9.5.2</w:t>
      </w:r>
      <w:r>
        <w:rPr>
          <w:rFonts w:hint="eastAsia" w:ascii="Times New Roman" w:hAnsi="Times New Roman" w:eastAsia="宋体" w:cs="Times New Roman"/>
          <w:b/>
          <w:bCs/>
          <w:color w:val="auto"/>
          <w:sz w:val="28"/>
          <w:szCs w:val="28"/>
          <w:highlight w:val="none"/>
          <w:lang w:val="sv-SE"/>
        </w:rPr>
        <w:t>操作系统安全</w:t>
      </w:r>
    </w:p>
    <w:p w14:paraId="22BE4FD0">
      <w:pPr>
        <w:pageBreakBefore w:val="0"/>
        <w:kinsoku/>
        <w:wordWrap/>
        <w:overflowPunct/>
        <w:autoSpaceDE/>
        <w:autoSpaceDN/>
        <w:bidi w:val="0"/>
        <w:spacing w:beforeAutospacing="0" w:afterAutospacing="0" w:line="360" w:lineRule="auto"/>
        <w:ind w:firstLine="480"/>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操作系统原则上采用自主可控系统，加强操作系统账号管理、认证授权、安全日志等功能，实现从身份鉴别，访问控制，安全审计入侵防范，恶意代码规范，资源控制几个方面进行主机安全基线加固。</w:t>
      </w:r>
    </w:p>
    <w:p w14:paraId="67280D57">
      <w:pPr>
        <w:keepNext/>
        <w:keepLines/>
        <w:pageBreakBefore w:val="0"/>
        <w:tabs>
          <w:tab w:val="left" w:pos="420"/>
        </w:tabs>
        <w:kinsoku/>
        <w:wordWrap/>
        <w:overflowPunct/>
        <w:topLinePunct/>
        <w:autoSpaceDE/>
        <w:autoSpaceDN/>
        <w:bidi w:val="0"/>
        <w:adjustRightInd w:val="0"/>
        <w:snapToGrid w:val="0"/>
        <w:spacing w:beforeAutospacing="0" w:afterAutospacing="0" w:line="360" w:lineRule="auto"/>
        <w:textAlignment w:val="center"/>
        <w:outlineLvl w:val="3"/>
        <w:rPr>
          <w:rFonts w:ascii="Times New Roman" w:hAnsi="Times New Roman" w:eastAsia="宋体" w:cs="Times New Roman"/>
          <w:b/>
          <w:bCs/>
          <w:color w:val="auto"/>
          <w:sz w:val="28"/>
          <w:szCs w:val="28"/>
          <w:highlight w:val="none"/>
          <w:lang w:val="sv-SE"/>
        </w:rPr>
      </w:pPr>
      <w:r>
        <w:rPr>
          <w:rFonts w:ascii="Times New Roman" w:hAnsi="Times New Roman" w:eastAsia="宋体" w:cs="Times New Roman"/>
          <w:b/>
          <w:bCs/>
          <w:color w:val="auto"/>
          <w:sz w:val="28"/>
          <w:szCs w:val="28"/>
          <w:highlight w:val="none"/>
        </w:rPr>
        <w:t>3.9.5.3</w:t>
      </w:r>
      <w:r>
        <w:rPr>
          <w:rFonts w:hint="eastAsia" w:ascii="Times New Roman" w:hAnsi="Times New Roman" w:eastAsia="宋体" w:cs="Times New Roman"/>
          <w:b/>
          <w:bCs/>
          <w:color w:val="auto"/>
          <w:sz w:val="28"/>
          <w:szCs w:val="28"/>
          <w:highlight w:val="none"/>
          <w:lang w:val="sv-SE"/>
        </w:rPr>
        <w:t>中间件安全</w:t>
      </w:r>
    </w:p>
    <w:p w14:paraId="4FA0C20C">
      <w:pPr>
        <w:pageBreakBefore w:val="0"/>
        <w:kinsoku/>
        <w:wordWrap/>
        <w:overflowPunct/>
        <w:autoSpaceDE/>
        <w:autoSpaceDN/>
        <w:bidi w:val="0"/>
        <w:spacing w:beforeAutospacing="0" w:afterAutospacing="0" w:line="360" w:lineRule="auto"/>
        <w:ind w:firstLine="480"/>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从身份鉴别，访问控制，安全审计，通信完整性，通信保密性，软件容错，资源控制几个方面进行中间件安全基线加固。</w:t>
      </w:r>
    </w:p>
    <w:p w14:paraId="1F63D391">
      <w:pPr>
        <w:keepNext/>
        <w:keepLines/>
        <w:pageBreakBefore w:val="0"/>
        <w:tabs>
          <w:tab w:val="left" w:pos="420"/>
        </w:tabs>
        <w:kinsoku/>
        <w:wordWrap/>
        <w:overflowPunct/>
        <w:topLinePunct/>
        <w:autoSpaceDE/>
        <w:autoSpaceDN/>
        <w:bidi w:val="0"/>
        <w:adjustRightInd w:val="0"/>
        <w:snapToGrid w:val="0"/>
        <w:spacing w:beforeAutospacing="0" w:afterAutospacing="0" w:line="360" w:lineRule="auto"/>
        <w:textAlignment w:val="center"/>
        <w:outlineLvl w:val="3"/>
        <w:rPr>
          <w:rFonts w:ascii="Times New Roman" w:hAnsi="Times New Roman" w:eastAsia="宋体" w:cs="Times New Roman"/>
          <w:b/>
          <w:bCs/>
          <w:color w:val="auto"/>
          <w:sz w:val="28"/>
          <w:szCs w:val="28"/>
          <w:highlight w:val="none"/>
          <w:lang w:val="sv-SE"/>
        </w:rPr>
      </w:pPr>
      <w:r>
        <w:rPr>
          <w:rFonts w:hint="eastAsia" w:ascii="Times New Roman" w:hAnsi="Times New Roman" w:eastAsia="宋体" w:cs="Times New Roman"/>
          <w:b/>
          <w:bCs/>
          <w:color w:val="auto"/>
          <w:sz w:val="28"/>
          <w:szCs w:val="28"/>
          <w:highlight w:val="none"/>
        </w:rPr>
        <w:t>3.9.5.4接口</w:t>
      </w:r>
      <w:r>
        <w:rPr>
          <w:rFonts w:hint="eastAsia" w:ascii="Times New Roman" w:hAnsi="Times New Roman" w:eastAsia="宋体" w:cs="Times New Roman"/>
          <w:b/>
          <w:bCs/>
          <w:color w:val="auto"/>
          <w:sz w:val="28"/>
          <w:szCs w:val="28"/>
          <w:highlight w:val="none"/>
          <w:lang w:val="sv-SE"/>
        </w:rPr>
        <w:t>安全</w:t>
      </w:r>
    </w:p>
    <w:p w14:paraId="0A0BD0F3">
      <w:pPr>
        <w:pageBreakBefore w:val="0"/>
        <w:kinsoku/>
        <w:wordWrap/>
        <w:overflowPunct/>
        <w:autoSpaceDE/>
        <w:autoSpaceDN/>
        <w:bidi w:val="0"/>
        <w:spacing w:beforeAutospacing="0" w:afterAutospacing="0" w:line="360" w:lineRule="auto"/>
        <w:ind w:firstLine="480"/>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1、认证与授权:实现强认证机制(如OAuth,JWT)，并对访问 API的用户或服务进行细粒度的授权。</w:t>
      </w:r>
    </w:p>
    <w:p w14:paraId="05719D1D">
      <w:pPr>
        <w:pageBreakBefore w:val="0"/>
        <w:kinsoku/>
        <w:wordWrap/>
        <w:overflowPunct/>
        <w:autoSpaceDE/>
        <w:autoSpaceDN/>
        <w:bidi w:val="0"/>
        <w:spacing w:beforeAutospacing="0" w:afterAutospacing="0" w:line="360" w:lineRule="auto"/>
        <w:ind w:firstLine="480"/>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2、输入验证:对所有外部输入进行严格验证，防止SQL注入、XSS等攻击。</w:t>
      </w:r>
    </w:p>
    <w:p w14:paraId="320EB2A8">
      <w:pPr>
        <w:pageBreakBefore w:val="0"/>
        <w:kinsoku/>
        <w:wordWrap/>
        <w:overflowPunct/>
        <w:autoSpaceDE/>
        <w:autoSpaceDN/>
        <w:bidi w:val="0"/>
        <w:spacing w:beforeAutospacing="0" w:afterAutospacing="0" w:line="360" w:lineRule="auto"/>
        <w:ind w:firstLine="480"/>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3、输出编码:在返回响应之前对输出数据进行适当的编码，防止注入攻击。</w:t>
      </w:r>
    </w:p>
    <w:p w14:paraId="42C9E626">
      <w:pPr>
        <w:pageBreakBefore w:val="0"/>
        <w:kinsoku/>
        <w:wordWrap/>
        <w:overflowPunct/>
        <w:autoSpaceDE/>
        <w:autoSpaceDN/>
        <w:bidi w:val="0"/>
        <w:spacing w:beforeAutospacing="0" w:afterAutospacing="0" w:line="360" w:lineRule="auto"/>
        <w:ind w:firstLine="480"/>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4、限流与防滥用:通过速率限制和访问控制防止接口被滥用。</w:t>
      </w:r>
    </w:p>
    <w:p w14:paraId="6AB41486">
      <w:pPr>
        <w:pageBreakBefore w:val="0"/>
        <w:kinsoku/>
        <w:wordWrap/>
        <w:overflowPunct/>
        <w:autoSpaceDE/>
        <w:autoSpaceDN/>
        <w:bidi w:val="0"/>
        <w:spacing w:beforeAutospacing="0" w:afterAutospacing="0" w:line="360" w:lineRule="auto"/>
        <w:ind w:firstLine="480"/>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5、日志记录:详细记录所有接口调用，以便于审计和异常检测。</w:t>
      </w:r>
    </w:p>
    <w:p w14:paraId="1476CA05">
      <w:pPr>
        <w:pageBreakBefore w:val="0"/>
        <w:kinsoku/>
        <w:wordWrap/>
        <w:overflowPunct/>
        <w:autoSpaceDE/>
        <w:autoSpaceDN/>
        <w:bidi w:val="0"/>
        <w:spacing w:beforeAutospacing="0" w:afterAutospacing="0" w:line="360" w:lineRule="auto"/>
        <w:ind w:firstLine="480"/>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6、加密传输:使用TLS/SSL等协议加密敏感信息的传输，保护数据不被截取。</w:t>
      </w:r>
    </w:p>
    <w:p w14:paraId="20CB3017">
      <w:pPr>
        <w:pageBreakBefore w:val="0"/>
        <w:kinsoku/>
        <w:wordWrap/>
        <w:overflowPunct/>
        <w:autoSpaceDE/>
        <w:autoSpaceDN/>
        <w:bidi w:val="0"/>
        <w:spacing w:beforeAutospacing="0" w:afterAutospacing="0" w:line="360" w:lineRule="auto"/>
        <w:ind w:firstLine="480"/>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7、安全性测试:定期进行安全性测试，包括但不限于渗透测试和安全扫描。</w:t>
      </w:r>
    </w:p>
    <w:p w14:paraId="0FE4D08F">
      <w:pPr>
        <w:keepNext/>
        <w:keepLines/>
        <w:pageBreakBefore w:val="0"/>
        <w:tabs>
          <w:tab w:val="left" w:pos="420"/>
        </w:tabs>
        <w:kinsoku/>
        <w:wordWrap/>
        <w:overflowPunct/>
        <w:topLinePunct/>
        <w:autoSpaceDE/>
        <w:autoSpaceDN/>
        <w:bidi w:val="0"/>
        <w:adjustRightInd w:val="0"/>
        <w:snapToGrid w:val="0"/>
        <w:spacing w:beforeAutospacing="0" w:afterAutospacing="0" w:line="360" w:lineRule="auto"/>
        <w:textAlignment w:val="center"/>
        <w:outlineLvl w:val="3"/>
        <w:rPr>
          <w:rFonts w:ascii="Times New Roman" w:hAnsi="Times New Roman" w:eastAsia="宋体" w:cs="Times New Roman"/>
          <w:b/>
          <w:bCs/>
          <w:color w:val="auto"/>
          <w:sz w:val="28"/>
          <w:szCs w:val="28"/>
          <w:highlight w:val="none"/>
          <w:lang w:val="sv-SE"/>
        </w:rPr>
      </w:pPr>
      <w:r>
        <w:rPr>
          <w:rFonts w:hint="eastAsia" w:ascii="Times New Roman" w:hAnsi="Times New Roman" w:eastAsia="宋体" w:cs="Times New Roman"/>
          <w:b/>
          <w:bCs/>
          <w:color w:val="auto"/>
          <w:sz w:val="28"/>
          <w:szCs w:val="28"/>
          <w:highlight w:val="none"/>
        </w:rPr>
        <w:t>3.9.5.5组件</w:t>
      </w:r>
      <w:r>
        <w:rPr>
          <w:rFonts w:hint="eastAsia" w:ascii="Times New Roman" w:hAnsi="Times New Roman" w:eastAsia="宋体" w:cs="Times New Roman"/>
          <w:b/>
          <w:bCs/>
          <w:color w:val="auto"/>
          <w:sz w:val="28"/>
          <w:szCs w:val="28"/>
          <w:highlight w:val="none"/>
          <w:lang w:val="sv-SE"/>
        </w:rPr>
        <w:t>安全</w:t>
      </w:r>
    </w:p>
    <w:p w14:paraId="01CF640B">
      <w:pPr>
        <w:pageBreakBefore w:val="0"/>
        <w:kinsoku/>
        <w:wordWrap/>
        <w:overflowPunct/>
        <w:autoSpaceDE/>
        <w:autoSpaceDN/>
        <w:bidi w:val="0"/>
        <w:spacing w:beforeAutospacing="0" w:afterAutospacing="0" w:line="360" w:lineRule="auto"/>
        <w:ind w:firstLine="480"/>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1、组件选择:选择信誉良好且维护活跃的开源或商业组件。</w:t>
      </w:r>
    </w:p>
    <w:p w14:paraId="2980B8E2">
      <w:pPr>
        <w:pageBreakBefore w:val="0"/>
        <w:kinsoku/>
        <w:wordWrap/>
        <w:overflowPunct/>
        <w:autoSpaceDE/>
        <w:autoSpaceDN/>
        <w:bidi w:val="0"/>
        <w:spacing w:beforeAutospacing="0" w:afterAutospacing="0" w:line="360" w:lineRule="auto"/>
        <w:ind w:firstLine="480"/>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2、安全配置:按照最佳实践配置所有使用的组件，避免使用默认设置。</w:t>
      </w:r>
    </w:p>
    <w:p w14:paraId="5C5AE114">
      <w:pPr>
        <w:pageBreakBefore w:val="0"/>
        <w:kinsoku/>
        <w:wordWrap/>
        <w:overflowPunct/>
        <w:autoSpaceDE/>
        <w:autoSpaceDN/>
        <w:bidi w:val="0"/>
        <w:spacing w:beforeAutospacing="0" w:afterAutospacing="0" w:line="360" w:lineRule="auto"/>
        <w:ind w:firstLine="480"/>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3、补丁管理:及时应用组件的安全更新和补丁。</w:t>
      </w:r>
    </w:p>
    <w:p w14:paraId="6C9AEEE6">
      <w:pPr>
        <w:pageBreakBefore w:val="0"/>
        <w:kinsoku/>
        <w:wordWrap/>
        <w:overflowPunct/>
        <w:autoSpaceDE/>
        <w:autoSpaceDN/>
        <w:bidi w:val="0"/>
        <w:spacing w:beforeAutospacing="0" w:afterAutospacing="0" w:line="360" w:lineRule="auto"/>
        <w:ind w:firstLine="480"/>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4、隔离原则:尽可能将不同功能的组件隔离开，限制它们之间的交互，减少攻击面。</w:t>
      </w:r>
    </w:p>
    <w:p w14:paraId="2BEF5999">
      <w:pPr>
        <w:pageBreakBefore w:val="0"/>
        <w:kinsoku/>
        <w:wordWrap/>
        <w:overflowPunct/>
        <w:autoSpaceDE/>
        <w:autoSpaceDN/>
        <w:bidi w:val="0"/>
        <w:spacing w:beforeAutospacing="0" w:afterAutospacing="0" w:line="360" w:lineRule="auto"/>
        <w:ind w:firstLine="480"/>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5、最小权限原则:为每个组件分配最小必要的权限，以降低潜在风险。</w:t>
      </w:r>
    </w:p>
    <w:p w14:paraId="2E0A1AC6">
      <w:pPr>
        <w:keepNext/>
        <w:keepLines/>
        <w:pageBreakBefore w:val="0"/>
        <w:tabs>
          <w:tab w:val="left" w:pos="420"/>
        </w:tabs>
        <w:kinsoku/>
        <w:wordWrap/>
        <w:overflowPunct/>
        <w:topLinePunct/>
        <w:autoSpaceDE/>
        <w:autoSpaceDN/>
        <w:bidi w:val="0"/>
        <w:adjustRightInd w:val="0"/>
        <w:snapToGrid w:val="0"/>
        <w:spacing w:beforeAutospacing="0" w:afterAutospacing="0" w:line="360" w:lineRule="auto"/>
        <w:textAlignment w:val="center"/>
        <w:outlineLvl w:val="3"/>
        <w:rPr>
          <w:rFonts w:ascii="Times New Roman" w:hAnsi="Times New Roman" w:eastAsia="宋体" w:cs="Times New Roman"/>
          <w:b/>
          <w:bCs/>
          <w:color w:val="auto"/>
          <w:sz w:val="28"/>
          <w:szCs w:val="28"/>
          <w:highlight w:val="none"/>
          <w:lang w:val="sv-SE"/>
        </w:rPr>
      </w:pPr>
      <w:r>
        <w:rPr>
          <w:rFonts w:ascii="Times New Roman" w:hAnsi="Times New Roman" w:eastAsia="宋体" w:cs="Times New Roman"/>
          <w:b/>
          <w:bCs/>
          <w:color w:val="auto"/>
          <w:sz w:val="28"/>
          <w:szCs w:val="28"/>
          <w:highlight w:val="none"/>
        </w:rPr>
        <w:t>3.9.5.6</w:t>
      </w:r>
      <w:r>
        <w:rPr>
          <w:rFonts w:hint="eastAsia" w:ascii="Times New Roman" w:hAnsi="Times New Roman" w:eastAsia="宋体" w:cs="Times New Roman"/>
          <w:b/>
          <w:bCs/>
          <w:color w:val="auto"/>
          <w:sz w:val="28"/>
          <w:szCs w:val="28"/>
          <w:highlight w:val="none"/>
          <w:lang w:val="sv-SE"/>
        </w:rPr>
        <w:t>数据库安全</w:t>
      </w:r>
    </w:p>
    <w:p w14:paraId="5B34585C">
      <w:pPr>
        <w:pageBreakBefore w:val="0"/>
        <w:kinsoku/>
        <w:wordWrap/>
        <w:overflowPunct/>
        <w:autoSpaceDE/>
        <w:autoSpaceDN/>
        <w:bidi w:val="0"/>
        <w:spacing w:beforeAutospacing="0" w:afterAutospacing="0" w:line="360" w:lineRule="auto"/>
        <w:ind w:firstLine="480"/>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禁止采用默认的管理员账号和密码，避免非法用户进入网络后通过直接调用监控末端设备查看相关信息。</w:t>
      </w:r>
    </w:p>
    <w:p w14:paraId="219661CC">
      <w:pPr>
        <w:keepNext/>
        <w:keepLines/>
        <w:pageBreakBefore w:val="0"/>
        <w:tabs>
          <w:tab w:val="left" w:pos="1151"/>
        </w:tabs>
        <w:kinsoku/>
        <w:wordWrap/>
        <w:overflowPunct/>
        <w:topLinePunct/>
        <w:autoSpaceDE/>
        <w:autoSpaceDN/>
        <w:bidi w:val="0"/>
        <w:adjustRightInd w:val="0"/>
        <w:snapToGrid w:val="0"/>
        <w:spacing w:beforeAutospacing="0" w:afterAutospacing="0" w:line="360" w:lineRule="auto"/>
        <w:jc w:val="left"/>
        <w:textAlignment w:val="center"/>
        <w:outlineLvl w:val="2"/>
        <w:rPr>
          <w:rFonts w:hint="eastAsia" w:ascii="宋体" w:hAnsi="宋体" w:eastAsia="宋体" w:cs="Times New Roman"/>
          <w:b/>
          <w:bCs/>
          <w:color w:val="auto"/>
          <w:sz w:val="28"/>
          <w:szCs w:val="28"/>
          <w:highlight w:val="none"/>
          <w:lang w:val="sv-SE"/>
        </w:rPr>
      </w:pPr>
      <w:r>
        <w:rPr>
          <w:rFonts w:hint="eastAsia" w:ascii="宋体" w:hAnsi="宋体" w:eastAsia="宋体" w:cs="Times New Roman"/>
          <w:b/>
          <w:bCs/>
          <w:color w:val="auto"/>
          <w:sz w:val="28"/>
          <w:szCs w:val="28"/>
          <w:highlight w:val="none"/>
        </w:rPr>
        <w:t>3.9.6</w:t>
      </w:r>
      <w:r>
        <w:rPr>
          <w:rFonts w:hint="eastAsia" w:ascii="宋体" w:hAnsi="宋体" w:eastAsia="宋体" w:cs="Times New Roman"/>
          <w:b/>
          <w:bCs/>
          <w:color w:val="auto"/>
          <w:sz w:val="28"/>
          <w:szCs w:val="28"/>
          <w:highlight w:val="none"/>
          <w:lang w:val="sv-SE"/>
        </w:rPr>
        <w:t>应用和</w:t>
      </w:r>
      <w:r>
        <w:rPr>
          <w:rFonts w:hint="eastAsia" w:ascii="宋体" w:hAnsi="宋体" w:eastAsia="宋体" w:cs="Times New Roman"/>
          <w:b/>
          <w:bCs/>
          <w:color w:val="auto"/>
          <w:sz w:val="28"/>
          <w:szCs w:val="28"/>
          <w:highlight w:val="none"/>
        </w:rPr>
        <w:t>数据</w:t>
      </w:r>
      <w:r>
        <w:rPr>
          <w:rFonts w:hint="eastAsia" w:ascii="宋体" w:hAnsi="宋体" w:eastAsia="宋体" w:cs="Times New Roman"/>
          <w:b/>
          <w:bCs/>
          <w:color w:val="auto"/>
          <w:sz w:val="28"/>
          <w:szCs w:val="28"/>
          <w:highlight w:val="none"/>
          <w:lang w:val="sv-SE"/>
        </w:rPr>
        <w:t>安全</w:t>
      </w:r>
    </w:p>
    <w:p w14:paraId="2AD1B6B0">
      <w:pPr>
        <w:keepNext/>
        <w:keepLines/>
        <w:pageBreakBefore w:val="0"/>
        <w:tabs>
          <w:tab w:val="left" w:pos="420"/>
        </w:tabs>
        <w:kinsoku/>
        <w:wordWrap/>
        <w:overflowPunct/>
        <w:topLinePunct/>
        <w:autoSpaceDE/>
        <w:autoSpaceDN/>
        <w:bidi w:val="0"/>
        <w:adjustRightInd w:val="0"/>
        <w:snapToGrid w:val="0"/>
        <w:spacing w:beforeAutospacing="0" w:afterAutospacing="0" w:line="360" w:lineRule="auto"/>
        <w:textAlignment w:val="center"/>
        <w:outlineLvl w:val="3"/>
        <w:rPr>
          <w:rFonts w:ascii="Times New Roman" w:hAnsi="Times New Roman" w:eastAsia="宋体" w:cs="Times New Roman"/>
          <w:b/>
          <w:bCs/>
          <w:color w:val="auto"/>
          <w:sz w:val="24"/>
          <w:highlight w:val="none"/>
        </w:rPr>
      </w:pPr>
      <w:r>
        <w:rPr>
          <w:rFonts w:hint="eastAsia" w:ascii="Times New Roman" w:hAnsi="Times New Roman" w:eastAsia="宋体" w:cs="Times New Roman"/>
          <w:b/>
          <w:bCs/>
          <w:color w:val="auto"/>
          <w:sz w:val="24"/>
          <w:highlight w:val="none"/>
        </w:rPr>
        <w:t>3.9.6.1数据安全</w:t>
      </w:r>
    </w:p>
    <w:p w14:paraId="2855FD40">
      <w:pPr>
        <w:pageBreakBefore w:val="0"/>
        <w:kinsoku/>
        <w:wordWrap/>
        <w:overflowPunct/>
        <w:autoSpaceDE/>
        <w:autoSpaceDN/>
        <w:bidi w:val="0"/>
        <w:spacing w:beforeAutospacing="0" w:afterAutospacing="0" w:line="360" w:lineRule="auto"/>
        <w:ind w:firstLine="480"/>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系统数据不涉及商业秘密，涉及个人信息，采用身份认证、权限控制、加密存储、加密传输、数据防泄密等技术，加强本系统数据机密性及安全性防护：</w:t>
      </w:r>
    </w:p>
    <w:p w14:paraId="1C159BCB">
      <w:pPr>
        <w:pageBreakBefore w:val="0"/>
        <w:kinsoku/>
        <w:wordWrap/>
        <w:overflowPunct/>
        <w:autoSpaceDE/>
        <w:autoSpaceDN/>
        <w:bidi w:val="0"/>
        <w:spacing w:beforeAutospacing="0" w:afterAutospacing="0" w:line="360" w:lineRule="auto"/>
        <w:ind w:firstLine="480"/>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1、通过对数据库表设置完整性约束，如 Check、NOTNULL、Unique、Primary、Foreignkey来保证数据的完整性。</w:t>
      </w:r>
    </w:p>
    <w:p w14:paraId="0542A328">
      <w:pPr>
        <w:pageBreakBefore w:val="0"/>
        <w:kinsoku/>
        <w:wordWrap/>
        <w:overflowPunct/>
        <w:autoSpaceDE/>
        <w:autoSpaceDN/>
        <w:bidi w:val="0"/>
        <w:spacing w:beforeAutospacing="0" w:afterAutospacing="0" w:line="360" w:lineRule="auto"/>
        <w:ind w:firstLine="480"/>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2、宜使用国产密码技术对本系统数据库表访问权限进行控制。</w:t>
      </w:r>
    </w:p>
    <w:p w14:paraId="7634E7F5">
      <w:pPr>
        <w:pageBreakBefore w:val="0"/>
        <w:kinsoku/>
        <w:wordWrap/>
        <w:overflowPunct/>
        <w:autoSpaceDE/>
        <w:autoSpaceDN/>
        <w:bidi w:val="0"/>
        <w:spacing w:beforeAutospacing="0" w:afterAutospacing="0" w:line="360" w:lineRule="auto"/>
        <w:ind w:firstLine="480"/>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3、宜采用国产密码技术对本系统的重要数据进行加密存储，防止数据库被黑客攻击导致系统机密泄漏。</w:t>
      </w:r>
    </w:p>
    <w:p w14:paraId="4554E0D2">
      <w:pPr>
        <w:pageBreakBefore w:val="0"/>
        <w:kinsoku/>
        <w:wordWrap/>
        <w:overflowPunct/>
        <w:autoSpaceDE/>
        <w:autoSpaceDN/>
        <w:bidi w:val="0"/>
        <w:spacing w:beforeAutospacing="0" w:afterAutospacing="0" w:line="360" w:lineRule="auto"/>
        <w:ind w:firstLine="480"/>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4、宜使用国产密码技术保证本系统重要数据传输过程中的机密性及完整性。</w:t>
      </w:r>
    </w:p>
    <w:p w14:paraId="72913CD2">
      <w:pPr>
        <w:pageBreakBefore w:val="0"/>
        <w:kinsoku/>
        <w:wordWrap/>
        <w:overflowPunct/>
        <w:autoSpaceDE/>
        <w:autoSpaceDN/>
        <w:bidi w:val="0"/>
        <w:spacing w:beforeAutospacing="0" w:afterAutospacing="0" w:line="360" w:lineRule="auto"/>
        <w:ind w:firstLine="480"/>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5、仅采集和保存业务必需的用户个人信息；禁止未授权访问、使用用户个人信息。</w:t>
      </w:r>
    </w:p>
    <w:p w14:paraId="698F6BF4">
      <w:pPr>
        <w:pageBreakBefore w:val="0"/>
        <w:kinsoku/>
        <w:wordWrap/>
        <w:overflowPunct/>
        <w:autoSpaceDE/>
        <w:autoSpaceDN/>
        <w:bidi w:val="0"/>
        <w:spacing w:beforeAutospacing="0" w:afterAutospacing="0" w:line="360" w:lineRule="auto"/>
        <w:ind w:firstLine="480"/>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6、宜通过数据防泄密网关，减少敏感数据泄密。</w:t>
      </w:r>
    </w:p>
    <w:p w14:paraId="0D028488">
      <w:pPr>
        <w:pageBreakBefore w:val="0"/>
        <w:kinsoku/>
        <w:wordWrap/>
        <w:overflowPunct/>
        <w:autoSpaceDE/>
        <w:autoSpaceDN/>
        <w:bidi w:val="0"/>
        <w:spacing w:beforeAutospacing="0" w:afterAutospacing="0" w:line="360" w:lineRule="auto"/>
        <w:ind w:firstLine="480"/>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7、采用数据本地备份或者数据灾备技术，确保本系统核心数据安全，确保在某个存储设备故障或灾害发生时，数据不会丢失。</w:t>
      </w:r>
    </w:p>
    <w:p w14:paraId="52C3455A">
      <w:pPr>
        <w:pageBreakBefore w:val="0"/>
        <w:kinsoku/>
        <w:wordWrap/>
        <w:overflowPunct/>
        <w:autoSpaceDE/>
        <w:autoSpaceDN/>
        <w:bidi w:val="0"/>
        <w:spacing w:beforeAutospacing="0" w:afterAutospacing="0" w:line="360" w:lineRule="auto"/>
        <w:ind w:firstLine="480"/>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8、存储设备报废前按照规定宜通过消磁粉碎一体机进行信息彻底清除，确保数据不能被恢复、还原。</w:t>
      </w:r>
    </w:p>
    <w:p w14:paraId="3B552638">
      <w:pPr>
        <w:pageBreakBefore w:val="0"/>
        <w:kinsoku/>
        <w:wordWrap/>
        <w:overflowPunct/>
        <w:autoSpaceDE/>
        <w:autoSpaceDN/>
        <w:bidi w:val="0"/>
        <w:spacing w:beforeAutospacing="0" w:afterAutospacing="0" w:line="360" w:lineRule="auto"/>
        <w:ind w:firstLine="480"/>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9、本系统日志信息宜保持6个月以上。并采用国产密码技术实现本系统日志信息完整性保护。</w:t>
      </w:r>
    </w:p>
    <w:p w14:paraId="333DAB94">
      <w:pPr>
        <w:pageBreakBefore w:val="0"/>
        <w:kinsoku/>
        <w:wordWrap/>
        <w:overflowPunct/>
        <w:autoSpaceDE/>
        <w:autoSpaceDN/>
        <w:bidi w:val="0"/>
        <w:spacing w:beforeAutospacing="0" w:afterAutospacing="0" w:line="360" w:lineRule="auto"/>
        <w:ind w:firstLine="480"/>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10、宜采用国产密码技术实现本系统的加载和卸载安全控制。</w:t>
      </w:r>
    </w:p>
    <w:p w14:paraId="4BC403CD">
      <w:pPr>
        <w:pageBreakBefore w:val="0"/>
        <w:kinsoku/>
        <w:wordWrap/>
        <w:overflowPunct/>
        <w:autoSpaceDE/>
        <w:autoSpaceDN/>
        <w:bidi w:val="0"/>
        <w:spacing w:beforeAutospacing="0" w:afterAutospacing="0" w:line="360" w:lineRule="auto"/>
        <w:ind w:firstLine="480"/>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11、实现数据库访问审计。</w:t>
      </w:r>
    </w:p>
    <w:p w14:paraId="56DA4914">
      <w:pPr>
        <w:keepNext/>
        <w:keepLines/>
        <w:pageBreakBefore w:val="0"/>
        <w:tabs>
          <w:tab w:val="left" w:pos="420"/>
          <w:tab w:val="left" w:pos="1008"/>
        </w:tabs>
        <w:kinsoku/>
        <w:wordWrap/>
        <w:overflowPunct/>
        <w:topLinePunct/>
        <w:autoSpaceDE/>
        <w:autoSpaceDN/>
        <w:bidi w:val="0"/>
        <w:adjustRightInd w:val="0"/>
        <w:snapToGrid w:val="0"/>
        <w:spacing w:beforeAutospacing="0" w:afterAutospacing="0" w:line="360" w:lineRule="auto"/>
        <w:textAlignment w:val="center"/>
        <w:outlineLvl w:val="4"/>
        <w:rPr>
          <w:rFonts w:ascii="Times New Roman" w:hAnsi="Times New Roman" w:eastAsia="宋体" w:cs="Times New Roman"/>
          <w:b/>
          <w:bCs/>
          <w:color w:val="auto"/>
          <w:sz w:val="24"/>
          <w:szCs w:val="28"/>
          <w:highlight w:val="none"/>
        </w:rPr>
      </w:pPr>
      <w:bookmarkStart w:id="56" w:name="_Toc24016169"/>
      <w:bookmarkStart w:id="57" w:name="_Toc29824877"/>
      <w:r>
        <w:rPr>
          <w:rFonts w:ascii="Times New Roman" w:hAnsi="Times New Roman" w:eastAsia="宋体" w:cs="Times New Roman"/>
          <w:b/>
          <w:bCs/>
          <w:color w:val="auto"/>
          <w:sz w:val="24"/>
          <w:szCs w:val="28"/>
          <w:highlight w:val="none"/>
        </w:rPr>
        <w:t>3.9.6.1.1</w:t>
      </w:r>
      <w:r>
        <w:rPr>
          <w:rFonts w:hint="eastAsia" w:ascii="Times New Roman" w:hAnsi="Times New Roman" w:eastAsia="宋体" w:cs="Times New Roman"/>
          <w:b/>
          <w:bCs/>
          <w:color w:val="auto"/>
          <w:sz w:val="24"/>
          <w:szCs w:val="28"/>
          <w:highlight w:val="none"/>
        </w:rPr>
        <w:t xml:space="preserve">数据分类分级设计 </w:t>
      </w:r>
    </w:p>
    <w:p w14:paraId="2CCB9693">
      <w:pPr>
        <w:pageBreakBefore w:val="0"/>
        <w:kinsoku/>
        <w:wordWrap/>
        <w:overflowPunct/>
        <w:autoSpaceDE/>
        <w:autoSpaceDN/>
        <w:bidi w:val="0"/>
        <w:spacing w:beforeAutospacing="0" w:afterAutospacing="0" w:line="360" w:lineRule="auto"/>
        <w:ind w:firstLine="480"/>
        <w:rPr>
          <w:rFonts w:ascii="Times New Roman" w:hAnsi="Times New Roman" w:eastAsia="宋体" w:cs="Times New Roman"/>
          <w:color w:val="auto"/>
          <w:sz w:val="24"/>
          <w:highlight w:val="none"/>
        </w:rPr>
      </w:pPr>
      <w:r>
        <w:rPr>
          <w:rFonts w:hint="eastAsia" w:ascii="Times New Roman" w:hAnsi="Times New Roman" w:eastAsia="宋体" w:cs="Times New Roman"/>
          <w:color w:val="auto"/>
          <w:sz w:val="24"/>
          <w:highlight w:val="none"/>
        </w:rPr>
        <w:t>遵循数据安全合规保护要求及数据安全成熟度模型，结合公司敏感数据分类分级规范，在系统/平台设计之初对业务系统的数据分级分类，为后续数据保护策略提供基础，建立起完善数据全生命周期的安全保障措施，确保数据采集、传输、存储、使用、共享、销毁全过程中的安全。（数据分级分类过程及标准参考《南方电网数据安全总体要求技术规范》）</w:t>
      </w:r>
    </w:p>
    <w:p w14:paraId="3A5DAA4C">
      <w:pPr>
        <w:keepNext/>
        <w:keepLines/>
        <w:pageBreakBefore w:val="0"/>
        <w:tabs>
          <w:tab w:val="left" w:pos="420"/>
          <w:tab w:val="left" w:pos="1008"/>
        </w:tabs>
        <w:kinsoku/>
        <w:wordWrap/>
        <w:overflowPunct/>
        <w:topLinePunct/>
        <w:autoSpaceDE/>
        <w:autoSpaceDN/>
        <w:bidi w:val="0"/>
        <w:adjustRightInd w:val="0"/>
        <w:snapToGrid w:val="0"/>
        <w:spacing w:beforeAutospacing="0" w:afterAutospacing="0" w:line="360" w:lineRule="auto"/>
        <w:textAlignment w:val="center"/>
        <w:outlineLvl w:val="4"/>
        <w:rPr>
          <w:rFonts w:ascii="Times New Roman" w:hAnsi="Times New Roman" w:eastAsia="宋体" w:cs="Times New Roman"/>
          <w:b/>
          <w:bCs/>
          <w:color w:val="auto"/>
          <w:sz w:val="24"/>
          <w:szCs w:val="28"/>
          <w:highlight w:val="none"/>
        </w:rPr>
      </w:pPr>
      <w:r>
        <w:rPr>
          <w:rFonts w:hint="eastAsia" w:ascii="Times New Roman" w:hAnsi="Times New Roman" w:eastAsia="宋体" w:cs="Times New Roman"/>
          <w:b/>
          <w:bCs/>
          <w:color w:val="auto"/>
          <w:sz w:val="24"/>
          <w:szCs w:val="28"/>
          <w:highlight w:val="none"/>
        </w:rPr>
        <w:t>3.9.6.1.2数据安全防护技术设计</w:t>
      </w:r>
    </w:p>
    <w:p w14:paraId="5AFE5CE4">
      <w:pPr>
        <w:pageBreakBefore w:val="0"/>
        <w:tabs>
          <w:tab w:val="left" w:pos="1151"/>
        </w:tabs>
        <w:kinsoku/>
        <w:wordWrap/>
        <w:overflowPunct/>
        <w:autoSpaceDE/>
        <w:autoSpaceDN/>
        <w:bidi w:val="0"/>
        <w:spacing w:beforeAutospacing="0" w:afterAutospacing="0" w:line="360" w:lineRule="auto"/>
        <w:outlineLvl w:val="5"/>
        <w:rPr>
          <w:rFonts w:ascii="Times New Roman" w:hAnsi="Times New Roman" w:eastAsia="宋体" w:cs="Times New Roman"/>
          <w:b/>
          <w:bCs/>
          <w:color w:val="auto"/>
          <w:sz w:val="24"/>
          <w:highlight w:val="none"/>
        </w:rPr>
      </w:pPr>
      <w:r>
        <w:rPr>
          <w:rFonts w:ascii="Times New Roman" w:hAnsi="Times New Roman" w:eastAsia="宋体" w:cs="Times New Roman"/>
          <w:b/>
          <w:bCs/>
          <w:color w:val="auto"/>
          <w:sz w:val="24"/>
          <w:highlight w:val="none"/>
        </w:rPr>
        <w:t xml:space="preserve">3.9.6.1.2.1 </w:t>
      </w:r>
      <w:r>
        <w:rPr>
          <w:rFonts w:hint="eastAsia" w:ascii="Times New Roman" w:hAnsi="Times New Roman" w:eastAsia="宋体" w:cs="Times New Roman"/>
          <w:b/>
          <w:bCs/>
          <w:color w:val="auto"/>
          <w:sz w:val="24"/>
          <w:highlight w:val="none"/>
        </w:rPr>
        <w:t>数据传输机密性及完整性设计</w:t>
      </w:r>
    </w:p>
    <w:p w14:paraId="694D4AFA">
      <w:pPr>
        <w:pageBreakBefore w:val="0"/>
        <w:kinsoku/>
        <w:wordWrap/>
        <w:overflowPunct/>
        <w:autoSpaceDE/>
        <w:autoSpaceDN/>
        <w:bidi w:val="0"/>
        <w:spacing w:beforeAutospacing="0" w:afterAutospacing="0" w:line="360" w:lineRule="auto"/>
        <w:ind w:firstLine="480"/>
        <w:rPr>
          <w:rFonts w:ascii="Times New Roman" w:hAnsi="Times New Roman" w:eastAsia="宋体" w:cs="Times New Roman"/>
          <w:color w:val="auto"/>
          <w:sz w:val="24"/>
          <w:highlight w:val="none"/>
        </w:rPr>
      </w:pPr>
      <w:r>
        <w:rPr>
          <w:rFonts w:hint="eastAsia" w:ascii="Times New Roman" w:hAnsi="Times New Roman" w:eastAsia="宋体" w:cs="Times New Roman"/>
          <w:color w:val="auto"/>
          <w:sz w:val="24"/>
          <w:highlight w:val="none"/>
        </w:rPr>
        <w:t xml:space="preserve">针对涉及到客户重要信息加密等具有传输机密要求场景，通过调用统一密码服务对重要数据在传输过程中进行加密和签名，使用 </w:t>
      </w:r>
      <w:r>
        <w:rPr>
          <w:rFonts w:ascii="Times New Roman" w:hAnsi="Times New Roman" w:eastAsia="宋体" w:cs="Times New Roman"/>
          <w:color w:val="auto"/>
          <w:sz w:val="24"/>
          <w:highlight w:val="none"/>
        </w:rPr>
        <w:t xml:space="preserve">SM3 </w:t>
      </w:r>
      <w:r>
        <w:rPr>
          <w:rFonts w:hint="eastAsia" w:ascii="Times New Roman" w:hAnsi="Times New Roman" w:eastAsia="宋体" w:cs="Times New Roman"/>
          <w:color w:val="auto"/>
          <w:sz w:val="24"/>
          <w:highlight w:val="none"/>
        </w:rPr>
        <w:t>国密签名算法、</w:t>
      </w:r>
      <w:r>
        <w:rPr>
          <w:rFonts w:ascii="Times New Roman" w:hAnsi="Times New Roman" w:eastAsia="宋体" w:cs="Times New Roman"/>
          <w:color w:val="auto"/>
          <w:sz w:val="24"/>
          <w:highlight w:val="none"/>
        </w:rPr>
        <w:t xml:space="preserve">SM2 </w:t>
      </w:r>
      <w:r>
        <w:rPr>
          <w:rFonts w:hint="eastAsia" w:ascii="Times New Roman" w:hAnsi="Times New Roman" w:eastAsia="宋体" w:cs="Times New Roman"/>
          <w:color w:val="auto"/>
          <w:sz w:val="24"/>
          <w:highlight w:val="none"/>
        </w:rPr>
        <w:t>非对称算法、</w:t>
      </w:r>
      <w:r>
        <w:rPr>
          <w:rFonts w:ascii="Times New Roman" w:hAnsi="Times New Roman" w:eastAsia="宋体" w:cs="Times New Roman"/>
          <w:color w:val="auto"/>
          <w:sz w:val="24"/>
          <w:highlight w:val="none"/>
        </w:rPr>
        <w:t xml:space="preserve">SM4 </w:t>
      </w:r>
      <w:r>
        <w:rPr>
          <w:rFonts w:hint="eastAsia" w:ascii="Times New Roman" w:hAnsi="Times New Roman" w:eastAsia="宋体" w:cs="Times New Roman"/>
          <w:color w:val="auto"/>
          <w:sz w:val="24"/>
          <w:highlight w:val="none"/>
        </w:rPr>
        <w:t>对称算法。保障数据传输过程的机密性和完整性。</w:t>
      </w:r>
    </w:p>
    <w:p w14:paraId="709A2335">
      <w:pPr>
        <w:pageBreakBefore w:val="0"/>
        <w:tabs>
          <w:tab w:val="left" w:pos="1151"/>
        </w:tabs>
        <w:kinsoku/>
        <w:wordWrap/>
        <w:overflowPunct/>
        <w:autoSpaceDE/>
        <w:autoSpaceDN/>
        <w:bidi w:val="0"/>
        <w:spacing w:beforeAutospacing="0" w:afterAutospacing="0" w:line="360" w:lineRule="auto"/>
        <w:outlineLvl w:val="5"/>
        <w:rPr>
          <w:rFonts w:ascii="Times New Roman" w:hAnsi="Times New Roman" w:eastAsia="宋体" w:cs="Times New Roman"/>
          <w:b/>
          <w:bCs/>
          <w:color w:val="auto"/>
          <w:sz w:val="24"/>
          <w:highlight w:val="none"/>
        </w:rPr>
      </w:pPr>
      <w:r>
        <w:rPr>
          <w:rFonts w:hint="eastAsia" w:ascii="Times New Roman" w:hAnsi="Times New Roman" w:eastAsia="宋体" w:cs="Times New Roman"/>
          <w:b/>
          <w:bCs/>
          <w:color w:val="auto"/>
          <w:sz w:val="24"/>
          <w:highlight w:val="none"/>
        </w:rPr>
        <w:t>3.9.6.1.2.2数据存储机密性及完整性设计</w:t>
      </w:r>
    </w:p>
    <w:p w14:paraId="256CAB75">
      <w:pPr>
        <w:pageBreakBefore w:val="0"/>
        <w:kinsoku/>
        <w:wordWrap/>
        <w:overflowPunct/>
        <w:autoSpaceDE/>
        <w:autoSpaceDN/>
        <w:bidi w:val="0"/>
        <w:spacing w:beforeAutospacing="0" w:afterAutospacing="0" w:line="360" w:lineRule="auto"/>
        <w:ind w:firstLine="480"/>
        <w:rPr>
          <w:rFonts w:ascii="Times New Roman" w:hAnsi="Times New Roman" w:eastAsia="宋体" w:cs="Times New Roman"/>
          <w:color w:val="auto"/>
          <w:sz w:val="24"/>
          <w:highlight w:val="none"/>
        </w:rPr>
      </w:pPr>
      <w:r>
        <w:rPr>
          <w:rFonts w:hint="eastAsia" w:ascii="Times New Roman" w:hAnsi="Times New Roman" w:eastAsia="宋体" w:cs="Times New Roman"/>
          <w:color w:val="auto"/>
          <w:sz w:val="24"/>
          <w:highlight w:val="none"/>
        </w:rPr>
        <w:t xml:space="preserve">针对涉及到客户重要信息加密等具有存储机密要求场景，调用统一密码服务在数据存储时加密入库，使用 </w:t>
      </w:r>
      <w:r>
        <w:rPr>
          <w:rFonts w:ascii="Times New Roman" w:hAnsi="Times New Roman" w:eastAsia="宋体" w:cs="Times New Roman"/>
          <w:color w:val="auto"/>
          <w:sz w:val="24"/>
          <w:highlight w:val="none"/>
        </w:rPr>
        <w:t xml:space="preserve">SM4 </w:t>
      </w:r>
      <w:r>
        <w:rPr>
          <w:rFonts w:hint="eastAsia" w:ascii="Times New Roman" w:hAnsi="Times New Roman" w:eastAsia="宋体" w:cs="Times New Roman"/>
          <w:color w:val="auto"/>
          <w:sz w:val="24"/>
          <w:highlight w:val="none"/>
        </w:rPr>
        <w:t>国密对称算法、国密签名算法保障数据存储的机密性和完整性。</w:t>
      </w:r>
    </w:p>
    <w:p w14:paraId="17AB00E4">
      <w:pPr>
        <w:pageBreakBefore w:val="0"/>
        <w:tabs>
          <w:tab w:val="left" w:pos="1151"/>
        </w:tabs>
        <w:kinsoku/>
        <w:wordWrap/>
        <w:overflowPunct/>
        <w:autoSpaceDE/>
        <w:autoSpaceDN/>
        <w:bidi w:val="0"/>
        <w:spacing w:beforeAutospacing="0" w:afterAutospacing="0" w:line="360" w:lineRule="auto"/>
        <w:outlineLvl w:val="5"/>
        <w:rPr>
          <w:rFonts w:ascii="Times New Roman" w:hAnsi="Times New Roman" w:eastAsia="宋体" w:cs="Times New Roman"/>
          <w:b/>
          <w:bCs/>
          <w:color w:val="auto"/>
          <w:sz w:val="24"/>
          <w:highlight w:val="none"/>
        </w:rPr>
      </w:pPr>
      <w:r>
        <w:rPr>
          <w:rFonts w:ascii="Times New Roman" w:hAnsi="Times New Roman" w:eastAsia="宋体" w:cs="Times New Roman"/>
          <w:b/>
          <w:bCs/>
          <w:color w:val="auto"/>
          <w:sz w:val="24"/>
          <w:highlight w:val="none"/>
        </w:rPr>
        <w:t>3.9.6.1.2.3</w:t>
      </w:r>
      <w:r>
        <w:rPr>
          <w:rFonts w:hint="eastAsia" w:ascii="Times New Roman" w:hAnsi="Times New Roman" w:eastAsia="宋体" w:cs="Times New Roman"/>
          <w:b/>
          <w:bCs/>
          <w:color w:val="auto"/>
          <w:sz w:val="24"/>
          <w:highlight w:val="none"/>
        </w:rPr>
        <w:t>数据共享脱敏安全设计</w:t>
      </w:r>
    </w:p>
    <w:p w14:paraId="64BBB7F8">
      <w:pPr>
        <w:pageBreakBefore w:val="0"/>
        <w:kinsoku/>
        <w:wordWrap/>
        <w:overflowPunct/>
        <w:autoSpaceDE/>
        <w:autoSpaceDN/>
        <w:bidi w:val="0"/>
        <w:spacing w:beforeAutospacing="0" w:afterAutospacing="0" w:line="360" w:lineRule="auto"/>
        <w:ind w:firstLine="480"/>
        <w:rPr>
          <w:rFonts w:ascii="Times New Roman" w:hAnsi="Times New Roman" w:eastAsia="宋体" w:cs="Times New Roman"/>
          <w:color w:val="auto"/>
          <w:sz w:val="24"/>
          <w:highlight w:val="none"/>
        </w:rPr>
      </w:pPr>
      <w:r>
        <w:rPr>
          <w:rFonts w:hint="eastAsia" w:ascii="Times New Roman" w:hAnsi="Times New Roman" w:eastAsia="宋体" w:cs="Times New Roman"/>
          <w:color w:val="auto"/>
          <w:sz w:val="24"/>
          <w:highlight w:val="none"/>
        </w:rPr>
        <w:t>针对涉及对外部共享数据时，需要脱敏的数据通过数据脱敏服务接口发送给脱敏，对于数据中的敏感数据进行脱敏处理（遮蔽/变形/伪装），达到数据的安全应用和方泄露效果。</w:t>
      </w:r>
    </w:p>
    <w:p w14:paraId="5DAEEB00">
      <w:pPr>
        <w:keepNext/>
        <w:keepLines/>
        <w:pageBreakBefore w:val="0"/>
        <w:tabs>
          <w:tab w:val="left" w:pos="420"/>
        </w:tabs>
        <w:kinsoku/>
        <w:wordWrap/>
        <w:overflowPunct/>
        <w:topLinePunct/>
        <w:autoSpaceDE/>
        <w:autoSpaceDN/>
        <w:bidi w:val="0"/>
        <w:adjustRightInd w:val="0"/>
        <w:snapToGrid w:val="0"/>
        <w:spacing w:beforeAutospacing="0" w:afterAutospacing="0" w:line="360" w:lineRule="auto"/>
        <w:textAlignment w:val="center"/>
        <w:outlineLvl w:val="3"/>
        <w:rPr>
          <w:rFonts w:hint="eastAsia" w:ascii="宋体" w:hAnsi="宋体" w:eastAsia="宋体" w:cs="Times New Roman"/>
          <w:b/>
          <w:bCs/>
          <w:color w:val="auto"/>
          <w:sz w:val="28"/>
          <w:szCs w:val="28"/>
          <w:highlight w:val="none"/>
        </w:rPr>
      </w:pPr>
      <w:r>
        <w:rPr>
          <w:rFonts w:hint="eastAsia" w:ascii="宋体" w:hAnsi="宋体" w:eastAsia="宋体" w:cs="Times New Roman"/>
          <w:b/>
          <w:bCs/>
          <w:color w:val="auto"/>
          <w:sz w:val="28"/>
          <w:szCs w:val="28"/>
          <w:highlight w:val="none"/>
        </w:rPr>
        <w:t>3.9.6.2应用安全</w:t>
      </w:r>
      <w:bookmarkEnd w:id="56"/>
      <w:bookmarkEnd w:id="57"/>
    </w:p>
    <w:p w14:paraId="6CDA7171">
      <w:pPr>
        <w:pageBreakBefore w:val="0"/>
        <w:kinsoku/>
        <w:wordWrap/>
        <w:overflowPunct/>
        <w:autoSpaceDE/>
        <w:autoSpaceDN/>
        <w:bidi w:val="0"/>
        <w:spacing w:beforeAutospacing="0" w:afterAutospacing="0" w:line="360" w:lineRule="auto"/>
        <w:ind w:firstLine="480"/>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1、采取三权分立，本系统应具备完善的权限管理，贯穿全系统的分级授权和界面信息操作控制，完整的应用程序日志记录和审计机制。</w:t>
      </w:r>
    </w:p>
    <w:p w14:paraId="41411D34">
      <w:pPr>
        <w:pageBreakBefore w:val="0"/>
        <w:kinsoku/>
        <w:wordWrap/>
        <w:overflowPunct/>
        <w:autoSpaceDE/>
        <w:autoSpaceDN/>
        <w:bidi w:val="0"/>
        <w:spacing w:beforeAutospacing="0" w:afterAutospacing="0" w:line="360" w:lineRule="auto"/>
        <w:ind w:firstLine="480"/>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2、提供访问控制功能，通过角色划分实现各层各级人员对于功能页面的访问控制；依据安全策略控制用户对文件、数据库表等客体的访问；访问控制的覆盖范围应包括与资源访问相关的主体、客体及它们之间的操作；授权主体配置访问控制策略，并严格限制默认账户的访问权限。</w:t>
      </w:r>
    </w:p>
    <w:p w14:paraId="4790863B">
      <w:pPr>
        <w:pageBreakBefore w:val="0"/>
        <w:kinsoku/>
        <w:wordWrap/>
        <w:overflowPunct/>
        <w:autoSpaceDE/>
        <w:autoSpaceDN/>
        <w:bidi w:val="0"/>
        <w:spacing w:beforeAutospacing="0" w:afterAutospacing="0" w:line="360" w:lineRule="auto"/>
        <w:ind w:firstLine="480"/>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3、实现对登录用户的统一身份标识和鉴别，实现身份鉴别信息的防截获、防假冒和防重用，保证本系统用户身份的真实性。</w:t>
      </w:r>
    </w:p>
    <w:p w14:paraId="0DE50C62">
      <w:pPr>
        <w:pageBreakBefore w:val="0"/>
        <w:kinsoku/>
        <w:wordWrap/>
        <w:overflowPunct/>
        <w:autoSpaceDE/>
        <w:autoSpaceDN/>
        <w:bidi w:val="0"/>
        <w:spacing w:beforeAutospacing="0" w:afterAutospacing="0" w:line="360" w:lineRule="auto"/>
        <w:ind w:firstLine="480"/>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4、启用身份鉴别、用户身份标识唯一性检查、用户身份鉴别信息复杂度检查以及登录失败处理功能，并根据安全策略配置相关参数。</w:t>
      </w:r>
    </w:p>
    <w:p w14:paraId="36774FBC">
      <w:pPr>
        <w:pageBreakBefore w:val="0"/>
        <w:kinsoku/>
        <w:wordWrap/>
        <w:overflowPunct/>
        <w:autoSpaceDE/>
        <w:autoSpaceDN/>
        <w:bidi w:val="0"/>
        <w:spacing w:beforeAutospacing="0" w:afterAutospacing="0" w:line="360" w:lineRule="auto"/>
        <w:ind w:firstLine="480"/>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1）用户身份鉴别信息应不易被冒用，口令复杂度应满足要求并定期更换。应提供用户身份标识唯一和鉴别信息复杂度检查功能，保证应用系统中不存在重复用户身份标识；用户在第一次登录系统时修改分发的初始口令，口令长度不得小于8位，且为字母、数字或特殊字符的混合组合，用户名和口令禁止相同；应用软件不得明文存储口令数据；</w:t>
      </w:r>
    </w:p>
    <w:p w14:paraId="2CE58A04">
      <w:pPr>
        <w:pageBreakBefore w:val="0"/>
        <w:kinsoku/>
        <w:wordWrap/>
        <w:overflowPunct/>
        <w:autoSpaceDE/>
        <w:autoSpaceDN/>
        <w:bidi w:val="0"/>
        <w:spacing w:beforeAutospacing="0" w:afterAutospacing="0" w:line="360" w:lineRule="auto"/>
        <w:ind w:firstLine="480"/>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2）提供登录失败处理功能，可采取结束会话、限制非法登录次数和自动退出等措施；</w:t>
      </w:r>
    </w:p>
    <w:p w14:paraId="3D476CD7">
      <w:pPr>
        <w:pageBreakBefore w:val="0"/>
        <w:kinsoku/>
        <w:wordWrap/>
        <w:overflowPunct/>
        <w:autoSpaceDE/>
        <w:autoSpaceDN/>
        <w:bidi w:val="0"/>
        <w:spacing w:beforeAutospacing="0" w:afterAutospacing="0" w:line="360" w:lineRule="auto"/>
        <w:ind w:firstLine="480"/>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3）授予不同账户为完成各自承担任务所需的最小权限，并在它们之间形成相互制约的关系。</w:t>
      </w:r>
    </w:p>
    <w:p w14:paraId="14D341C9">
      <w:pPr>
        <w:pageBreakBefore w:val="0"/>
        <w:kinsoku/>
        <w:wordWrap/>
        <w:overflowPunct/>
        <w:autoSpaceDE/>
        <w:autoSpaceDN/>
        <w:bidi w:val="0"/>
        <w:spacing w:beforeAutospacing="0" w:afterAutospacing="0" w:line="360" w:lineRule="auto"/>
        <w:ind w:firstLine="480"/>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4）及时删除或停用多余的、过期的账号，避免共享账号。</w:t>
      </w:r>
    </w:p>
    <w:p w14:paraId="7597F570">
      <w:pPr>
        <w:pageBreakBefore w:val="0"/>
        <w:kinsoku/>
        <w:wordWrap/>
        <w:overflowPunct/>
        <w:autoSpaceDE/>
        <w:autoSpaceDN/>
        <w:bidi w:val="0"/>
        <w:spacing w:beforeAutospacing="0" w:afterAutospacing="0" w:line="360" w:lineRule="auto"/>
        <w:ind w:firstLine="480"/>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5、采用基于国产密码的数据验签技术保证通信过程中数据的完整性；</w:t>
      </w:r>
    </w:p>
    <w:p w14:paraId="752AF4BA">
      <w:pPr>
        <w:pageBreakBefore w:val="0"/>
        <w:kinsoku/>
        <w:wordWrap/>
        <w:overflowPunct/>
        <w:autoSpaceDE/>
        <w:autoSpaceDN/>
        <w:bidi w:val="0"/>
        <w:spacing w:beforeAutospacing="0" w:afterAutospacing="0" w:line="360" w:lineRule="auto"/>
        <w:ind w:firstLine="480"/>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6、通过基于国产密码的加解密技术，实现对重要数据的传输安全防护。</w:t>
      </w:r>
    </w:p>
    <w:p w14:paraId="78BFE1D2">
      <w:pPr>
        <w:pageBreakBefore w:val="0"/>
        <w:kinsoku/>
        <w:wordWrap/>
        <w:overflowPunct/>
        <w:autoSpaceDE/>
        <w:autoSpaceDN/>
        <w:bidi w:val="0"/>
        <w:spacing w:beforeAutospacing="0" w:afterAutospacing="0" w:line="360" w:lineRule="auto"/>
        <w:ind w:firstLine="480"/>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7、通过基于国产密码的加解密技术实现数据有效性检验功能</w:t>
      </w:r>
    </w:p>
    <w:p w14:paraId="292B923B">
      <w:pPr>
        <w:pageBreakBefore w:val="0"/>
        <w:kinsoku/>
        <w:wordWrap/>
        <w:overflowPunct/>
        <w:autoSpaceDE/>
        <w:autoSpaceDN/>
        <w:bidi w:val="0"/>
        <w:spacing w:beforeAutospacing="0" w:afterAutospacing="0" w:line="360" w:lineRule="auto"/>
        <w:ind w:firstLine="480"/>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8、加强数据有效性检查，保证通过人机接口输入或通过通信接口输入的数据格式或长度符合系统设定要求。</w:t>
      </w:r>
    </w:p>
    <w:p w14:paraId="4F5FF5CC">
      <w:pPr>
        <w:pageBreakBefore w:val="0"/>
        <w:kinsoku/>
        <w:wordWrap/>
        <w:overflowPunct/>
        <w:autoSpaceDE/>
        <w:autoSpaceDN/>
        <w:bidi w:val="0"/>
        <w:spacing w:beforeAutospacing="0" w:afterAutospacing="0" w:line="360" w:lineRule="auto"/>
        <w:ind w:firstLine="480"/>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9、关闭不需要的端口及服务。</w:t>
      </w:r>
    </w:p>
    <w:p w14:paraId="54A98CE8">
      <w:pPr>
        <w:pageBreakBefore w:val="0"/>
        <w:kinsoku/>
        <w:wordWrap/>
        <w:overflowPunct/>
        <w:autoSpaceDE/>
        <w:autoSpaceDN/>
        <w:bidi w:val="0"/>
        <w:spacing w:beforeAutospacing="0" w:afterAutospacing="0" w:line="360" w:lineRule="auto"/>
        <w:ind w:firstLine="480"/>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10、通过负载均衡技术，确保在突发数据流的情况下，本系统依然可以提供适当的服务能力。</w:t>
      </w:r>
    </w:p>
    <w:p w14:paraId="29103445">
      <w:pPr>
        <w:pageBreakBefore w:val="0"/>
        <w:kinsoku/>
        <w:wordWrap/>
        <w:overflowPunct/>
        <w:autoSpaceDE/>
        <w:autoSpaceDN/>
        <w:bidi w:val="0"/>
        <w:spacing w:beforeAutospacing="0" w:afterAutospacing="0" w:line="360" w:lineRule="auto"/>
        <w:ind w:firstLine="480"/>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11、当通信双方中的一方在一段时间内未作任何响应，另一方自动结束会话；对系统的最大并发会话连接数进行限制；对单个账号的多重并发会话进行限制。</w:t>
      </w:r>
    </w:p>
    <w:p w14:paraId="36EFCE05">
      <w:pPr>
        <w:pageBreakBefore w:val="0"/>
        <w:kinsoku/>
        <w:wordWrap/>
        <w:overflowPunct/>
        <w:autoSpaceDE/>
        <w:autoSpaceDN/>
        <w:bidi w:val="0"/>
        <w:spacing w:beforeAutospacing="0" w:afterAutospacing="0" w:line="360" w:lineRule="auto"/>
        <w:ind w:firstLine="480"/>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12、通过防病毒系统，实现统一控制台对应用系统病毒防范，包括统一的分发、维护、更新和报警等。</w:t>
      </w:r>
    </w:p>
    <w:p w14:paraId="6EC7F2DD">
      <w:pPr>
        <w:pageBreakBefore w:val="0"/>
        <w:kinsoku/>
        <w:wordWrap/>
        <w:overflowPunct/>
        <w:autoSpaceDE/>
        <w:autoSpaceDN/>
        <w:bidi w:val="0"/>
        <w:spacing w:beforeAutospacing="0" w:afterAutospacing="0" w:line="360" w:lineRule="auto"/>
        <w:ind w:firstLine="480"/>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13、通过对用户的登录、退出、增加用户、修改用户权限等进行应用审计。</w:t>
      </w:r>
    </w:p>
    <w:p w14:paraId="03DF8FBA">
      <w:pPr>
        <w:pageBreakBefore w:val="0"/>
        <w:kinsoku/>
        <w:wordWrap/>
        <w:overflowPunct/>
        <w:autoSpaceDE/>
        <w:autoSpaceDN/>
        <w:bidi w:val="0"/>
        <w:spacing w:beforeAutospacing="0" w:afterAutospacing="0" w:line="360" w:lineRule="auto"/>
        <w:ind w:firstLine="480"/>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14、通过云盾平台，实现对本系统的运行状态、用户体验等的实时监控与预警。</w:t>
      </w:r>
    </w:p>
    <w:p w14:paraId="603DF73A">
      <w:pPr>
        <w:pageBreakBefore w:val="0"/>
        <w:kinsoku/>
        <w:wordWrap/>
        <w:overflowPunct/>
        <w:autoSpaceDE/>
        <w:autoSpaceDN/>
        <w:bidi w:val="0"/>
        <w:spacing w:beforeAutospacing="0" w:afterAutospacing="0" w:line="360" w:lineRule="auto"/>
        <w:ind w:firstLine="480"/>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15、要求通过支持国产密码的堡垒机等技术，实现对本系统运维的统一管控，避免对网络和服务器资源的直接访问，对不合法命令进行命令阻断，过滤掉所有对目标设备的非法访问行为，减少恶意攻击，拦截非法访问，并实现运维操作行为审计。</w:t>
      </w:r>
    </w:p>
    <w:p w14:paraId="733318DF">
      <w:pPr>
        <w:keepNext/>
        <w:keepLines/>
        <w:pageBreakBefore w:val="0"/>
        <w:tabs>
          <w:tab w:val="left" w:pos="420"/>
        </w:tabs>
        <w:kinsoku/>
        <w:wordWrap/>
        <w:overflowPunct/>
        <w:topLinePunct/>
        <w:autoSpaceDE/>
        <w:autoSpaceDN/>
        <w:bidi w:val="0"/>
        <w:adjustRightInd w:val="0"/>
        <w:snapToGrid w:val="0"/>
        <w:spacing w:beforeAutospacing="0" w:afterAutospacing="0" w:line="360" w:lineRule="auto"/>
        <w:textAlignment w:val="center"/>
        <w:outlineLvl w:val="3"/>
        <w:rPr>
          <w:rFonts w:ascii="Times New Roman" w:hAnsi="Times New Roman" w:eastAsia="宋体" w:cs="Times New Roman"/>
          <w:b/>
          <w:bCs/>
          <w:color w:val="auto"/>
          <w:sz w:val="24"/>
          <w:highlight w:val="none"/>
        </w:rPr>
      </w:pPr>
      <w:r>
        <w:rPr>
          <w:rFonts w:hint="eastAsia" w:ascii="Times New Roman" w:hAnsi="Times New Roman" w:eastAsia="宋体" w:cs="Times New Roman"/>
          <w:b/>
          <w:bCs/>
          <w:color w:val="auto"/>
          <w:sz w:val="24"/>
          <w:highlight w:val="none"/>
        </w:rPr>
        <w:t>3.9.6.3移动应用安全管控</w:t>
      </w:r>
    </w:p>
    <w:p w14:paraId="12C1AC1A">
      <w:pPr>
        <w:pageBreakBefore w:val="0"/>
        <w:kinsoku/>
        <w:wordWrap/>
        <w:overflowPunct/>
        <w:autoSpaceDE/>
        <w:autoSpaceDN/>
        <w:bidi w:val="0"/>
        <w:spacing w:beforeAutospacing="0" w:afterAutospacing="0" w:line="360" w:lineRule="auto"/>
        <w:ind w:firstLine="480"/>
        <w:rPr>
          <w:rFonts w:hint="eastAsia" w:ascii="仿宋" w:hAnsi="仿宋" w:eastAsia="仿宋" w:cs="仿宋"/>
          <w:i/>
          <w:iCs/>
          <w:color w:val="auto"/>
          <w:sz w:val="24"/>
          <w:highlight w:val="none"/>
        </w:rPr>
      </w:pPr>
      <w:r>
        <w:rPr>
          <w:rFonts w:hint="eastAsia" w:ascii="宋体" w:hAnsi="宋体" w:eastAsia="宋体" w:cs="Times New Roman"/>
          <w:color w:val="auto"/>
          <w:sz w:val="24"/>
          <w:highlight w:val="none"/>
        </w:rPr>
        <w:t>不涉及。</w:t>
      </w:r>
    </w:p>
    <w:p w14:paraId="17FE7C55">
      <w:pPr>
        <w:keepNext/>
        <w:keepLines/>
        <w:pageBreakBefore w:val="0"/>
        <w:tabs>
          <w:tab w:val="left" w:pos="420"/>
        </w:tabs>
        <w:kinsoku/>
        <w:wordWrap/>
        <w:overflowPunct/>
        <w:topLinePunct/>
        <w:autoSpaceDE/>
        <w:autoSpaceDN/>
        <w:bidi w:val="0"/>
        <w:adjustRightInd w:val="0"/>
        <w:snapToGrid w:val="0"/>
        <w:spacing w:beforeAutospacing="0" w:afterAutospacing="0" w:line="360" w:lineRule="auto"/>
        <w:textAlignment w:val="center"/>
        <w:outlineLvl w:val="3"/>
        <w:rPr>
          <w:rFonts w:ascii="Times New Roman" w:hAnsi="Times New Roman" w:eastAsia="宋体" w:cs="Times New Roman"/>
          <w:b/>
          <w:bCs/>
          <w:color w:val="auto"/>
          <w:sz w:val="24"/>
          <w:highlight w:val="none"/>
        </w:rPr>
      </w:pPr>
      <w:r>
        <w:rPr>
          <w:rFonts w:hint="eastAsia" w:ascii="Times New Roman" w:hAnsi="Times New Roman" w:eastAsia="宋体" w:cs="Times New Roman"/>
          <w:b/>
          <w:bCs/>
          <w:color w:val="auto"/>
          <w:sz w:val="24"/>
          <w:highlight w:val="none"/>
        </w:rPr>
        <w:t>3.9.6.4集成安全管控</w:t>
      </w:r>
    </w:p>
    <w:p w14:paraId="45D8E3E6">
      <w:pPr>
        <w:pageBreakBefore w:val="0"/>
        <w:kinsoku/>
        <w:wordWrap/>
        <w:overflowPunct/>
        <w:autoSpaceDE/>
        <w:autoSpaceDN/>
        <w:bidi w:val="0"/>
        <w:spacing w:beforeAutospacing="0" w:afterAutospacing="0" w:line="360" w:lineRule="auto"/>
        <w:ind w:firstLine="480"/>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1、涉及接入其他系统时，根据接入要求完成接入，同时确保数据交互通道安全。</w:t>
      </w:r>
    </w:p>
    <w:p w14:paraId="31619980">
      <w:pPr>
        <w:pageBreakBefore w:val="0"/>
        <w:kinsoku/>
        <w:wordWrap/>
        <w:overflowPunct/>
        <w:autoSpaceDE/>
        <w:autoSpaceDN/>
        <w:bidi w:val="0"/>
        <w:spacing w:beforeAutospacing="0" w:afterAutospacing="0" w:line="360" w:lineRule="auto"/>
        <w:ind w:firstLine="480"/>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2、业务系统接入本系统时，要制定详细的接入文档，同时接口添加权限校验，确保能拦截非法接入，数据传输要使用安全传输协议。</w:t>
      </w:r>
    </w:p>
    <w:p w14:paraId="70EF77ED">
      <w:pPr>
        <w:keepNext/>
        <w:keepLines/>
        <w:pageBreakBefore w:val="0"/>
        <w:tabs>
          <w:tab w:val="left" w:pos="420"/>
        </w:tabs>
        <w:kinsoku/>
        <w:wordWrap/>
        <w:overflowPunct/>
        <w:topLinePunct/>
        <w:autoSpaceDE/>
        <w:autoSpaceDN/>
        <w:bidi w:val="0"/>
        <w:adjustRightInd w:val="0"/>
        <w:snapToGrid w:val="0"/>
        <w:spacing w:beforeAutospacing="0" w:afterAutospacing="0" w:line="360" w:lineRule="auto"/>
        <w:textAlignment w:val="center"/>
        <w:outlineLvl w:val="3"/>
        <w:rPr>
          <w:rFonts w:ascii="Times New Roman" w:hAnsi="Times New Roman" w:eastAsia="宋体" w:cs="Times New Roman"/>
          <w:b/>
          <w:bCs/>
          <w:color w:val="auto"/>
          <w:sz w:val="24"/>
          <w:highlight w:val="none"/>
        </w:rPr>
      </w:pPr>
      <w:r>
        <w:rPr>
          <w:rFonts w:hint="eastAsia" w:ascii="Times New Roman" w:hAnsi="Times New Roman" w:eastAsia="宋体" w:cs="Times New Roman"/>
          <w:b/>
          <w:bCs/>
          <w:color w:val="auto"/>
          <w:sz w:val="24"/>
          <w:highlight w:val="none"/>
        </w:rPr>
        <w:t>3.9.6.5密码安全</w:t>
      </w:r>
    </w:p>
    <w:p w14:paraId="20BEE32D">
      <w:pPr>
        <w:pageBreakBefore w:val="0"/>
        <w:kinsoku/>
        <w:wordWrap/>
        <w:overflowPunct/>
        <w:autoSpaceDE/>
        <w:autoSpaceDN/>
        <w:bidi w:val="0"/>
        <w:spacing w:beforeAutospacing="0" w:afterAutospacing="0" w:line="360" w:lineRule="auto"/>
        <w:ind w:firstLine="480"/>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项目对接公司统一密码服务平台以实现密码等服务的统一管控和认证。</w:t>
      </w:r>
    </w:p>
    <w:p w14:paraId="0BBCA047">
      <w:pPr>
        <w:keepNext/>
        <w:keepLines/>
        <w:pageBreakBefore w:val="0"/>
        <w:tabs>
          <w:tab w:val="left" w:pos="1151"/>
        </w:tabs>
        <w:kinsoku/>
        <w:wordWrap/>
        <w:overflowPunct/>
        <w:topLinePunct/>
        <w:autoSpaceDE/>
        <w:autoSpaceDN/>
        <w:bidi w:val="0"/>
        <w:adjustRightInd w:val="0"/>
        <w:snapToGrid w:val="0"/>
        <w:spacing w:beforeAutospacing="0" w:afterAutospacing="0" w:line="360" w:lineRule="auto"/>
        <w:jc w:val="left"/>
        <w:textAlignment w:val="center"/>
        <w:outlineLvl w:val="2"/>
        <w:rPr>
          <w:rFonts w:hint="eastAsia" w:ascii="宋体" w:hAnsi="宋体" w:eastAsia="宋体" w:cs="Times New Roman"/>
          <w:b/>
          <w:bCs/>
          <w:color w:val="auto"/>
          <w:sz w:val="28"/>
          <w:szCs w:val="28"/>
          <w:highlight w:val="none"/>
          <w:lang w:val="sv-SE"/>
        </w:rPr>
      </w:pPr>
      <w:bookmarkStart w:id="58" w:name="_Toc29824878"/>
      <w:bookmarkStart w:id="59" w:name="_Toc24016170"/>
      <w:r>
        <w:rPr>
          <w:rFonts w:hint="eastAsia" w:ascii="宋体" w:hAnsi="宋体" w:eastAsia="宋体" w:cs="Times New Roman"/>
          <w:b/>
          <w:bCs/>
          <w:color w:val="auto"/>
          <w:sz w:val="28"/>
          <w:szCs w:val="28"/>
          <w:highlight w:val="none"/>
        </w:rPr>
        <w:t>3.9.7</w:t>
      </w:r>
      <w:r>
        <w:rPr>
          <w:rFonts w:hint="eastAsia" w:ascii="宋体" w:hAnsi="宋体" w:eastAsia="宋体" w:cs="Times New Roman"/>
          <w:b/>
          <w:bCs/>
          <w:color w:val="auto"/>
          <w:sz w:val="28"/>
          <w:szCs w:val="28"/>
          <w:highlight w:val="none"/>
          <w:lang w:val="sv-SE"/>
        </w:rPr>
        <w:t>终端安全设计</w:t>
      </w:r>
      <w:bookmarkEnd w:id="58"/>
      <w:bookmarkEnd w:id="59"/>
    </w:p>
    <w:p w14:paraId="1B27AF0B">
      <w:pPr>
        <w:pageBreakBefore w:val="0"/>
        <w:kinsoku/>
        <w:wordWrap/>
        <w:overflowPunct/>
        <w:autoSpaceDE/>
        <w:autoSpaceDN/>
        <w:bidi w:val="0"/>
        <w:spacing w:beforeAutospacing="0" w:afterAutospacing="0" w:line="360" w:lineRule="auto"/>
        <w:ind w:firstLine="480"/>
        <w:rPr>
          <w:rFonts w:hint="eastAsia" w:ascii="宋体" w:hAnsi="宋体" w:eastAsia="宋体" w:cs="Times New Roman"/>
          <w:color w:val="auto"/>
          <w:sz w:val="24"/>
          <w:highlight w:val="none"/>
        </w:rPr>
      </w:pPr>
      <w:bookmarkStart w:id="60" w:name="_Toc24016172"/>
      <w:bookmarkStart w:id="61" w:name="_Toc29824880"/>
      <w:r>
        <w:rPr>
          <w:rFonts w:hint="eastAsia" w:ascii="宋体" w:hAnsi="宋体" w:eastAsia="宋体" w:cs="Times New Roman"/>
          <w:color w:val="auto"/>
          <w:sz w:val="24"/>
          <w:highlight w:val="none"/>
        </w:rPr>
        <w:t>不涉及。</w:t>
      </w:r>
    </w:p>
    <w:p w14:paraId="44F8367B">
      <w:pPr>
        <w:keepNext/>
        <w:keepLines/>
        <w:pageBreakBefore w:val="0"/>
        <w:tabs>
          <w:tab w:val="left" w:pos="1151"/>
        </w:tabs>
        <w:kinsoku/>
        <w:wordWrap/>
        <w:overflowPunct/>
        <w:topLinePunct/>
        <w:autoSpaceDE/>
        <w:autoSpaceDN/>
        <w:bidi w:val="0"/>
        <w:adjustRightInd w:val="0"/>
        <w:snapToGrid w:val="0"/>
        <w:spacing w:beforeAutospacing="0" w:afterAutospacing="0" w:line="360" w:lineRule="auto"/>
        <w:jc w:val="left"/>
        <w:textAlignment w:val="center"/>
        <w:outlineLvl w:val="2"/>
        <w:rPr>
          <w:color w:val="auto"/>
          <w:highlight w:val="none"/>
          <w:lang w:val="sv-SE"/>
        </w:rPr>
      </w:pPr>
      <w:r>
        <w:rPr>
          <w:rFonts w:hint="eastAsia" w:ascii="宋体" w:hAnsi="宋体" w:eastAsia="宋体" w:cs="Times New Roman"/>
          <w:b/>
          <w:bCs/>
          <w:color w:val="auto"/>
          <w:sz w:val="28"/>
          <w:szCs w:val="28"/>
          <w:highlight w:val="none"/>
        </w:rPr>
        <w:t>3.9.8</w:t>
      </w:r>
      <w:r>
        <w:rPr>
          <w:rFonts w:hint="eastAsia" w:ascii="宋体" w:hAnsi="宋体" w:eastAsia="宋体" w:cs="Times New Roman"/>
          <w:b/>
          <w:bCs/>
          <w:color w:val="auto"/>
          <w:sz w:val="28"/>
          <w:szCs w:val="28"/>
          <w:highlight w:val="none"/>
          <w:lang w:val="sv-SE"/>
        </w:rPr>
        <w:t>安全管理</w:t>
      </w:r>
      <w:bookmarkEnd w:id="60"/>
      <w:bookmarkEnd w:id="61"/>
    </w:p>
    <w:p w14:paraId="7CA29238">
      <w:pPr>
        <w:keepNext/>
        <w:keepLines/>
        <w:pageBreakBefore w:val="0"/>
        <w:tabs>
          <w:tab w:val="left" w:pos="420"/>
        </w:tabs>
        <w:kinsoku/>
        <w:wordWrap/>
        <w:overflowPunct/>
        <w:topLinePunct/>
        <w:autoSpaceDE/>
        <w:autoSpaceDN/>
        <w:bidi w:val="0"/>
        <w:adjustRightInd w:val="0"/>
        <w:snapToGrid w:val="0"/>
        <w:spacing w:beforeAutospacing="0" w:afterAutospacing="0" w:line="360" w:lineRule="auto"/>
        <w:textAlignment w:val="center"/>
        <w:outlineLvl w:val="3"/>
        <w:rPr>
          <w:rFonts w:ascii="Times New Roman" w:hAnsi="Times New Roman" w:eastAsia="宋体" w:cs="Times New Roman"/>
          <w:b/>
          <w:bCs/>
          <w:color w:val="auto"/>
          <w:sz w:val="28"/>
          <w:szCs w:val="28"/>
          <w:highlight w:val="none"/>
          <w:lang w:val="sv-SE"/>
        </w:rPr>
      </w:pPr>
      <w:r>
        <w:rPr>
          <w:rFonts w:ascii="Times New Roman" w:hAnsi="Times New Roman" w:eastAsia="宋体" w:cs="Times New Roman"/>
          <w:b/>
          <w:bCs/>
          <w:color w:val="auto"/>
          <w:sz w:val="28"/>
          <w:szCs w:val="28"/>
          <w:highlight w:val="none"/>
        </w:rPr>
        <w:t>3.9.8.1</w:t>
      </w:r>
      <w:r>
        <w:rPr>
          <w:rFonts w:hint="eastAsia" w:ascii="Times New Roman" w:hAnsi="Times New Roman" w:eastAsia="宋体" w:cs="Times New Roman"/>
          <w:b/>
          <w:bCs/>
          <w:color w:val="auto"/>
          <w:sz w:val="28"/>
          <w:szCs w:val="28"/>
          <w:highlight w:val="none"/>
          <w:lang w:val="sv-SE"/>
        </w:rPr>
        <w:t>安全管理机构与人员</w:t>
      </w:r>
    </w:p>
    <w:p w14:paraId="05EC6AB5">
      <w:pPr>
        <w:pageBreakBefore w:val="0"/>
        <w:kinsoku/>
        <w:wordWrap/>
        <w:overflowPunct/>
        <w:autoSpaceDE/>
        <w:autoSpaceDN/>
        <w:bidi w:val="0"/>
        <w:spacing w:beforeAutospacing="0" w:afterAutospacing="0" w:line="360" w:lineRule="auto"/>
        <w:ind w:firstLine="420"/>
        <w:rPr>
          <w:rFonts w:hint="eastAsia" w:ascii="宋体" w:hAnsi="宋体" w:eastAsia="宋体" w:cs="Times New Roman"/>
          <w:color w:val="auto"/>
          <w:highlight w:val="none"/>
        </w:rPr>
      </w:pPr>
      <w:r>
        <w:rPr>
          <w:rFonts w:hint="eastAsia" w:ascii="宋体" w:hAnsi="宋体" w:eastAsia="宋体" w:cs="Times New Roman"/>
          <w:color w:val="auto"/>
          <w:sz w:val="24"/>
          <w:highlight w:val="none"/>
        </w:rPr>
        <w:t>设立专职信息安全部门与岗责分明的安全管理员，并严格落实人员背景审查与离岗权限即时收回制度。</w:t>
      </w:r>
    </w:p>
    <w:p w14:paraId="03FB54DC">
      <w:pPr>
        <w:keepNext/>
        <w:keepLines/>
        <w:pageBreakBefore w:val="0"/>
        <w:tabs>
          <w:tab w:val="left" w:pos="420"/>
        </w:tabs>
        <w:kinsoku/>
        <w:wordWrap/>
        <w:overflowPunct/>
        <w:topLinePunct/>
        <w:autoSpaceDE/>
        <w:autoSpaceDN/>
        <w:bidi w:val="0"/>
        <w:adjustRightInd w:val="0"/>
        <w:snapToGrid w:val="0"/>
        <w:spacing w:beforeAutospacing="0" w:afterAutospacing="0" w:line="360" w:lineRule="auto"/>
        <w:textAlignment w:val="center"/>
        <w:outlineLvl w:val="3"/>
        <w:rPr>
          <w:rFonts w:ascii="Times New Roman" w:hAnsi="Times New Roman" w:eastAsia="宋体" w:cs="Times New Roman"/>
          <w:b/>
          <w:bCs/>
          <w:color w:val="auto"/>
          <w:sz w:val="28"/>
          <w:szCs w:val="28"/>
          <w:highlight w:val="none"/>
          <w:lang w:val="sv-SE"/>
        </w:rPr>
      </w:pPr>
      <w:r>
        <w:rPr>
          <w:rFonts w:ascii="Times New Roman" w:hAnsi="Times New Roman" w:eastAsia="宋体" w:cs="Times New Roman"/>
          <w:b/>
          <w:bCs/>
          <w:color w:val="auto"/>
          <w:sz w:val="28"/>
          <w:szCs w:val="28"/>
          <w:highlight w:val="none"/>
        </w:rPr>
        <w:t>3.9.8.2</w:t>
      </w:r>
      <w:r>
        <w:rPr>
          <w:rFonts w:hint="eastAsia" w:ascii="Times New Roman" w:hAnsi="Times New Roman" w:eastAsia="宋体" w:cs="Times New Roman"/>
          <w:b/>
          <w:bCs/>
          <w:color w:val="auto"/>
          <w:sz w:val="28"/>
          <w:szCs w:val="28"/>
          <w:highlight w:val="none"/>
          <w:lang w:val="sv-SE"/>
        </w:rPr>
        <w:t>安全策略和管理制度</w:t>
      </w:r>
    </w:p>
    <w:p w14:paraId="69A53880">
      <w:pPr>
        <w:pageBreakBefore w:val="0"/>
        <w:kinsoku/>
        <w:wordWrap/>
        <w:overflowPunct/>
        <w:autoSpaceDE/>
        <w:autoSpaceDN/>
        <w:bidi w:val="0"/>
        <w:spacing w:beforeAutospacing="0" w:afterAutospacing="0" w:line="360" w:lineRule="auto"/>
        <w:ind w:firstLine="420"/>
        <w:rPr>
          <w:rFonts w:hint="eastAsia" w:ascii="宋体" w:hAnsi="宋体" w:eastAsia="宋体" w:cs="Times New Roman"/>
          <w:color w:val="auto"/>
          <w:sz w:val="24"/>
          <w:highlight w:val="none"/>
        </w:rPr>
      </w:pPr>
      <w:r>
        <w:rPr>
          <w:rFonts w:hint="eastAsia" w:ascii="宋体" w:hAnsi="宋体" w:eastAsia="宋体" w:cs="Times New Roman"/>
          <w:color w:val="auto"/>
          <w:sz w:val="24"/>
          <w:highlight w:val="none"/>
        </w:rPr>
        <w:t>严格遵循南方电网公司网络安全总体方针，实施访问控制策略，杜绝网络资源的非法调用与越权操作，建立合法合规的体系化安全操作规范及常态化人员培训机制。</w:t>
      </w:r>
    </w:p>
    <w:p w14:paraId="6E2CDE09">
      <w:pPr>
        <w:keepNext/>
        <w:keepLines/>
        <w:pageBreakBefore w:val="0"/>
        <w:tabs>
          <w:tab w:val="left" w:pos="420"/>
        </w:tabs>
        <w:kinsoku/>
        <w:wordWrap/>
        <w:overflowPunct/>
        <w:topLinePunct/>
        <w:autoSpaceDE/>
        <w:autoSpaceDN/>
        <w:bidi w:val="0"/>
        <w:adjustRightInd w:val="0"/>
        <w:snapToGrid w:val="0"/>
        <w:spacing w:beforeAutospacing="0" w:afterAutospacing="0" w:line="360" w:lineRule="auto"/>
        <w:textAlignment w:val="center"/>
        <w:outlineLvl w:val="3"/>
        <w:rPr>
          <w:rFonts w:hint="eastAsia" w:ascii="宋体" w:hAnsi="宋体" w:eastAsia="宋体" w:cs="宋体"/>
          <w:color w:val="auto"/>
          <w:sz w:val="24"/>
          <w:highlight w:val="none"/>
        </w:rPr>
      </w:pPr>
      <w:r>
        <w:rPr>
          <w:rFonts w:ascii="Times New Roman" w:hAnsi="Times New Roman" w:eastAsia="宋体" w:cs="Times New Roman"/>
          <w:b/>
          <w:bCs/>
          <w:color w:val="auto"/>
          <w:sz w:val="28"/>
          <w:szCs w:val="28"/>
          <w:highlight w:val="none"/>
        </w:rPr>
        <w:t>3.9.8.3</w:t>
      </w:r>
      <w:r>
        <w:rPr>
          <w:rFonts w:hint="eastAsia" w:ascii="Times New Roman" w:hAnsi="Times New Roman" w:eastAsia="宋体" w:cs="Times New Roman"/>
          <w:b/>
          <w:bCs/>
          <w:color w:val="auto"/>
          <w:sz w:val="28"/>
          <w:szCs w:val="28"/>
          <w:highlight w:val="none"/>
          <w:lang w:val="sv-SE"/>
        </w:rPr>
        <w:t>安全建设管理</w:t>
      </w:r>
    </w:p>
    <w:p w14:paraId="726D6A09">
      <w:pPr>
        <w:pageBreakBefore w:val="0"/>
        <w:kinsoku/>
        <w:wordWrap/>
        <w:overflowPunct/>
        <w:autoSpaceDE/>
        <w:autoSpaceDN/>
        <w:bidi w:val="0"/>
        <w:spacing w:beforeAutospacing="0" w:afterAutospacing="0" w:line="360" w:lineRule="auto"/>
        <w:ind w:firstLine="480"/>
        <w:rPr>
          <w:rFonts w:hint="eastAsia" w:ascii="宋体" w:hAnsi="宋体" w:eastAsia="宋体" w:cs="Times New Roman"/>
          <w:color w:val="auto"/>
          <w:sz w:val="24"/>
          <w:szCs w:val="28"/>
          <w:highlight w:val="none"/>
          <w:lang w:val="sv-SE"/>
        </w:rPr>
      </w:pPr>
      <w:r>
        <w:rPr>
          <w:rFonts w:hint="eastAsia" w:ascii="宋体" w:hAnsi="宋体" w:eastAsia="宋体" w:cs="Times New Roman"/>
          <w:color w:val="auto"/>
          <w:sz w:val="24"/>
          <w:highlight w:val="none"/>
        </w:rPr>
        <w:t>交付产品应通过出厂安全测试、入网安全测试、源代码审计等，安全测试发现的高中风险全部完成整改,并</w:t>
      </w:r>
      <w:r>
        <w:rPr>
          <w:rFonts w:hint="eastAsia" w:ascii="宋体" w:hAnsi="宋体" w:eastAsia="宋体" w:cs="Times New Roman"/>
          <w:color w:val="auto"/>
          <w:sz w:val="24"/>
          <w:highlight w:val="none"/>
          <w:lang w:val="sv-SE"/>
        </w:rPr>
        <w:t>完成系统的等保定级</w:t>
      </w:r>
      <w:r>
        <w:rPr>
          <w:rFonts w:hint="eastAsia" w:ascii="宋体" w:hAnsi="宋体" w:eastAsia="宋体" w:cs="Times New Roman"/>
          <w:color w:val="auto"/>
          <w:sz w:val="24"/>
          <w:highlight w:val="none"/>
        </w:rPr>
        <w:t>。</w:t>
      </w:r>
    </w:p>
    <w:p w14:paraId="1D76536B">
      <w:pPr>
        <w:keepNext/>
        <w:keepLines/>
        <w:pageBreakBefore w:val="0"/>
        <w:tabs>
          <w:tab w:val="left" w:pos="420"/>
        </w:tabs>
        <w:kinsoku/>
        <w:wordWrap/>
        <w:overflowPunct/>
        <w:topLinePunct/>
        <w:autoSpaceDE/>
        <w:autoSpaceDN/>
        <w:bidi w:val="0"/>
        <w:adjustRightInd w:val="0"/>
        <w:snapToGrid w:val="0"/>
        <w:spacing w:beforeAutospacing="0" w:afterAutospacing="0" w:line="360" w:lineRule="auto"/>
        <w:textAlignment w:val="center"/>
        <w:outlineLvl w:val="3"/>
        <w:rPr>
          <w:rFonts w:ascii="Times New Roman" w:hAnsi="Times New Roman" w:eastAsia="宋体" w:cs="Times New Roman"/>
          <w:b/>
          <w:bCs/>
          <w:color w:val="auto"/>
          <w:sz w:val="28"/>
          <w:szCs w:val="28"/>
          <w:highlight w:val="none"/>
          <w:lang w:val="sv-SE"/>
        </w:rPr>
      </w:pPr>
      <w:r>
        <w:rPr>
          <w:rFonts w:ascii="Times New Roman" w:hAnsi="Times New Roman" w:eastAsia="宋体" w:cs="Times New Roman"/>
          <w:b/>
          <w:bCs/>
          <w:color w:val="auto"/>
          <w:sz w:val="28"/>
          <w:szCs w:val="28"/>
          <w:highlight w:val="none"/>
        </w:rPr>
        <w:t>3.9.8.4</w:t>
      </w:r>
      <w:r>
        <w:rPr>
          <w:rFonts w:hint="eastAsia" w:ascii="Times New Roman" w:hAnsi="Times New Roman" w:eastAsia="宋体" w:cs="Times New Roman"/>
          <w:b/>
          <w:bCs/>
          <w:color w:val="auto"/>
          <w:sz w:val="28"/>
          <w:szCs w:val="28"/>
          <w:highlight w:val="none"/>
          <w:lang w:val="sv-SE"/>
        </w:rPr>
        <w:t>安全运维管理</w:t>
      </w:r>
    </w:p>
    <w:p w14:paraId="6A1E8041">
      <w:pPr>
        <w:pageBreakBefore w:val="0"/>
        <w:kinsoku/>
        <w:wordWrap/>
        <w:overflowPunct/>
        <w:autoSpaceDE/>
        <w:autoSpaceDN/>
        <w:bidi w:val="0"/>
        <w:spacing w:beforeAutospacing="0" w:afterAutospacing="0" w:line="360" w:lineRule="auto"/>
        <w:ind w:firstLine="480"/>
        <w:rPr>
          <w:rFonts w:eastAsia="宋体" w:cs="宋体"/>
          <w:color w:val="auto"/>
          <w:highlight w:val="none"/>
        </w:rPr>
      </w:pPr>
      <w:r>
        <w:rPr>
          <w:rFonts w:hint="eastAsia" w:ascii="宋体" w:hAnsi="宋体" w:eastAsia="宋体" w:cs="Times New Roman"/>
          <w:color w:val="auto"/>
          <w:sz w:val="24"/>
          <w:highlight w:val="none"/>
        </w:rPr>
        <w:t>建立集中的监控预警与快速响应机制，落实定期漏洞扫描与数据灾备演练，并承诺由自身核心团队自主运维。</w:t>
      </w:r>
    </w:p>
    <w:p w14:paraId="50372626">
      <w:pPr>
        <w:pStyle w:val="5"/>
        <w:pageBreakBefore w:val="0"/>
        <w:numPr>
          <w:ilvl w:val="2"/>
          <w:numId w:val="0"/>
        </w:numPr>
        <w:kinsoku/>
        <w:wordWrap/>
        <w:overflowPunct/>
        <w:autoSpaceDE/>
        <w:autoSpaceDN/>
        <w:bidi w:val="0"/>
        <w:spacing w:beforeAutospacing="0" w:afterAutospacing="0" w:line="360" w:lineRule="auto"/>
        <w:ind w:left="142"/>
        <w:outlineLvl w:val="1"/>
        <w:rPr>
          <w:rFonts w:hint="eastAsia" w:eastAsia="宋体" w:cs="Times New Roman"/>
          <w:color w:val="auto"/>
          <w:sz w:val="24"/>
          <w:szCs w:val="24"/>
          <w:highlight w:val="none"/>
        </w:rPr>
      </w:pPr>
      <w:bookmarkStart w:id="62" w:name="_Toc19925"/>
      <w:bookmarkStart w:id="63" w:name="_Toc6358"/>
      <w:r>
        <w:rPr>
          <w:rFonts w:hint="eastAsia" w:eastAsia="宋体" w:cs="Times New Roman"/>
          <w:color w:val="auto"/>
          <w:sz w:val="24"/>
          <w:szCs w:val="24"/>
          <w:highlight w:val="none"/>
        </w:rPr>
        <w:t>3.10性能要求</w:t>
      </w:r>
      <w:bookmarkEnd w:id="62"/>
      <w:bookmarkEnd w:id="63"/>
    </w:p>
    <w:p w14:paraId="3F0E2BF9">
      <w:pPr>
        <w:pageBreakBefore w:val="0"/>
        <w:kinsoku/>
        <w:wordWrap/>
        <w:overflowPunct/>
        <w:autoSpaceDE/>
        <w:autoSpaceDN/>
        <w:bidi w:val="0"/>
        <w:spacing w:beforeAutospacing="0" w:afterAutospacing="0" w:line="360" w:lineRule="auto"/>
        <w:ind w:firstLine="480"/>
        <w:rPr>
          <w:rFonts w:hint="eastAsia" w:asciiTheme="minorEastAsia" w:hAnsiTheme="minorEastAsia" w:cstheme="minorEastAsia"/>
          <w:color w:val="auto"/>
          <w:sz w:val="24"/>
          <w:highlight w:val="none"/>
        </w:rPr>
      </w:pPr>
      <w:r>
        <w:rPr>
          <w:rFonts w:hint="eastAsia" w:ascii="宋体" w:hAnsi="宋体" w:eastAsia="宋体" w:cs="Times New Roman"/>
          <w:color w:val="auto"/>
          <w:sz w:val="24"/>
          <w:highlight w:val="none"/>
        </w:rPr>
        <w:t>支持最大用户数不小于100人，最大在线用户数10人，支持的最大并发用户数不小于5人；页面平均响应时间不超过3秒</w:t>
      </w:r>
      <w:r>
        <w:rPr>
          <w:rFonts w:hint="eastAsia" w:ascii="宋体" w:hAnsi="宋体" w:eastAsia="宋体" w:cs="Times New Roman"/>
          <w:color w:val="auto"/>
          <w:sz w:val="24"/>
          <w:highlight w:val="none"/>
          <w:lang w:val="sv-SE"/>
        </w:rPr>
        <w:t>；</w:t>
      </w:r>
      <w:r>
        <w:rPr>
          <w:rFonts w:hint="eastAsia" w:ascii="宋体" w:hAnsi="宋体" w:eastAsia="宋体" w:cs="Times New Roman"/>
          <w:color w:val="auto"/>
          <w:sz w:val="24"/>
          <w:highlight w:val="none"/>
        </w:rPr>
        <w:t>吞吐量每秒处理请求数不超过20请求数/秒;资源可用率满足CPU可用率&lt;80%,内存使用率&lt;85%，运行满足7*24小时。</w:t>
      </w:r>
    </w:p>
    <w:p w14:paraId="1EF1D263">
      <w:pPr>
        <w:pStyle w:val="5"/>
        <w:pageBreakBefore w:val="0"/>
        <w:numPr>
          <w:ilvl w:val="2"/>
          <w:numId w:val="0"/>
        </w:numPr>
        <w:kinsoku/>
        <w:wordWrap/>
        <w:overflowPunct/>
        <w:autoSpaceDE/>
        <w:autoSpaceDN/>
        <w:bidi w:val="0"/>
        <w:spacing w:beforeAutospacing="0" w:afterAutospacing="0" w:line="360" w:lineRule="auto"/>
        <w:outlineLvl w:val="1"/>
        <w:rPr>
          <w:rFonts w:hint="eastAsia" w:eastAsia="宋体" w:cs="Times New Roman"/>
          <w:color w:val="auto"/>
          <w:sz w:val="24"/>
          <w:szCs w:val="24"/>
          <w:highlight w:val="none"/>
        </w:rPr>
      </w:pPr>
      <w:bookmarkStart w:id="64" w:name="_Toc16489"/>
      <w:bookmarkStart w:id="65" w:name="_Toc28122"/>
      <w:r>
        <w:rPr>
          <w:rFonts w:hint="eastAsia" w:eastAsia="宋体" w:cs="Times New Roman"/>
          <w:color w:val="auto"/>
          <w:sz w:val="24"/>
          <w:szCs w:val="24"/>
          <w:highlight w:val="none"/>
        </w:rPr>
        <w:t>3.11实施工作要求</w:t>
      </w:r>
      <w:bookmarkEnd w:id="64"/>
      <w:bookmarkEnd w:id="65"/>
    </w:p>
    <w:p w14:paraId="226F0D40">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本项目于下达启动之日分阶段、分步骤开展项目开发与实施工作。整个项目周期计划</w:t>
      </w:r>
      <w:r>
        <w:rPr>
          <w:rFonts w:hint="eastAsia" w:asciiTheme="minorEastAsia" w:hAnsiTheme="minorEastAsia" w:cstheme="minorEastAsia"/>
          <w:color w:val="auto"/>
          <w:sz w:val="24"/>
          <w:szCs w:val="24"/>
          <w:highlight w:val="none"/>
          <w:lang w:val="en-US" w:eastAsia="zh-CN"/>
        </w:rPr>
        <w:t>自项目启动之日起至2027年10月31日</w:t>
      </w:r>
      <w:r>
        <w:rPr>
          <w:rFonts w:hint="eastAsia" w:asciiTheme="minorEastAsia" w:hAnsiTheme="minorEastAsia" w:cstheme="minorEastAsia"/>
          <w:color w:val="auto"/>
          <w:sz w:val="24"/>
          <w:szCs w:val="24"/>
          <w:highlight w:val="none"/>
        </w:rPr>
        <w:t>，</w:t>
      </w:r>
      <w:r>
        <w:rPr>
          <w:rFonts w:hint="eastAsia" w:asciiTheme="minorEastAsia" w:hAnsiTheme="minorEastAsia" w:cstheme="minorEastAsia"/>
          <w:color w:val="auto"/>
          <w:sz w:val="24"/>
          <w:szCs w:val="24"/>
          <w:highlight w:val="none"/>
          <w:lang w:val="en-US" w:eastAsia="zh-CN"/>
        </w:rPr>
        <w:t>具体以合同约定为准。</w:t>
      </w:r>
      <w:r>
        <w:rPr>
          <w:rFonts w:hint="eastAsia" w:asciiTheme="minorEastAsia" w:hAnsiTheme="minorEastAsia" w:cstheme="minorEastAsia"/>
          <w:color w:val="auto"/>
          <w:sz w:val="24"/>
          <w:szCs w:val="24"/>
          <w:highlight w:val="none"/>
        </w:rPr>
        <w:t xml:space="preserve">本项目初步实施进度计划如下表所示： </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38"/>
        <w:gridCol w:w="1686"/>
        <w:gridCol w:w="1476"/>
        <w:gridCol w:w="4206"/>
      </w:tblGrid>
      <w:tr w14:paraId="66E4AF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8" w:hRule="atLeast"/>
        </w:trPr>
        <w:tc>
          <w:tcPr>
            <w:tcW w:w="0" w:type="auto"/>
            <w:tcBorders>
              <w:top w:val="single" w:color="auto" w:sz="4" w:space="0"/>
              <w:left w:val="single" w:color="auto" w:sz="4" w:space="0"/>
              <w:bottom w:val="single" w:color="auto" w:sz="4" w:space="0"/>
              <w:right w:val="single" w:color="auto" w:sz="4" w:space="0"/>
            </w:tcBorders>
            <w:shd w:val="clear" w:color="auto" w:fill="BEBEBE"/>
            <w:vAlign w:val="center"/>
          </w:tcPr>
          <w:p w14:paraId="1BFC122C">
            <w:pPr>
              <w:pageBreakBefore w:val="0"/>
              <w:widowControl/>
              <w:kinsoku/>
              <w:wordWrap/>
              <w:overflowPunct/>
              <w:autoSpaceDE/>
              <w:autoSpaceDN/>
              <w:bidi w:val="0"/>
              <w:spacing w:beforeAutospacing="0" w:afterAutospacing="0" w:line="360" w:lineRule="auto"/>
              <w:jc w:val="center"/>
              <w:rPr>
                <w:rFonts w:hint="eastAsia" w:ascii="宋体" w:hAnsi="宋体" w:eastAsia="宋体" w:cs="宋体"/>
                <w:b/>
                <w:bCs/>
                <w:color w:val="auto"/>
                <w:kern w:val="0"/>
                <w:szCs w:val="21"/>
                <w:highlight w:val="none"/>
              </w:rPr>
            </w:pPr>
            <w:r>
              <w:rPr>
                <w:rFonts w:hint="eastAsia" w:ascii="宋体" w:hAnsi="宋体" w:eastAsia="宋体" w:cs="宋体"/>
                <w:b/>
                <w:bCs/>
                <w:color w:val="auto"/>
                <w:kern w:val="0"/>
                <w:szCs w:val="21"/>
                <w:highlight w:val="none"/>
              </w:rPr>
              <w:t>序号</w:t>
            </w:r>
          </w:p>
        </w:tc>
        <w:tc>
          <w:tcPr>
            <w:tcW w:w="0" w:type="auto"/>
            <w:tcBorders>
              <w:top w:val="single" w:color="auto" w:sz="4" w:space="0"/>
              <w:left w:val="single" w:color="auto" w:sz="4" w:space="0"/>
              <w:bottom w:val="single" w:color="auto" w:sz="4" w:space="0"/>
              <w:right w:val="single" w:color="auto" w:sz="4" w:space="0"/>
            </w:tcBorders>
            <w:shd w:val="clear" w:color="auto" w:fill="BEBEBE"/>
            <w:vAlign w:val="center"/>
          </w:tcPr>
          <w:p w14:paraId="0CAC9B78">
            <w:pPr>
              <w:pageBreakBefore w:val="0"/>
              <w:widowControl/>
              <w:kinsoku/>
              <w:wordWrap/>
              <w:overflowPunct/>
              <w:autoSpaceDE/>
              <w:autoSpaceDN/>
              <w:bidi w:val="0"/>
              <w:spacing w:beforeAutospacing="0" w:afterAutospacing="0" w:line="360" w:lineRule="auto"/>
              <w:jc w:val="center"/>
              <w:rPr>
                <w:rFonts w:hint="eastAsia" w:ascii="宋体" w:hAnsi="宋体" w:eastAsia="宋体" w:cs="宋体"/>
                <w:b/>
                <w:bCs/>
                <w:color w:val="auto"/>
                <w:kern w:val="0"/>
                <w:szCs w:val="21"/>
                <w:highlight w:val="none"/>
              </w:rPr>
            </w:pPr>
            <w:r>
              <w:rPr>
                <w:rFonts w:hint="eastAsia" w:ascii="宋体" w:hAnsi="宋体" w:eastAsia="宋体" w:cs="宋体"/>
                <w:b/>
                <w:bCs/>
                <w:color w:val="auto"/>
                <w:kern w:val="0"/>
                <w:szCs w:val="21"/>
                <w:highlight w:val="none"/>
              </w:rPr>
              <w:t>任务名称</w:t>
            </w:r>
          </w:p>
        </w:tc>
        <w:tc>
          <w:tcPr>
            <w:tcW w:w="0" w:type="auto"/>
            <w:tcBorders>
              <w:top w:val="single" w:color="auto" w:sz="4" w:space="0"/>
              <w:left w:val="single" w:color="auto" w:sz="4" w:space="0"/>
              <w:bottom w:val="single" w:color="auto" w:sz="4" w:space="0"/>
              <w:right w:val="single" w:color="auto" w:sz="4" w:space="0"/>
            </w:tcBorders>
            <w:shd w:val="clear" w:color="auto" w:fill="BEBEBE"/>
            <w:vAlign w:val="center"/>
          </w:tcPr>
          <w:p w14:paraId="0AC5EE3C">
            <w:pPr>
              <w:pageBreakBefore w:val="0"/>
              <w:widowControl/>
              <w:kinsoku/>
              <w:wordWrap/>
              <w:overflowPunct/>
              <w:autoSpaceDE/>
              <w:autoSpaceDN/>
              <w:bidi w:val="0"/>
              <w:spacing w:beforeAutospacing="0" w:afterAutospacing="0" w:line="360" w:lineRule="auto"/>
              <w:jc w:val="center"/>
              <w:rPr>
                <w:rFonts w:hint="eastAsia" w:ascii="宋体" w:hAnsi="宋体" w:eastAsia="宋体" w:cs="宋体"/>
                <w:b/>
                <w:bCs/>
                <w:color w:val="auto"/>
                <w:kern w:val="0"/>
                <w:szCs w:val="21"/>
                <w:highlight w:val="none"/>
              </w:rPr>
            </w:pPr>
            <w:r>
              <w:rPr>
                <w:rFonts w:hint="eastAsia" w:ascii="宋体" w:hAnsi="宋体" w:eastAsia="宋体" w:cs="宋体"/>
                <w:b/>
                <w:bCs/>
                <w:color w:val="auto"/>
                <w:kern w:val="0"/>
                <w:szCs w:val="21"/>
                <w:highlight w:val="none"/>
                <w:lang w:val="en-US" w:eastAsia="zh-CN"/>
              </w:rPr>
              <w:t>预计</w:t>
            </w:r>
            <w:r>
              <w:rPr>
                <w:rFonts w:hint="eastAsia" w:ascii="宋体" w:hAnsi="宋体" w:eastAsia="宋体" w:cs="宋体"/>
                <w:b/>
                <w:bCs/>
                <w:color w:val="auto"/>
                <w:kern w:val="0"/>
                <w:szCs w:val="21"/>
                <w:highlight w:val="none"/>
              </w:rPr>
              <w:t>工期</w:t>
            </w:r>
          </w:p>
        </w:tc>
        <w:tc>
          <w:tcPr>
            <w:tcW w:w="0" w:type="auto"/>
            <w:tcBorders>
              <w:top w:val="single" w:color="auto" w:sz="4" w:space="0"/>
              <w:left w:val="single" w:color="auto" w:sz="4" w:space="0"/>
              <w:bottom w:val="single" w:color="auto" w:sz="4" w:space="0"/>
              <w:right w:val="single" w:color="auto" w:sz="4" w:space="0"/>
            </w:tcBorders>
            <w:shd w:val="clear" w:color="auto" w:fill="BEBEBE"/>
            <w:vAlign w:val="center"/>
          </w:tcPr>
          <w:p w14:paraId="57E81E94">
            <w:pPr>
              <w:pageBreakBefore w:val="0"/>
              <w:widowControl/>
              <w:kinsoku/>
              <w:wordWrap/>
              <w:overflowPunct/>
              <w:autoSpaceDE/>
              <w:autoSpaceDN/>
              <w:bidi w:val="0"/>
              <w:spacing w:beforeAutospacing="0" w:afterAutospacing="0" w:line="360" w:lineRule="auto"/>
              <w:jc w:val="center"/>
              <w:rPr>
                <w:rFonts w:hint="eastAsia" w:ascii="宋体" w:hAnsi="宋体" w:eastAsia="宋体" w:cs="宋体"/>
                <w:b/>
                <w:bCs/>
                <w:color w:val="auto"/>
                <w:kern w:val="0"/>
                <w:szCs w:val="21"/>
                <w:highlight w:val="none"/>
              </w:rPr>
            </w:pPr>
            <w:r>
              <w:rPr>
                <w:rFonts w:hint="eastAsia" w:ascii="宋体" w:hAnsi="宋体" w:eastAsia="宋体" w:cs="宋体"/>
                <w:b/>
                <w:bCs/>
                <w:color w:val="auto"/>
                <w:kern w:val="0"/>
                <w:szCs w:val="21"/>
                <w:highlight w:val="none"/>
              </w:rPr>
              <w:t>任务描述</w:t>
            </w:r>
          </w:p>
        </w:tc>
      </w:tr>
      <w:tr w14:paraId="2BCEF0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 w:hRule="atLeast"/>
        </w:trPr>
        <w:tc>
          <w:tcPr>
            <w:tcW w:w="0" w:type="auto"/>
            <w:tcBorders>
              <w:top w:val="single" w:color="auto" w:sz="4" w:space="0"/>
              <w:left w:val="single" w:color="auto" w:sz="4" w:space="0"/>
              <w:bottom w:val="single" w:color="auto" w:sz="4" w:space="0"/>
              <w:right w:val="single" w:color="auto" w:sz="4" w:space="0"/>
            </w:tcBorders>
            <w:vAlign w:val="center"/>
          </w:tcPr>
          <w:p w14:paraId="6C7DEFAD">
            <w:pPr>
              <w:pageBreakBefore w:val="0"/>
              <w:widowControl/>
              <w:kinsoku/>
              <w:wordWrap/>
              <w:overflowPunct/>
              <w:autoSpaceDE/>
              <w:autoSpaceDN/>
              <w:bidi w:val="0"/>
              <w:spacing w:beforeAutospacing="0" w:afterAutospacing="0" w:line="360" w:lineRule="auto"/>
              <w:jc w:val="center"/>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val="en-US" w:eastAsia="zh-CN"/>
              </w:rPr>
              <w:t>1</w:t>
            </w:r>
          </w:p>
        </w:tc>
        <w:tc>
          <w:tcPr>
            <w:tcW w:w="0" w:type="auto"/>
            <w:tcBorders>
              <w:top w:val="single" w:color="auto" w:sz="4" w:space="0"/>
              <w:left w:val="single" w:color="auto" w:sz="4" w:space="0"/>
              <w:bottom w:val="single" w:color="auto" w:sz="4" w:space="0"/>
              <w:right w:val="single" w:color="auto" w:sz="4" w:space="0"/>
            </w:tcBorders>
            <w:vAlign w:val="center"/>
          </w:tcPr>
          <w:p w14:paraId="32AF527D">
            <w:pPr>
              <w:pageBreakBefore w:val="0"/>
              <w:widowControl/>
              <w:kinsoku/>
              <w:wordWrap/>
              <w:overflowPunct/>
              <w:autoSpaceDE/>
              <w:autoSpaceDN/>
              <w:bidi w:val="0"/>
              <w:spacing w:beforeAutospacing="0" w:afterAutospacing="0" w:line="360" w:lineRule="auto"/>
              <w:jc w:val="left"/>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项目启动</w:t>
            </w:r>
          </w:p>
        </w:tc>
        <w:tc>
          <w:tcPr>
            <w:tcW w:w="0" w:type="auto"/>
            <w:tcBorders>
              <w:top w:val="single" w:color="auto" w:sz="4" w:space="0"/>
              <w:left w:val="single" w:color="auto" w:sz="4" w:space="0"/>
              <w:bottom w:val="single" w:color="auto" w:sz="4" w:space="0"/>
              <w:right w:val="single" w:color="auto" w:sz="4" w:space="0"/>
            </w:tcBorders>
            <w:vAlign w:val="center"/>
          </w:tcPr>
          <w:p w14:paraId="5F85C599">
            <w:pPr>
              <w:pageBreakBefore w:val="0"/>
              <w:widowControl/>
              <w:kinsoku/>
              <w:wordWrap/>
              <w:overflowPunct/>
              <w:autoSpaceDE/>
              <w:autoSpaceDN/>
              <w:bidi w:val="0"/>
              <w:spacing w:beforeAutospacing="0" w:afterAutospacing="0" w:line="360" w:lineRule="auto"/>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rPr>
              <w:t>合同签订</w:t>
            </w:r>
            <w:r>
              <w:rPr>
                <w:rFonts w:hint="eastAsia" w:ascii="宋体" w:hAnsi="宋体" w:eastAsia="宋体" w:cs="宋体"/>
                <w:color w:val="auto"/>
                <w:kern w:val="0"/>
                <w:szCs w:val="21"/>
                <w:highlight w:val="none"/>
                <w:lang w:val="en-US" w:eastAsia="zh-CN"/>
              </w:rPr>
              <w:t>之日</w:t>
            </w:r>
          </w:p>
        </w:tc>
        <w:tc>
          <w:tcPr>
            <w:tcW w:w="0" w:type="auto"/>
            <w:tcBorders>
              <w:top w:val="single" w:color="auto" w:sz="4" w:space="0"/>
              <w:left w:val="single" w:color="auto" w:sz="4" w:space="0"/>
              <w:bottom w:val="single" w:color="auto" w:sz="4" w:space="0"/>
              <w:right w:val="single" w:color="auto" w:sz="4" w:space="0"/>
            </w:tcBorders>
            <w:vAlign w:val="center"/>
          </w:tcPr>
          <w:p w14:paraId="222226F3">
            <w:pPr>
              <w:pageBreakBefore w:val="0"/>
              <w:widowControl/>
              <w:kinsoku/>
              <w:wordWrap/>
              <w:overflowPunct/>
              <w:autoSpaceDE/>
              <w:autoSpaceDN/>
              <w:bidi w:val="0"/>
              <w:spacing w:beforeAutospacing="0" w:afterAutospacing="0" w:line="360" w:lineRule="auto"/>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完成合同签订工作。</w:t>
            </w:r>
          </w:p>
        </w:tc>
      </w:tr>
      <w:tr w14:paraId="5096B9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0" w:type="auto"/>
            <w:tcBorders>
              <w:top w:val="single" w:color="auto" w:sz="4" w:space="0"/>
              <w:left w:val="single" w:color="auto" w:sz="4" w:space="0"/>
              <w:bottom w:val="single" w:color="auto" w:sz="4" w:space="0"/>
              <w:right w:val="single" w:color="auto" w:sz="4" w:space="0"/>
            </w:tcBorders>
            <w:vAlign w:val="center"/>
          </w:tcPr>
          <w:p w14:paraId="5A1067EF">
            <w:pPr>
              <w:pageBreakBefore w:val="0"/>
              <w:widowControl/>
              <w:kinsoku/>
              <w:wordWrap/>
              <w:overflowPunct/>
              <w:autoSpaceDE/>
              <w:autoSpaceDN/>
              <w:bidi w:val="0"/>
              <w:spacing w:beforeAutospacing="0" w:afterAutospacing="0" w:line="360" w:lineRule="auto"/>
              <w:jc w:val="center"/>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val="en-US" w:eastAsia="zh-CN"/>
              </w:rPr>
              <w:t>2</w:t>
            </w:r>
          </w:p>
        </w:tc>
        <w:tc>
          <w:tcPr>
            <w:tcW w:w="0" w:type="auto"/>
            <w:tcBorders>
              <w:top w:val="single" w:color="auto" w:sz="4" w:space="0"/>
              <w:left w:val="single" w:color="auto" w:sz="4" w:space="0"/>
              <w:bottom w:val="single" w:color="auto" w:sz="4" w:space="0"/>
              <w:right w:val="single" w:color="auto" w:sz="4" w:space="0"/>
            </w:tcBorders>
            <w:vAlign w:val="center"/>
          </w:tcPr>
          <w:p w14:paraId="0DAAEC68">
            <w:pPr>
              <w:pageBreakBefore w:val="0"/>
              <w:widowControl/>
              <w:kinsoku/>
              <w:wordWrap/>
              <w:overflowPunct/>
              <w:autoSpaceDE/>
              <w:autoSpaceDN/>
              <w:bidi w:val="0"/>
              <w:spacing w:beforeAutospacing="0" w:afterAutospacing="0" w:line="360" w:lineRule="auto"/>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需求分析及设计</w:t>
            </w:r>
          </w:p>
        </w:tc>
        <w:tc>
          <w:tcPr>
            <w:tcW w:w="0" w:type="auto"/>
            <w:tcBorders>
              <w:top w:val="single" w:color="auto" w:sz="4" w:space="0"/>
              <w:left w:val="single" w:color="auto" w:sz="4" w:space="0"/>
              <w:bottom w:val="single" w:color="auto" w:sz="4" w:space="0"/>
              <w:right w:val="single" w:color="auto" w:sz="4" w:space="0"/>
            </w:tcBorders>
            <w:vAlign w:val="center"/>
          </w:tcPr>
          <w:p w14:paraId="616649FB">
            <w:pPr>
              <w:pageBreakBefore w:val="0"/>
              <w:widowControl/>
              <w:kinsoku/>
              <w:wordWrap/>
              <w:overflowPunct/>
              <w:autoSpaceDE/>
              <w:autoSpaceDN/>
              <w:bidi w:val="0"/>
              <w:spacing w:beforeAutospacing="0" w:afterAutospacing="0" w:line="360" w:lineRule="auto"/>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2026年10月</w:t>
            </w:r>
          </w:p>
        </w:tc>
        <w:tc>
          <w:tcPr>
            <w:tcW w:w="0" w:type="auto"/>
            <w:tcBorders>
              <w:top w:val="single" w:color="auto" w:sz="4" w:space="0"/>
              <w:left w:val="single" w:color="auto" w:sz="4" w:space="0"/>
              <w:bottom w:val="single" w:color="auto" w:sz="4" w:space="0"/>
              <w:right w:val="single" w:color="auto" w:sz="4" w:space="0"/>
            </w:tcBorders>
            <w:vAlign w:val="center"/>
          </w:tcPr>
          <w:p w14:paraId="48923C07">
            <w:pPr>
              <w:pageBreakBefore w:val="0"/>
              <w:widowControl/>
              <w:kinsoku/>
              <w:wordWrap/>
              <w:overflowPunct/>
              <w:autoSpaceDE/>
              <w:autoSpaceDN/>
              <w:bidi w:val="0"/>
              <w:spacing w:beforeAutospacing="0" w:afterAutospacing="0" w:line="360" w:lineRule="auto"/>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完成需求分析及设计（概设和详设等）工作</w:t>
            </w:r>
          </w:p>
        </w:tc>
      </w:tr>
      <w:tr w14:paraId="4B26C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2" w:hRule="atLeast"/>
        </w:trPr>
        <w:tc>
          <w:tcPr>
            <w:tcW w:w="0" w:type="auto"/>
            <w:tcBorders>
              <w:top w:val="single" w:color="auto" w:sz="4" w:space="0"/>
              <w:left w:val="single" w:color="auto" w:sz="4" w:space="0"/>
              <w:bottom w:val="single" w:color="auto" w:sz="4" w:space="0"/>
              <w:right w:val="single" w:color="auto" w:sz="4" w:space="0"/>
            </w:tcBorders>
            <w:vAlign w:val="center"/>
          </w:tcPr>
          <w:p w14:paraId="2ED786CC">
            <w:pPr>
              <w:pageBreakBefore w:val="0"/>
              <w:widowControl/>
              <w:kinsoku/>
              <w:wordWrap/>
              <w:overflowPunct/>
              <w:autoSpaceDE/>
              <w:autoSpaceDN/>
              <w:bidi w:val="0"/>
              <w:spacing w:beforeAutospacing="0" w:afterAutospacing="0" w:line="360" w:lineRule="auto"/>
              <w:jc w:val="center"/>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val="en-US" w:eastAsia="zh-CN"/>
              </w:rPr>
              <w:t>3</w:t>
            </w:r>
          </w:p>
        </w:tc>
        <w:tc>
          <w:tcPr>
            <w:tcW w:w="0" w:type="auto"/>
            <w:tcBorders>
              <w:top w:val="single" w:color="auto" w:sz="4" w:space="0"/>
              <w:left w:val="single" w:color="auto" w:sz="4" w:space="0"/>
              <w:bottom w:val="single" w:color="auto" w:sz="4" w:space="0"/>
              <w:right w:val="single" w:color="auto" w:sz="4" w:space="0"/>
            </w:tcBorders>
            <w:vAlign w:val="center"/>
          </w:tcPr>
          <w:p w14:paraId="6F8DE564">
            <w:pPr>
              <w:pageBreakBefore w:val="0"/>
              <w:widowControl/>
              <w:kinsoku/>
              <w:wordWrap/>
              <w:overflowPunct/>
              <w:autoSpaceDE/>
              <w:autoSpaceDN/>
              <w:bidi w:val="0"/>
              <w:spacing w:beforeAutospacing="0" w:afterAutospacing="0" w:line="360" w:lineRule="auto"/>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系统开发及部署</w:t>
            </w:r>
          </w:p>
        </w:tc>
        <w:tc>
          <w:tcPr>
            <w:tcW w:w="0" w:type="auto"/>
            <w:tcBorders>
              <w:top w:val="single" w:color="auto" w:sz="4" w:space="0"/>
              <w:left w:val="single" w:color="auto" w:sz="4" w:space="0"/>
              <w:bottom w:val="single" w:color="auto" w:sz="4" w:space="0"/>
              <w:right w:val="single" w:color="auto" w:sz="4" w:space="0"/>
            </w:tcBorders>
            <w:vAlign w:val="center"/>
          </w:tcPr>
          <w:p w14:paraId="4E3BE4B6">
            <w:pPr>
              <w:pageBreakBefore w:val="0"/>
              <w:widowControl/>
              <w:kinsoku/>
              <w:wordWrap/>
              <w:overflowPunct/>
              <w:autoSpaceDE/>
              <w:autoSpaceDN/>
              <w:bidi w:val="0"/>
              <w:spacing w:beforeAutospacing="0" w:afterAutospacing="0" w:line="360" w:lineRule="auto"/>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2027年5月</w:t>
            </w:r>
          </w:p>
        </w:tc>
        <w:tc>
          <w:tcPr>
            <w:tcW w:w="0" w:type="auto"/>
            <w:tcBorders>
              <w:top w:val="single" w:color="auto" w:sz="4" w:space="0"/>
              <w:left w:val="single" w:color="auto" w:sz="4" w:space="0"/>
              <w:bottom w:val="single" w:color="auto" w:sz="4" w:space="0"/>
              <w:right w:val="single" w:color="auto" w:sz="4" w:space="0"/>
            </w:tcBorders>
            <w:vAlign w:val="center"/>
          </w:tcPr>
          <w:p w14:paraId="66EE9108">
            <w:pPr>
              <w:pageBreakBefore w:val="0"/>
              <w:widowControl/>
              <w:kinsoku/>
              <w:wordWrap/>
              <w:overflowPunct/>
              <w:autoSpaceDE/>
              <w:autoSpaceDN/>
              <w:bidi w:val="0"/>
              <w:spacing w:beforeAutospacing="0" w:afterAutospacing="0" w:line="360" w:lineRule="auto"/>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完成系统功能开发及部署</w:t>
            </w:r>
          </w:p>
        </w:tc>
      </w:tr>
      <w:tr w14:paraId="7BA121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6" w:hRule="atLeast"/>
        </w:trPr>
        <w:tc>
          <w:tcPr>
            <w:tcW w:w="0" w:type="auto"/>
            <w:tcBorders>
              <w:top w:val="single" w:color="auto" w:sz="4" w:space="0"/>
              <w:left w:val="single" w:color="auto" w:sz="4" w:space="0"/>
              <w:bottom w:val="single" w:color="auto" w:sz="4" w:space="0"/>
              <w:right w:val="single" w:color="auto" w:sz="4" w:space="0"/>
            </w:tcBorders>
            <w:vAlign w:val="center"/>
          </w:tcPr>
          <w:p w14:paraId="0901520B">
            <w:pPr>
              <w:pageBreakBefore w:val="0"/>
              <w:widowControl/>
              <w:kinsoku/>
              <w:wordWrap/>
              <w:overflowPunct/>
              <w:autoSpaceDE/>
              <w:autoSpaceDN/>
              <w:bidi w:val="0"/>
              <w:spacing w:beforeAutospacing="0" w:afterAutospacing="0" w:line="360" w:lineRule="auto"/>
              <w:jc w:val="center"/>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val="en-US" w:eastAsia="zh-CN"/>
              </w:rPr>
              <w:t>4</w:t>
            </w:r>
          </w:p>
        </w:tc>
        <w:tc>
          <w:tcPr>
            <w:tcW w:w="0" w:type="auto"/>
            <w:tcBorders>
              <w:top w:val="single" w:color="auto" w:sz="4" w:space="0"/>
              <w:left w:val="single" w:color="auto" w:sz="4" w:space="0"/>
              <w:bottom w:val="single" w:color="auto" w:sz="4" w:space="0"/>
              <w:right w:val="single" w:color="auto" w:sz="4" w:space="0"/>
            </w:tcBorders>
            <w:vAlign w:val="center"/>
          </w:tcPr>
          <w:p w14:paraId="44505F44">
            <w:pPr>
              <w:pageBreakBefore w:val="0"/>
              <w:widowControl/>
              <w:kinsoku/>
              <w:wordWrap/>
              <w:overflowPunct/>
              <w:autoSpaceDE/>
              <w:autoSpaceDN/>
              <w:bidi w:val="0"/>
              <w:spacing w:beforeAutospacing="0" w:afterAutospacing="0" w:line="360" w:lineRule="auto"/>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初步验收</w:t>
            </w:r>
          </w:p>
        </w:tc>
        <w:tc>
          <w:tcPr>
            <w:tcW w:w="0" w:type="auto"/>
            <w:tcBorders>
              <w:top w:val="single" w:color="auto" w:sz="4" w:space="0"/>
              <w:left w:val="single" w:color="auto" w:sz="4" w:space="0"/>
              <w:bottom w:val="single" w:color="auto" w:sz="4" w:space="0"/>
              <w:right w:val="single" w:color="auto" w:sz="4" w:space="0"/>
            </w:tcBorders>
            <w:vAlign w:val="center"/>
          </w:tcPr>
          <w:p w14:paraId="4A9CE98B">
            <w:pPr>
              <w:pageBreakBefore w:val="0"/>
              <w:widowControl/>
              <w:kinsoku/>
              <w:wordWrap/>
              <w:overflowPunct/>
              <w:autoSpaceDE/>
              <w:autoSpaceDN/>
              <w:bidi w:val="0"/>
              <w:spacing w:beforeAutospacing="0" w:afterAutospacing="0" w:line="360" w:lineRule="auto"/>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2027年6月</w:t>
            </w:r>
          </w:p>
        </w:tc>
        <w:tc>
          <w:tcPr>
            <w:tcW w:w="0" w:type="auto"/>
            <w:tcBorders>
              <w:top w:val="single" w:color="auto" w:sz="4" w:space="0"/>
              <w:left w:val="single" w:color="auto" w:sz="4" w:space="0"/>
              <w:bottom w:val="single" w:color="auto" w:sz="4" w:space="0"/>
              <w:right w:val="single" w:color="auto" w:sz="4" w:space="0"/>
            </w:tcBorders>
            <w:vAlign w:val="center"/>
          </w:tcPr>
          <w:p w14:paraId="5B39F869">
            <w:pPr>
              <w:pageBreakBefore w:val="0"/>
              <w:widowControl/>
              <w:kinsoku/>
              <w:wordWrap/>
              <w:overflowPunct/>
              <w:autoSpaceDE/>
              <w:autoSpaceDN/>
              <w:bidi w:val="0"/>
              <w:spacing w:beforeAutospacing="0" w:afterAutospacing="0" w:line="360" w:lineRule="auto"/>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完成系统功能验收等工作</w:t>
            </w:r>
          </w:p>
        </w:tc>
      </w:tr>
      <w:tr w14:paraId="11E26B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5" w:hRule="atLeast"/>
        </w:trPr>
        <w:tc>
          <w:tcPr>
            <w:tcW w:w="0" w:type="auto"/>
            <w:tcBorders>
              <w:top w:val="single" w:color="auto" w:sz="4" w:space="0"/>
              <w:left w:val="single" w:color="auto" w:sz="4" w:space="0"/>
              <w:bottom w:val="single" w:color="auto" w:sz="4" w:space="0"/>
              <w:right w:val="single" w:color="auto" w:sz="4" w:space="0"/>
            </w:tcBorders>
            <w:vAlign w:val="center"/>
          </w:tcPr>
          <w:p w14:paraId="35D5990F">
            <w:pPr>
              <w:pageBreakBefore w:val="0"/>
              <w:widowControl/>
              <w:kinsoku/>
              <w:wordWrap/>
              <w:overflowPunct/>
              <w:autoSpaceDE/>
              <w:autoSpaceDN/>
              <w:bidi w:val="0"/>
              <w:spacing w:beforeAutospacing="0" w:afterAutospacing="0" w:line="360" w:lineRule="auto"/>
              <w:jc w:val="center"/>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val="en-US" w:eastAsia="zh-CN"/>
              </w:rPr>
              <w:t>5</w:t>
            </w:r>
          </w:p>
        </w:tc>
        <w:tc>
          <w:tcPr>
            <w:tcW w:w="0" w:type="auto"/>
            <w:tcBorders>
              <w:top w:val="single" w:color="auto" w:sz="4" w:space="0"/>
              <w:left w:val="single" w:color="auto" w:sz="4" w:space="0"/>
              <w:bottom w:val="single" w:color="auto" w:sz="4" w:space="0"/>
              <w:right w:val="single" w:color="auto" w:sz="4" w:space="0"/>
            </w:tcBorders>
            <w:vAlign w:val="center"/>
          </w:tcPr>
          <w:p w14:paraId="114C7741">
            <w:pPr>
              <w:pageBreakBefore w:val="0"/>
              <w:widowControl/>
              <w:kinsoku/>
              <w:wordWrap/>
              <w:overflowPunct/>
              <w:autoSpaceDE/>
              <w:autoSpaceDN/>
              <w:bidi w:val="0"/>
              <w:spacing w:beforeAutospacing="0" w:afterAutospacing="0" w:line="360" w:lineRule="auto"/>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试运行</w:t>
            </w:r>
          </w:p>
        </w:tc>
        <w:tc>
          <w:tcPr>
            <w:tcW w:w="0" w:type="auto"/>
            <w:tcBorders>
              <w:top w:val="single" w:color="auto" w:sz="4" w:space="0"/>
              <w:left w:val="single" w:color="auto" w:sz="4" w:space="0"/>
              <w:bottom w:val="single" w:color="auto" w:sz="4" w:space="0"/>
              <w:right w:val="single" w:color="auto" w:sz="4" w:space="0"/>
            </w:tcBorders>
            <w:vAlign w:val="center"/>
          </w:tcPr>
          <w:p w14:paraId="7217B1D5">
            <w:pPr>
              <w:pageBreakBefore w:val="0"/>
              <w:widowControl/>
              <w:kinsoku/>
              <w:wordWrap/>
              <w:overflowPunct/>
              <w:autoSpaceDE/>
              <w:autoSpaceDN/>
              <w:bidi w:val="0"/>
              <w:spacing w:beforeAutospacing="0" w:afterAutospacing="0" w:line="360" w:lineRule="auto"/>
              <w:jc w:val="center"/>
              <w:rPr>
                <w:rFonts w:hint="default" w:ascii="宋体" w:hAnsi="宋体" w:eastAsia="宋体" w:cs="宋体"/>
                <w:color w:val="auto"/>
                <w:kern w:val="0"/>
                <w:szCs w:val="21"/>
                <w:highlight w:val="none"/>
                <w:lang w:val="en-US" w:eastAsia="zh-CN"/>
              </w:rPr>
            </w:pPr>
            <w:r>
              <w:rPr>
                <w:rFonts w:hint="eastAsia" w:ascii="宋体" w:hAnsi="宋体" w:eastAsia="宋体" w:cs="宋体"/>
                <w:color w:val="auto"/>
                <w:kern w:val="0"/>
                <w:szCs w:val="21"/>
                <w:highlight w:val="none"/>
                <w:lang w:val="en-US" w:eastAsia="zh-CN"/>
              </w:rPr>
              <w:t>2027年9月</w:t>
            </w:r>
          </w:p>
        </w:tc>
        <w:tc>
          <w:tcPr>
            <w:tcW w:w="0" w:type="auto"/>
            <w:tcBorders>
              <w:top w:val="single" w:color="auto" w:sz="4" w:space="0"/>
              <w:left w:val="single" w:color="auto" w:sz="4" w:space="0"/>
              <w:bottom w:val="single" w:color="auto" w:sz="4" w:space="0"/>
              <w:right w:val="single" w:color="auto" w:sz="4" w:space="0"/>
            </w:tcBorders>
            <w:vAlign w:val="center"/>
          </w:tcPr>
          <w:p w14:paraId="2F3022F2">
            <w:pPr>
              <w:pageBreakBefore w:val="0"/>
              <w:widowControl/>
              <w:kinsoku/>
              <w:wordWrap/>
              <w:overflowPunct/>
              <w:autoSpaceDE/>
              <w:autoSpaceDN/>
              <w:bidi w:val="0"/>
              <w:spacing w:beforeAutospacing="0" w:afterAutospacing="0" w:line="360" w:lineRule="auto"/>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系统试运行</w:t>
            </w:r>
          </w:p>
        </w:tc>
      </w:tr>
      <w:tr w14:paraId="473A9C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trPr>
        <w:tc>
          <w:tcPr>
            <w:tcW w:w="0" w:type="auto"/>
            <w:tcBorders>
              <w:top w:val="single" w:color="auto" w:sz="4" w:space="0"/>
              <w:left w:val="single" w:color="auto" w:sz="4" w:space="0"/>
              <w:bottom w:val="single" w:color="auto" w:sz="4" w:space="0"/>
              <w:right w:val="single" w:color="auto" w:sz="4" w:space="0"/>
            </w:tcBorders>
            <w:vAlign w:val="center"/>
          </w:tcPr>
          <w:p w14:paraId="0C7F33C4">
            <w:pPr>
              <w:pageBreakBefore w:val="0"/>
              <w:widowControl/>
              <w:kinsoku/>
              <w:wordWrap/>
              <w:overflowPunct/>
              <w:autoSpaceDE/>
              <w:autoSpaceDN/>
              <w:bidi w:val="0"/>
              <w:spacing w:beforeAutospacing="0" w:afterAutospacing="0" w:line="360" w:lineRule="auto"/>
              <w:jc w:val="center"/>
              <w:rPr>
                <w:rFonts w:hint="eastAsia" w:ascii="宋体" w:hAnsi="宋体" w:eastAsia="宋体" w:cs="宋体"/>
                <w:color w:val="auto"/>
                <w:kern w:val="0"/>
                <w:szCs w:val="21"/>
                <w:highlight w:val="none"/>
                <w:lang w:eastAsia="zh-CN"/>
              </w:rPr>
            </w:pPr>
            <w:r>
              <w:rPr>
                <w:rFonts w:hint="eastAsia" w:ascii="宋体" w:hAnsi="宋体" w:eastAsia="宋体" w:cs="宋体"/>
                <w:color w:val="auto"/>
                <w:kern w:val="0"/>
                <w:szCs w:val="21"/>
                <w:highlight w:val="none"/>
                <w:lang w:val="en-US" w:eastAsia="zh-CN"/>
              </w:rPr>
              <w:t>6</w:t>
            </w:r>
          </w:p>
        </w:tc>
        <w:tc>
          <w:tcPr>
            <w:tcW w:w="0" w:type="auto"/>
            <w:tcBorders>
              <w:top w:val="single" w:color="auto" w:sz="4" w:space="0"/>
              <w:left w:val="single" w:color="auto" w:sz="4" w:space="0"/>
              <w:bottom w:val="single" w:color="auto" w:sz="4" w:space="0"/>
              <w:right w:val="single" w:color="auto" w:sz="4" w:space="0"/>
            </w:tcBorders>
            <w:vAlign w:val="center"/>
          </w:tcPr>
          <w:p w14:paraId="55C07BC8">
            <w:pPr>
              <w:pageBreakBefore w:val="0"/>
              <w:widowControl/>
              <w:kinsoku/>
              <w:wordWrap/>
              <w:overflowPunct/>
              <w:autoSpaceDE/>
              <w:autoSpaceDN/>
              <w:bidi w:val="0"/>
              <w:spacing w:beforeAutospacing="0" w:afterAutospacing="0" w:line="360" w:lineRule="auto"/>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竣工验收</w:t>
            </w:r>
          </w:p>
        </w:tc>
        <w:tc>
          <w:tcPr>
            <w:tcW w:w="0" w:type="auto"/>
            <w:tcBorders>
              <w:top w:val="single" w:color="auto" w:sz="4" w:space="0"/>
              <w:left w:val="single" w:color="auto" w:sz="4" w:space="0"/>
              <w:bottom w:val="single" w:color="auto" w:sz="4" w:space="0"/>
              <w:right w:val="single" w:color="auto" w:sz="4" w:space="0"/>
            </w:tcBorders>
            <w:vAlign w:val="center"/>
          </w:tcPr>
          <w:p w14:paraId="7D5FCE4F">
            <w:pPr>
              <w:pageBreakBefore w:val="0"/>
              <w:widowControl/>
              <w:kinsoku/>
              <w:wordWrap/>
              <w:overflowPunct/>
              <w:autoSpaceDE/>
              <w:autoSpaceDN/>
              <w:bidi w:val="0"/>
              <w:spacing w:beforeAutospacing="0" w:afterAutospacing="0" w:line="360" w:lineRule="auto"/>
              <w:jc w:val="center"/>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lang w:val="en-US" w:eastAsia="zh-CN"/>
              </w:rPr>
              <w:t>2027年10</w:t>
            </w:r>
            <w:r>
              <w:rPr>
                <w:rFonts w:hint="eastAsia" w:ascii="宋体" w:hAnsi="宋体" w:eastAsia="宋体" w:cs="宋体"/>
                <w:color w:val="auto"/>
                <w:kern w:val="0"/>
                <w:szCs w:val="21"/>
                <w:highlight w:val="none"/>
              </w:rPr>
              <w:t>月</w:t>
            </w:r>
          </w:p>
        </w:tc>
        <w:tc>
          <w:tcPr>
            <w:tcW w:w="0" w:type="auto"/>
            <w:tcBorders>
              <w:top w:val="single" w:color="auto" w:sz="4" w:space="0"/>
              <w:left w:val="single" w:color="auto" w:sz="4" w:space="0"/>
              <w:bottom w:val="single" w:color="auto" w:sz="4" w:space="0"/>
              <w:right w:val="single" w:color="auto" w:sz="4" w:space="0"/>
            </w:tcBorders>
            <w:vAlign w:val="center"/>
          </w:tcPr>
          <w:p w14:paraId="58218292">
            <w:pPr>
              <w:pageBreakBefore w:val="0"/>
              <w:widowControl/>
              <w:kinsoku/>
              <w:wordWrap/>
              <w:overflowPunct/>
              <w:autoSpaceDE/>
              <w:autoSpaceDN/>
              <w:bidi w:val="0"/>
              <w:spacing w:beforeAutospacing="0" w:afterAutospacing="0" w:line="360" w:lineRule="auto"/>
              <w:jc w:val="left"/>
              <w:rPr>
                <w:rFonts w:hint="eastAsia" w:ascii="宋体" w:hAnsi="宋体" w:eastAsia="宋体" w:cs="宋体"/>
                <w:color w:val="auto"/>
                <w:kern w:val="0"/>
                <w:szCs w:val="21"/>
                <w:highlight w:val="none"/>
              </w:rPr>
            </w:pPr>
            <w:r>
              <w:rPr>
                <w:rFonts w:hint="eastAsia" w:ascii="宋体" w:hAnsi="宋体" w:eastAsia="宋体" w:cs="宋体"/>
                <w:color w:val="auto"/>
                <w:kern w:val="0"/>
                <w:szCs w:val="21"/>
                <w:highlight w:val="none"/>
              </w:rPr>
              <w:t>完成竣工验收工作</w:t>
            </w:r>
          </w:p>
        </w:tc>
      </w:tr>
    </w:tbl>
    <w:p w14:paraId="6EB1C182">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3.11.1上线前</w:t>
      </w:r>
    </w:p>
    <w:p w14:paraId="3730376E">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3.11.1.1项目启动</w:t>
      </w:r>
    </w:p>
    <w:p w14:paraId="4F09BF44">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投标人须按照工作方案的目标及要求，组织编制整体实施方案并通过招标人评审。投标人须协助召开项目启动会，明确项目实施负责人、干系人、目标和计划，并配合编制会议相关材料。</w:t>
      </w:r>
    </w:p>
    <w:p w14:paraId="3E41DC97">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3.11.1.2系统环境准备</w:t>
      </w:r>
    </w:p>
    <w:p w14:paraId="4556DD4B">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投标人须完成服务器环境搭建准备工作，包括资源申请、策略开通、数据库部署、应用服务部署等。完成区块链节点部署与跨链通道连通性验证。</w:t>
      </w:r>
    </w:p>
    <w:p w14:paraId="24A1A792">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3.11.1.3系统初始化</w:t>
      </w:r>
    </w:p>
    <w:p w14:paraId="1FDD3D44">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3.11.1.3.1 静态数据准备</w:t>
      </w:r>
    </w:p>
    <w:p w14:paraId="0599F895">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投标人须完成静态数据环境分析，包括库表完整性、数据同步工具、相关策略开通、权限情况等。在此基础上编制静态数据准备方案，落实各项准备工作任务和交付物，包括角色、岗位、流程、台账基础和业务配置收集模板。投标人须编制静态数据准备工作作业指导书，内容涵盖系统权限（角色、岗位、流程）配置及业务基础数据配置工作操作指引，并在静态数据准备工作开始前组织开展基础数据维护、人员、角色、岗位、流程配置工作宣贯和配置培训。</w:t>
      </w:r>
    </w:p>
    <w:p w14:paraId="65741134">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3.11.1.3.2动态数据准备</w:t>
      </w:r>
    </w:p>
    <w:p w14:paraId="188130CC">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投标人须完成动态数据环境分析，包括软件安装、环境配置参数、数据库空间、中间件、策略开通等工作。在此基础上编制数据清理方案、数据迁移方案和数据验证方案，并编制对应的数据治理工作指引、迁移工作指引和数据验证工作指引。投标人须在动态数据准备工作开始前组织开展数据治理、迁移、验证工作方案宣贯和迁移培训。</w:t>
      </w:r>
    </w:p>
    <w:p w14:paraId="7475FF3C">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3.11.1.4集成调试</w:t>
      </w:r>
    </w:p>
    <w:p w14:paraId="61498A3C">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投标人须完成软件集成调试和硬件集成调试两部分工作。软件集成调试须覆盖应用侧与中台或其他系统间集成所涉及的适配、调试工作，包括测试用例编制、环境准备、数据准备、接口调试、测试报告编制及问题处理。</w:t>
      </w:r>
    </w:p>
    <w:p w14:paraId="475D75B5">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3.11.1.5最终用户培训</w:t>
      </w:r>
    </w:p>
    <w:p w14:paraId="33A401E0">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投标人须编写培训教材，可在软件产品厂商或开发厂商提供的培训课件基础上，结合甲方具体情况进行调整优化，或重新编写。投标人须完成培训场地落实及必要设备部署调试工作，按计划组织对甲方运维人员及相关业务人员开展培训，并对培训成效进行及时评估，对于多批次培训应依据评估结果持续优化培训过程，提升培训质量。</w:t>
      </w:r>
    </w:p>
    <w:p w14:paraId="1E28EB94">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3.11.1.6上线切换</w:t>
      </w:r>
    </w:p>
    <w:p w14:paraId="795C92D1">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3.11.1.6.1上线切换准备</w:t>
      </w:r>
    </w:p>
    <w:p w14:paraId="49540792">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投标人须完成系统切换测试，包括技术验证和业务验证两部分。技术验证内容包括系统基础配置有效性验证、权限配置有效性验证、系统功能测试、性能测试及安全测试；业务验证内容包括编制业务验证指引和用例、组织业务验证培训及组织开展业务验证。投标人须编制系统上线切换方案、上线应急保障方案、上线演练方案及上线试运行方案。投标人须按照上线切换工作方案和演练方案组织开展上线切换演练。投标人须协助策划并组织召开上线启动会，配合完成会议材料的编写、评审、定稿及会议现场准备工作。</w:t>
      </w:r>
    </w:p>
    <w:p w14:paraId="1C0E3EB9">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3.11.1.6.2系统上线切换</w:t>
      </w:r>
    </w:p>
    <w:p w14:paraId="5514D651">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投标人须按照切换准备工作方案，配合招标方成立切换工作组，开展系统正式环境切换工作。</w:t>
      </w:r>
    </w:p>
    <w:p w14:paraId="534866DE">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3.11.2试运行</w:t>
      </w:r>
    </w:p>
    <w:p w14:paraId="14E7FB23">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3.11.2.1小版本发布</w:t>
      </w:r>
    </w:p>
    <w:p w14:paraId="28BF9610">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试运行期间，投标人须解答与处理一线用户问题，包括操作咨询、权限配置等现场可直接处理的问题，须同时覆盖现场和后台人员。对于系统缺陷、功能改进、功能需求等现场不能直接处理的功能性二线问题，投标人须建立管理跟踪机制并及时反馈处理结果。版本发布须开展发布测评并形成测评报告，按照发布作业管理流程完成申请、审批后，依据作业操作票执行版本发布更新，并按照版本问题更新清单组织开展功能测试验证工作。</w:t>
      </w:r>
    </w:p>
    <w:p w14:paraId="287E5814">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3.11.2.2试运行期限</w:t>
      </w:r>
    </w:p>
    <w:p w14:paraId="1EE7826E">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试运行期间，投标人须对应用服务器及数据服务器进行日常运行监控，并开展服务器平台调优与日常维护工作，同时提供系统使用答疑和问题管理服务。试运行期限1个月。</w:t>
      </w:r>
    </w:p>
    <w:p w14:paraId="455A7E8A">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3.11.3运行维护</w:t>
      </w:r>
    </w:p>
    <w:p w14:paraId="024F8EDC">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3.11.3.1运维模式</w:t>
      </w:r>
    </w:p>
    <w:p w14:paraId="229BCE04">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项目通过初验后进入试运行阶段，由招标人系统运维部门系统管理员与投标人人员共同组建混合运维团队，共同承担试运行期间的运维工作。所有运维工作须通过招标人指定南网安全堡垒机执行，运维行为由南网安全堡垒机进行全程记录和审计。</w:t>
      </w:r>
    </w:p>
    <w:p w14:paraId="5F003C05">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3.11.3.2运维职责划分</w:t>
      </w:r>
    </w:p>
    <w:p w14:paraId="056F1570">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试运行阶段，运维职责以项目建设部门为主、系统运维部门为辅。终验通过并完成系统移交后，运维职责转移至招标人系统运维部门承担，职责分工如下：</w:t>
      </w:r>
    </w:p>
    <w:p w14:paraId="5FDE3602">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招标人系统运维部门主要负责核心业务运维，包括核心设备的日常配置管理、重要应用系统的数据管理及用户权限管理等；投标人人员主要负责系统后台运维，包括BUG修复完善、性能优化等工作。</w:t>
      </w:r>
    </w:p>
    <w:p w14:paraId="5ED64C4F">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3.11.3.3运维考核</w:t>
      </w:r>
    </w:p>
    <w:p w14:paraId="30B0C8B9">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运维期间，甲方将依据合同约定严格开展质检工作，对不达标的运维工作进行考核。运维费用依据《南方电网公司信息化项目预算编制与计算方法》等标准，通过年度例行信息系统维护等项目统筹考虑。</w:t>
      </w:r>
    </w:p>
    <w:p w14:paraId="7C0A5B74">
      <w:pPr>
        <w:pStyle w:val="5"/>
        <w:pageBreakBefore w:val="0"/>
        <w:numPr>
          <w:ilvl w:val="2"/>
          <w:numId w:val="0"/>
        </w:numPr>
        <w:kinsoku/>
        <w:wordWrap/>
        <w:overflowPunct/>
        <w:autoSpaceDE/>
        <w:autoSpaceDN/>
        <w:bidi w:val="0"/>
        <w:spacing w:beforeAutospacing="0" w:afterAutospacing="0" w:line="360" w:lineRule="auto"/>
        <w:ind w:left="142"/>
        <w:outlineLvl w:val="1"/>
        <w:rPr>
          <w:rFonts w:hint="eastAsia" w:eastAsia="宋体" w:cs="Times New Roman"/>
          <w:color w:val="auto"/>
          <w:sz w:val="24"/>
          <w:szCs w:val="24"/>
          <w:highlight w:val="none"/>
        </w:rPr>
      </w:pPr>
      <w:bookmarkStart w:id="66" w:name="_Toc466996329"/>
      <w:bookmarkStart w:id="67" w:name="_Toc958"/>
      <w:bookmarkStart w:id="68" w:name="_Toc30595"/>
      <w:r>
        <w:rPr>
          <w:rFonts w:hint="eastAsia" w:eastAsia="宋体" w:cs="Times New Roman"/>
          <w:color w:val="auto"/>
          <w:sz w:val="24"/>
          <w:szCs w:val="24"/>
          <w:highlight w:val="none"/>
        </w:rPr>
        <w:t>3.12测试要求</w:t>
      </w:r>
      <w:bookmarkEnd w:id="66"/>
      <w:bookmarkEnd w:id="67"/>
      <w:bookmarkEnd w:id="68"/>
    </w:p>
    <w:p w14:paraId="46F5BAAE">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投标人须对本项目涉及的所有功能模块和系统集成内容开展全面测试，测试须覆盖功能、性能、安全等多个维度，合理设计测试方案和测试用例，选用适当的测试工具，搭建符合要求的测试环境，测试完成后提交真实完整的测试报告，并对测试中发现的问题进行闭环处理。</w:t>
      </w:r>
    </w:p>
    <w:p w14:paraId="7711F9D4">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具体测试工作包括：代码开发完成后组织单元测试和集成测试；系统测试版本发布后，配合开展第三方性能测试和安全测试，并组织功能测试；上线前须完成联调测试，确保本项目与招标人内部业务系统及外部对接平台之间的集成功能满足要求，联调测试须覆盖本项目所涉及的全部内容，并遵从招标人统一协调安排。</w:t>
      </w:r>
    </w:p>
    <w:p w14:paraId="076EAFB8">
      <w:pPr>
        <w:pStyle w:val="5"/>
        <w:pageBreakBefore w:val="0"/>
        <w:numPr>
          <w:ilvl w:val="2"/>
          <w:numId w:val="0"/>
        </w:numPr>
        <w:kinsoku/>
        <w:wordWrap/>
        <w:overflowPunct/>
        <w:autoSpaceDE/>
        <w:autoSpaceDN/>
        <w:bidi w:val="0"/>
        <w:spacing w:beforeAutospacing="0" w:afterAutospacing="0" w:line="360" w:lineRule="auto"/>
        <w:ind w:left="142"/>
        <w:outlineLvl w:val="1"/>
        <w:rPr>
          <w:rFonts w:hint="eastAsia" w:asciiTheme="minorEastAsia" w:hAnsiTheme="minorEastAsia" w:cstheme="minorEastAsia"/>
          <w:color w:val="auto"/>
          <w:sz w:val="24"/>
          <w:szCs w:val="24"/>
          <w:highlight w:val="none"/>
        </w:rPr>
      </w:pPr>
      <w:bookmarkStart w:id="69" w:name="_Toc29433"/>
      <w:bookmarkStart w:id="70" w:name="_Toc8969"/>
      <w:bookmarkStart w:id="71" w:name="_Toc31369"/>
      <w:bookmarkStart w:id="72" w:name="_Toc12743"/>
      <w:bookmarkStart w:id="73" w:name="_Toc32284"/>
      <w:r>
        <w:rPr>
          <w:rFonts w:hint="eastAsia" w:eastAsia="宋体" w:cs="Times New Roman"/>
          <w:color w:val="auto"/>
          <w:sz w:val="24"/>
          <w:szCs w:val="24"/>
          <w:highlight w:val="none"/>
        </w:rPr>
        <w:t>3.13项目转分包要求</w:t>
      </w:r>
      <w:bookmarkEnd w:id="69"/>
      <w:bookmarkEnd w:id="70"/>
      <w:bookmarkEnd w:id="71"/>
      <w:bookmarkEnd w:id="72"/>
      <w:bookmarkEnd w:id="73"/>
    </w:p>
    <w:p w14:paraId="561A0810">
      <w:pPr>
        <w:pageBreakBefore w:val="0"/>
        <w:kinsoku/>
        <w:wordWrap/>
        <w:overflowPunct/>
        <w:autoSpaceDE/>
        <w:autoSpaceDN/>
        <w:bidi w:val="0"/>
        <w:spacing w:beforeAutospacing="0" w:afterAutospacing="0" w:line="360" w:lineRule="auto"/>
        <w:ind w:firstLine="480" w:firstLineChars="200"/>
        <w:jc w:val="left"/>
        <w:rPr>
          <w:rFonts w:hint="eastAsia"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1. 投标人不得将本合同项目转包给第三方。</w:t>
      </w:r>
    </w:p>
    <w:p w14:paraId="08F5264E">
      <w:pPr>
        <w:pageBreakBefore w:val="0"/>
        <w:kinsoku/>
        <w:wordWrap/>
        <w:overflowPunct/>
        <w:autoSpaceDE/>
        <w:autoSpaceDN/>
        <w:bidi w:val="0"/>
        <w:spacing w:beforeAutospacing="0" w:afterAutospacing="0" w:line="360" w:lineRule="auto"/>
        <w:ind w:firstLine="480" w:firstLineChars="200"/>
        <w:jc w:val="left"/>
        <w:rPr>
          <w:rFonts w:hint="eastAsia"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2. 原则上不允许投标人将本合同项目分包给第三方，如确有需要，必须经招标人许可，投标人方可将本合同项目部分内容分包给第三方，且分包必须符合以下条件：</w:t>
      </w:r>
    </w:p>
    <w:p w14:paraId="7E8EFB30">
      <w:pPr>
        <w:pageBreakBefore w:val="0"/>
        <w:kinsoku/>
        <w:wordWrap/>
        <w:overflowPunct/>
        <w:autoSpaceDE/>
        <w:autoSpaceDN/>
        <w:bidi w:val="0"/>
        <w:spacing w:beforeAutospacing="0" w:afterAutospacing="0" w:line="360" w:lineRule="auto"/>
        <w:ind w:firstLine="480" w:firstLineChars="200"/>
        <w:jc w:val="left"/>
        <w:rPr>
          <w:rFonts w:hint="eastAsia"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（1）合同项目的主体部分不允许分包给第三方；</w:t>
      </w:r>
    </w:p>
    <w:p w14:paraId="5C198892">
      <w:pPr>
        <w:pageBreakBefore w:val="0"/>
        <w:kinsoku/>
        <w:wordWrap/>
        <w:overflowPunct/>
        <w:autoSpaceDE/>
        <w:autoSpaceDN/>
        <w:bidi w:val="0"/>
        <w:spacing w:beforeAutospacing="0" w:afterAutospacing="0" w:line="360" w:lineRule="auto"/>
        <w:ind w:firstLine="480" w:firstLineChars="200"/>
        <w:jc w:val="left"/>
        <w:rPr>
          <w:rFonts w:hint="eastAsia"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（2）合同项目分包给第三方的比例不能超过或等于合同总额的 30%；</w:t>
      </w:r>
    </w:p>
    <w:p w14:paraId="750BDFF0">
      <w:pPr>
        <w:pageBreakBefore w:val="0"/>
        <w:kinsoku/>
        <w:wordWrap/>
        <w:overflowPunct/>
        <w:autoSpaceDE/>
        <w:autoSpaceDN/>
        <w:bidi w:val="0"/>
        <w:spacing w:beforeAutospacing="0" w:afterAutospacing="0" w:line="360" w:lineRule="auto"/>
        <w:ind w:firstLine="480" w:firstLineChars="200"/>
        <w:jc w:val="left"/>
        <w:rPr>
          <w:rFonts w:hint="eastAsia"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（3）合同项目不允许分包给不符合相关资质要求的第三方；</w:t>
      </w:r>
    </w:p>
    <w:p w14:paraId="3297BA0D">
      <w:pPr>
        <w:pageBreakBefore w:val="0"/>
        <w:kinsoku/>
        <w:wordWrap/>
        <w:overflowPunct/>
        <w:autoSpaceDE/>
        <w:autoSpaceDN/>
        <w:bidi w:val="0"/>
        <w:spacing w:beforeAutospacing="0" w:afterAutospacing="0" w:line="360" w:lineRule="auto"/>
        <w:ind w:firstLine="480" w:firstLineChars="200"/>
        <w:jc w:val="left"/>
        <w:rPr>
          <w:rFonts w:hint="eastAsia"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（4）合同项目只允许一次性分包。</w:t>
      </w:r>
    </w:p>
    <w:p w14:paraId="6EAFDD30">
      <w:pPr>
        <w:pStyle w:val="4"/>
        <w:pageBreakBefore w:val="0"/>
        <w:kinsoku/>
        <w:wordWrap/>
        <w:overflowPunct/>
        <w:autoSpaceDE/>
        <w:autoSpaceDN/>
        <w:bidi w:val="0"/>
        <w:spacing w:beforeAutospacing="0" w:afterAutospacing="0" w:line="360" w:lineRule="auto"/>
        <w:outlineLvl w:val="0"/>
        <w:rPr>
          <w:rFonts w:hint="eastAsia" w:asciiTheme="minorEastAsia" w:hAnsiTheme="minorEastAsia" w:eastAsiaTheme="minorEastAsia" w:cstheme="minorEastAsia"/>
          <w:b/>
          <w:color w:val="auto"/>
          <w:highlight w:val="none"/>
        </w:rPr>
      </w:pPr>
      <w:bookmarkStart w:id="74" w:name="_Toc1668"/>
      <w:r>
        <w:rPr>
          <w:rFonts w:hint="eastAsia" w:asciiTheme="minorEastAsia" w:hAnsiTheme="minorEastAsia" w:eastAsiaTheme="minorEastAsia" w:cstheme="minorEastAsia"/>
          <w:b/>
          <w:color w:val="auto"/>
          <w:highlight w:val="none"/>
        </w:rPr>
        <w:t>项目实施</w:t>
      </w:r>
      <w:r>
        <w:rPr>
          <w:rFonts w:hint="eastAsia" w:asciiTheme="minorEastAsia" w:hAnsiTheme="minorEastAsia" w:eastAsiaTheme="minorEastAsia" w:cstheme="minorEastAsia"/>
          <w:b/>
          <w:color w:val="auto"/>
          <w:highlight w:val="none"/>
        </w:rPr>
        <w:br w:type="textWrapping"/>
      </w:r>
      <w:bookmarkStart w:id="75" w:name="_Toc265160793"/>
      <w:bookmarkStart w:id="76" w:name="_Toc243192084"/>
      <w:bookmarkStart w:id="77" w:name="_Toc456599921"/>
      <w:bookmarkStart w:id="78" w:name="_Toc390289228"/>
      <w:r>
        <w:rPr>
          <w:rFonts w:hint="eastAsia" w:asciiTheme="minorEastAsia" w:hAnsiTheme="minorEastAsia" w:eastAsiaTheme="minorEastAsia" w:cstheme="minorEastAsia"/>
          <w:b/>
          <w:color w:val="auto"/>
          <w:highlight w:val="none"/>
        </w:rPr>
        <w:t>技术联络组</w:t>
      </w:r>
      <w:bookmarkEnd w:id="74"/>
      <w:bookmarkEnd w:id="75"/>
      <w:bookmarkEnd w:id="76"/>
      <w:bookmarkEnd w:id="77"/>
      <w:bookmarkEnd w:id="78"/>
    </w:p>
    <w:p w14:paraId="336019CF">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由招标人、投标人分别指派人员组成技术联络工作组，该组负责在系统开发、试点实施过程中组织召开必要的技术联络会议。</w:t>
      </w:r>
    </w:p>
    <w:p w14:paraId="145443E0">
      <w:pPr>
        <w:pStyle w:val="4"/>
        <w:pageBreakBefore w:val="0"/>
        <w:numPr>
          <w:ilvl w:val="1"/>
          <w:numId w:val="0"/>
        </w:numPr>
        <w:kinsoku/>
        <w:wordWrap/>
        <w:overflowPunct/>
        <w:autoSpaceDE/>
        <w:autoSpaceDN/>
        <w:bidi w:val="0"/>
        <w:spacing w:beforeAutospacing="0" w:afterAutospacing="0" w:line="360" w:lineRule="auto"/>
        <w:rPr>
          <w:rFonts w:hint="eastAsia" w:asciiTheme="minorEastAsia" w:hAnsiTheme="minorEastAsia" w:eastAsiaTheme="minorEastAsia" w:cstheme="minorEastAsia"/>
          <w:b/>
          <w:color w:val="auto"/>
          <w:highlight w:val="none"/>
        </w:rPr>
      </w:pPr>
      <w:bookmarkStart w:id="79" w:name="_Toc383718246"/>
      <w:bookmarkStart w:id="80" w:name="_Toc456599922"/>
      <w:bookmarkStart w:id="81" w:name="_Toc21044"/>
      <w:bookmarkStart w:id="82" w:name="_Toc27763"/>
      <w:bookmarkStart w:id="83" w:name="_Toc265160794"/>
      <w:bookmarkStart w:id="84" w:name="_Toc243192085"/>
      <w:bookmarkStart w:id="85" w:name="_Toc17385"/>
      <w:r>
        <w:rPr>
          <w:rFonts w:hint="eastAsia" w:asciiTheme="minorEastAsia" w:hAnsiTheme="minorEastAsia" w:eastAsiaTheme="minorEastAsia" w:cstheme="minorEastAsia"/>
          <w:b/>
          <w:color w:val="auto"/>
          <w:highlight w:val="none"/>
        </w:rPr>
        <w:t>招标人验收组</w:t>
      </w:r>
      <w:bookmarkEnd w:id="79"/>
      <w:bookmarkEnd w:id="80"/>
      <w:bookmarkEnd w:id="81"/>
      <w:bookmarkEnd w:id="82"/>
      <w:bookmarkEnd w:id="83"/>
      <w:bookmarkEnd w:id="84"/>
      <w:bookmarkEnd w:id="85"/>
    </w:p>
    <w:p w14:paraId="25AC59C4">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招标人验收组织部门须成立验收委员会，验收委员会由业务部门和数字化部门专家组成，必要时可以邀请项目建设单位以外的代表及专家参加。</w:t>
      </w:r>
    </w:p>
    <w:p w14:paraId="62BE7912">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招标人验收组负责组织对系统进行验收。同时，验收组指导项目测试、技术资料小组进行项目资料的收集、整理和编印。</w:t>
      </w:r>
    </w:p>
    <w:p w14:paraId="0AF80297">
      <w:pPr>
        <w:pStyle w:val="20"/>
        <w:pageBreakBefore w:val="0"/>
        <w:kinsoku/>
        <w:wordWrap/>
        <w:overflowPunct/>
        <w:autoSpaceDE/>
        <w:autoSpaceDN/>
        <w:bidi w:val="0"/>
        <w:spacing w:beforeAutospacing="0" w:afterAutospacing="0" w:line="360" w:lineRule="auto"/>
        <w:ind w:firstLine="506"/>
        <w:outlineLvl w:val="1"/>
        <w:rPr>
          <w:rFonts w:hint="eastAsia" w:asciiTheme="minorEastAsia" w:hAnsiTheme="minorEastAsia" w:cstheme="minorEastAsia"/>
          <w:b/>
          <w:bCs/>
          <w:color w:val="auto"/>
          <w:sz w:val="24"/>
          <w:szCs w:val="24"/>
          <w:highlight w:val="none"/>
        </w:rPr>
      </w:pPr>
      <w:bookmarkStart w:id="86" w:name="_Toc18003"/>
      <w:r>
        <w:rPr>
          <w:rFonts w:hint="eastAsia" w:asciiTheme="minorEastAsia" w:hAnsiTheme="minorEastAsia" w:cstheme="minorEastAsia"/>
          <w:b/>
          <w:bCs/>
          <w:color w:val="auto"/>
          <w:sz w:val="24"/>
          <w:szCs w:val="24"/>
          <w:highlight w:val="none"/>
        </w:rPr>
        <w:t>4.1时间进度安排</w:t>
      </w:r>
      <w:bookmarkEnd w:id="86"/>
    </w:p>
    <w:p w14:paraId="1E35189B">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根据数字化部工作安排，项目工期自合同生效之日起至2027年10月31日。</w:t>
      </w:r>
    </w:p>
    <w:p w14:paraId="4377B430">
      <w:pPr>
        <w:pStyle w:val="20"/>
        <w:pageBreakBefore w:val="0"/>
        <w:kinsoku/>
        <w:wordWrap/>
        <w:overflowPunct/>
        <w:autoSpaceDE/>
        <w:autoSpaceDN/>
        <w:bidi w:val="0"/>
        <w:spacing w:beforeAutospacing="0" w:afterAutospacing="0" w:line="360" w:lineRule="auto"/>
        <w:ind w:firstLine="506"/>
        <w:outlineLvl w:val="1"/>
        <w:rPr>
          <w:rFonts w:hint="eastAsia" w:asciiTheme="minorEastAsia" w:hAnsiTheme="minorEastAsia" w:cstheme="minorEastAsia"/>
          <w:b/>
          <w:bCs/>
          <w:color w:val="auto"/>
          <w:sz w:val="24"/>
          <w:szCs w:val="24"/>
          <w:highlight w:val="none"/>
        </w:rPr>
      </w:pPr>
      <w:bookmarkStart w:id="87" w:name="_Toc5112"/>
      <w:r>
        <w:rPr>
          <w:rFonts w:hint="eastAsia" w:asciiTheme="minorEastAsia" w:hAnsiTheme="minorEastAsia" w:cstheme="minorEastAsia"/>
          <w:b/>
          <w:bCs/>
          <w:color w:val="auto"/>
          <w:sz w:val="24"/>
          <w:szCs w:val="24"/>
          <w:highlight w:val="none"/>
        </w:rPr>
        <w:t>4.2技术联络</w:t>
      </w:r>
      <w:bookmarkEnd w:id="87"/>
    </w:p>
    <w:p w14:paraId="739DD0CB">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投标人须在项目实施期间与招标人建立项目联络会制度，定期组织召开技术联络会，协调解决项目推进过程中的相关事宜，审查阶段性成果及质量，跟进项目进度。联络会须覆盖项目启动、阶段成果确认、技术文件审查、培训计划确定、验收细则确认等关键节点，涉及外部平台对接的协调事项须同步纳入联络会议程。投标人负责组织联络会并提供必要的会议材料，会议结论须形成书面纪要，经双方确认后执行。</w:t>
      </w:r>
    </w:p>
    <w:p w14:paraId="1F85D5DC">
      <w:pPr>
        <w:pStyle w:val="20"/>
        <w:pageBreakBefore w:val="0"/>
        <w:kinsoku/>
        <w:wordWrap/>
        <w:overflowPunct/>
        <w:autoSpaceDE/>
        <w:autoSpaceDN/>
        <w:bidi w:val="0"/>
        <w:spacing w:beforeAutospacing="0" w:afterAutospacing="0" w:line="360" w:lineRule="auto"/>
        <w:ind w:firstLine="506"/>
        <w:outlineLvl w:val="1"/>
        <w:rPr>
          <w:rFonts w:hint="eastAsia" w:asciiTheme="minorEastAsia" w:hAnsiTheme="minorEastAsia" w:cstheme="minorEastAsia"/>
          <w:b/>
          <w:bCs/>
          <w:color w:val="auto"/>
          <w:sz w:val="24"/>
          <w:szCs w:val="24"/>
          <w:highlight w:val="none"/>
        </w:rPr>
      </w:pPr>
      <w:bookmarkStart w:id="88" w:name="_Toc24140"/>
      <w:r>
        <w:rPr>
          <w:rFonts w:hint="eastAsia" w:asciiTheme="minorEastAsia" w:hAnsiTheme="minorEastAsia" w:cstheme="minorEastAsia"/>
          <w:b/>
          <w:bCs/>
          <w:color w:val="auto"/>
          <w:sz w:val="24"/>
          <w:szCs w:val="24"/>
          <w:highlight w:val="none"/>
        </w:rPr>
        <w:t>4.3验收</w:t>
      </w:r>
      <w:bookmarkEnd w:id="88"/>
    </w:p>
    <w:p w14:paraId="46AD7633">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本项目验收严格按中国南方电网公司信息化项目验收相关规定进行。</w:t>
      </w:r>
    </w:p>
    <w:p w14:paraId="0D60C0FF">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投标人应在分别具备项目初验（功能验收）、项目终验（竣工验收）条件后向招标人提出验收申请，招标人应在收到投标人验收申请后及时答复投标人，并在验收申请审批通过后的十个工作日内组织召开验收会。</w:t>
      </w:r>
    </w:p>
    <w:p w14:paraId="36FD45E7">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项目初验</w:t>
      </w:r>
    </w:p>
    <w:p w14:paraId="11EFBCBC">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开发项目满足以下条件并提交相关成果通过审查时，投标人可申请项目初验：</w:t>
      </w:r>
    </w:p>
    <w:p w14:paraId="69686A24">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1.项目已完成开发工作，具备试运行条件；</w:t>
      </w:r>
    </w:p>
    <w:p w14:paraId="2C0CD352">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2.系统已通过功能、性能、安全测试；</w:t>
      </w:r>
    </w:p>
    <w:p w14:paraId="26A6AC7F">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3.项目已遵照培训计划完成相关培训。</w:t>
      </w:r>
    </w:p>
    <w:p w14:paraId="2B31740F">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4.如果项目存在监理方，须获得监理质量评估报告；</w:t>
      </w:r>
    </w:p>
    <w:p w14:paraId="224F5EC4">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招标人审批投标人提交的项目初验申请，当确定项目满足验收条件后组织验收会议。招标人业务部门参与验收。</w:t>
      </w:r>
    </w:p>
    <w:p w14:paraId="7F3CDBDA">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项目终验</w:t>
      </w:r>
    </w:p>
    <w:p w14:paraId="48AA25C5">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项目满足以下条件并提交相关成果通过审查，投标人可申请实施终验：</w:t>
      </w:r>
    </w:p>
    <w:p w14:paraId="292A3C61">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1.系统试运行一个月；</w:t>
      </w:r>
    </w:p>
    <w:p w14:paraId="41FD3C20">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2.用户手册已通过审核；</w:t>
      </w:r>
    </w:p>
    <w:p w14:paraId="584F68B9">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3.运维手册已通过审核；</w:t>
      </w:r>
    </w:p>
    <w:p w14:paraId="0117C88F">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4.系统运行报告已通过审核；</w:t>
      </w:r>
    </w:p>
    <w:p w14:paraId="4FEBA216">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5.如项目存在监理方时，获得监理质量评估报告。</w:t>
      </w:r>
    </w:p>
    <w:p w14:paraId="69B2866B">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招标人审批投标人提交的项目终验申请，当确定项目满足验收条件后组织验收会议。招标人业务部门参与验收。</w:t>
      </w:r>
    </w:p>
    <w:p w14:paraId="6E78C557">
      <w:pPr>
        <w:pStyle w:val="20"/>
        <w:pageBreakBefore w:val="0"/>
        <w:kinsoku/>
        <w:wordWrap/>
        <w:overflowPunct/>
        <w:autoSpaceDE/>
        <w:autoSpaceDN/>
        <w:bidi w:val="0"/>
        <w:spacing w:beforeAutospacing="0" w:afterAutospacing="0" w:line="360" w:lineRule="auto"/>
        <w:ind w:firstLine="506"/>
        <w:outlineLvl w:val="1"/>
        <w:rPr>
          <w:rFonts w:hint="eastAsia" w:asciiTheme="minorEastAsia" w:hAnsiTheme="minorEastAsia" w:cstheme="minorEastAsia"/>
          <w:b/>
          <w:bCs/>
          <w:color w:val="auto"/>
          <w:sz w:val="24"/>
          <w:szCs w:val="24"/>
          <w:highlight w:val="none"/>
        </w:rPr>
      </w:pPr>
      <w:bookmarkStart w:id="89" w:name="_Toc4018"/>
      <w:r>
        <w:rPr>
          <w:rFonts w:hint="eastAsia" w:asciiTheme="minorEastAsia" w:hAnsiTheme="minorEastAsia" w:cstheme="minorEastAsia"/>
          <w:b/>
          <w:bCs/>
          <w:color w:val="auto"/>
          <w:sz w:val="24"/>
          <w:szCs w:val="24"/>
          <w:highlight w:val="none"/>
        </w:rPr>
        <w:t>4.4培训</w:t>
      </w:r>
      <w:bookmarkEnd w:id="89"/>
    </w:p>
    <w:p w14:paraId="774D4010">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投标人须向招标人提供完整可行的培训方案，并严格按照培训计划完成相关培训，实现本项目成果和知识由投标人向招标人的有效转移。培训须包括以下两类：</w:t>
      </w:r>
    </w:p>
    <w:p w14:paraId="0475F20D">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p>
    <w:p w14:paraId="620F8250">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系统管理维护人员培训：针对招标人系统运维人员开展技术培训，内容须覆盖系统日常维护、常规故障处理及系统管理工具使用，使其具备独立完成系统日常运维工作的能力；</w:t>
      </w:r>
    </w:p>
    <w:p w14:paraId="502701EF">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业务操作人员培训：针对与本项目业务场景直接相关的操作人员开展应用培训，使其熟悉系统功能并熟练掌握对应业务场景的系统操作。</w:t>
      </w:r>
    </w:p>
    <w:p w14:paraId="5E47B19D">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投标人须在验收前完成全部培训并提交培训记录，培训效果经招标人确认。</w:t>
      </w:r>
    </w:p>
    <w:p w14:paraId="01EEB867">
      <w:pPr>
        <w:pStyle w:val="20"/>
        <w:pageBreakBefore w:val="0"/>
        <w:kinsoku/>
        <w:wordWrap/>
        <w:overflowPunct/>
        <w:autoSpaceDE/>
        <w:autoSpaceDN/>
        <w:bidi w:val="0"/>
        <w:spacing w:beforeAutospacing="0" w:afterAutospacing="0" w:line="360" w:lineRule="auto"/>
        <w:ind w:firstLine="506"/>
        <w:outlineLvl w:val="1"/>
        <w:rPr>
          <w:rFonts w:hint="eastAsia" w:asciiTheme="minorEastAsia" w:hAnsiTheme="minorEastAsia" w:cstheme="minorEastAsia"/>
          <w:b/>
          <w:bCs/>
          <w:color w:val="auto"/>
          <w:sz w:val="24"/>
          <w:szCs w:val="24"/>
          <w:highlight w:val="none"/>
        </w:rPr>
      </w:pPr>
      <w:bookmarkStart w:id="90" w:name="_Toc3021"/>
      <w:r>
        <w:rPr>
          <w:rFonts w:hint="eastAsia" w:asciiTheme="minorEastAsia" w:hAnsiTheme="minorEastAsia" w:cstheme="minorEastAsia"/>
          <w:b/>
          <w:bCs/>
          <w:color w:val="auto"/>
          <w:sz w:val="24"/>
          <w:szCs w:val="24"/>
          <w:highlight w:val="none"/>
        </w:rPr>
        <w:t>4.5项目交付项</w:t>
      </w:r>
      <w:bookmarkEnd w:id="90"/>
    </w:p>
    <w:p w14:paraId="0184F5C3">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投标人应在合同规定时间内，按照广州供电局PMO管理规范要求及审计要求，向招标人提供相应交付物及服务报告，包括但不限于：（可选填）</w:t>
      </w:r>
    </w:p>
    <w:p w14:paraId="749ADC11">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（1）系统初验交付物，包括：</w:t>
      </w:r>
    </w:p>
    <w:p w14:paraId="64905665">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1.实施工作方案；</w:t>
      </w:r>
    </w:p>
    <w:p w14:paraId="661A155E">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2.需求分析规格说明书；</w:t>
      </w:r>
    </w:p>
    <w:p w14:paraId="7E482F73">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3.系统概要设计说明书；</w:t>
      </w:r>
    </w:p>
    <w:p w14:paraId="671A328C">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4.系统数据接口方案；</w:t>
      </w:r>
    </w:p>
    <w:p w14:paraId="3D19758D">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5.系统详细设计说明书；</w:t>
      </w:r>
    </w:p>
    <w:p w14:paraId="681C7C99">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6.系统数据设计说明书；</w:t>
      </w:r>
    </w:p>
    <w:p w14:paraId="3E2FAAFD">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7.系统测试用例；</w:t>
      </w:r>
    </w:p>
    <w:p w14:paraId="602E0E2B">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8.系统测试报告；</w:t>
      </w:r>
    </w:p>
    <w:p w14:paraId="4A19D35C">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9.第三方性能、功能测试报告；</w:t>
      </w:r>
    </w:p>
    <w:p w14:paraId="050F648A">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10.入网安全评测报告；</w:t>
      </w:r>
    </w:p>
    <w:p w14:paraId="6116BDFE">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11.用户使用手册；</w:t>
      </w:r>
    </w:p>
    <w:p w14:paraId="31C892A5">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12.系统管理员手册；</w:t>
      </w:r>
    </w:p>
    <w:p w14:paraId="40590402">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13.运维手册；</w:t>
      </w:r>
    </w:p>
    <w:p w14:paraId="40F3D17E">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14.安装配置手册；</w:t>
      </w:r>
    </w:p>
    <w:p w14:paraId="2889C2C1">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15.系统投运方案；</w:t>
      </w:r>
    </w:p>
    <w:p w14:paraId="09E0AF7C">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16.系统启停作业指导书（含系统运行正常检验标准）；</w:t>
      </w:r>
    </w:p>
    <w:p w14:paraId="0B482464">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17.系统定期维护作业指导书；</w:t>
      </w:r>
    </w:p>
    <w:p w14:paraId="5CD3E7FE">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18.软硬件配置及关联关系表、资产台帐；</w:t>
      </w:r>
    </w:p>
    <w:p w14:paraId="163A0336">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19.培训计划、培训记录；</w:t>
      </w:r>
    </w:p>
    <w:p w14:paraId="3E8B7CB3">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（2）系统终验交付物，包括：</w:t>
      </w:r>
    </w:p>
    <w:p w14:paraId="76CDDF02">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1、初步验收遗留问题整改报告；</w:t>
      </w:r>
    </w:p>
    <w:p w14:paraId="5442DFB2">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2、系统运行报告；</w:t>
      </w:r>
    </w:p>
    <w:p w14:paraId="3A238D83">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3、系统运行报告审核报告；</w:t>
      </w:r>
    </w:p>
    <w:p w14:paraId="1D768D55">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4、系统现场处置方案；</w:t>
      </w:r>
    </w:p>
    <w:p w14:paraId="047FEDC6">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5、系统实用化工作方案、系统实用化评价细则；</w:t>
      </w:r>
    </w:p>
    <w:p w14:paraId="21856A6B">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6、用户问题列表；</w:t>
      </w:r>
    </w:p>
    <w:p w14:paraId="26141AB8">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7、故障列表；</w:t>
      </w:r>
    </w:p>
    <w:p w14:paraId="5D38C8E8">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8、培训计划、培训记录；</w:t>
      </w:r>
    </w:p>
    <w:p w14:paraId="5E387812">
      <w:pPr>
        <w:pStyle w:val="20"/>
        <w:pageBreakBefore w:val="0"/>
        <w:kinsoku/>
        <w:wordWrap/>
        <w:overflowPunct/>
        <w:autoSpaceDE/>
        <w:autoSpaceDN/>
        <w:bidi w:val="0"/>
        <w:spacing w:beforeAutospacing="0" w:afterAutospacing="0" w:line="360" w:lineRule="auto"/>
        <w:ind w:firstLine="506"/>
        <w:outlineLvl w:val="1"/>
        <w:rPr>
          <w:rFonts w:hint="eastAsia" w:asciiTheme="minorEastAsia" w:hAnsiTheme="minorEastAsia" w:cstheme="minorEastAsia"/>
          <w:b/>
          <w:bCs/>
          <w:color w:val="auto"/>
          <w:sz w:val="24"/>
          <w:szCs w:val="24"/>
          <w:highlight w:val="none"/>
        </w:rPr>
      </w:pPr>
      <w:bookmarkStart w:id="91" w:name="_Toc25162"/>
      <w:r>
        <w:rPr>
          <w:rFonts w:hint="eastAsia" w:asciiTheme="minorEastAsia" w:hAnsiTheme="minorEastAsia" w:cstheme="minorEastAsia"/>
          <w:b/>
          <w:bCs/>
          <w:color w:val="auto"/>
          <w:sz w:val="24"/>
          <w:szCs w:val="24"/>
          <w:highlight w:val="none"/>
        </w:rPr>
        <w:t>4.6知识产权要求</w:t>
      </w:r>
      <w:bookmarkEnd w:id="91"/>
    </w:p>
    <w:p w14:paraId="3ECEE368">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投标人在本项目中专门开发或定制的工作成果，其知识产权归招标人所有，包括但不限于为本项目产生的文档、报告、程序、脚本、工具、软件及相关文件和文档的版权等。</w:t>
      </w:r>
    </w:p>
    <w:p w14:paraId="6D7C7F62">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投标人在本项目实施过程中使用的自有技术、已有组件、底层框架或第三方授权组件，其知识产权归原权利人所有，但投标人须确保上述内容的使用已获得合法授权，不侵犯任何第三方知识产权，并在技术方案中明确说明自有或第三方组件的使用情况及授权来源。</w:t>
      </w:r>
    </w:p>
    <w:p w14:paraId="6D01048A">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本项目产生的软件著作权、发明专利申报材料，专利申请权及获得的专利权归招标人所有，投标人须配合招标人完成专利申请相关工作。</w:t>
      </w:r>
    </w:p>
    <w:p w14:paraId="725F4F13">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未经招标人书面许可，投标人及其任何人员均不得行使本项目工作成果的任何知识产权。</w:t>
      </w:r>
    </w:p>
    <w:p w14:paraId="18DE5EAB">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招标人需就项目成果申请专利或者著作权备案的，投标人应予以协助。招标人需将相关成果形成论文或申请专利或进行软件著作权登记的，投标人应予以协助。配合提交至少2项发明专利申报材料。</w:t>
      </w:r>
    </w:p>
    <w:p w14:paraId="1214A83C">
      <w:pPr>
        <w:pStyle w:val="4"/>
        <w:pageBreakBefore w:val="0"/>
        <w:kinsoku/>
        <w:wordWrap/>
        <w:overflowPunct/>
        <w:autoSpaceDE/>
        <w:autoSpaceDN/>
        <w:bidi w:val="0"/>
        <w:spacing w:beforeAutospacing="0" w:afterAutospacing="0" w:line="360" w:lineRule="auto"/>
        <w:outlineLvl w:val="0"/>
        <w:rPr>
          <w:rFonts w:hint="eastAsia" w:asciiTheme="minorEastAsia" w:hAnsiTheme="minorEastAsia" w:eastAsiaTheme="minorEastAsia" w:cstheme="minorEastAsia"/>
          <w:b/>
          <w:color w:val="auto"/>
          <w:highlight w:val="none"/>
        </w:rPr>
      </w:pPr>
      <w:bookmarkStart w:id="92" w:name="_Toc21967"/>
      <w:bookmarkStart w:id="93" w:name="_Toc19287"/>
      <w:r>
        <w:rPr>
          <w:rFonts w:hint="eastAsia" w:asciiTheme="minorEastAsia" w:hAnsiTheme="minorEastAsia" w:eastAsiaTheme="minorEastAsia" w:cstheme="minorEastAsia"/>
          <w:b/>
          <w:color w:val="auto"/>
          <w:highlight w:val="none"/>
        </w:rPr>
        <w:t>服务方案</w:t>
      </w:r>
      <w:bookmarkEnd w:id="92"/>
      <w:bookmarkEnd w:id="93"/>
    </w:p>
    <w:p w14:paraId="58768B74">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 xml:space="preserve"> 本项目涉及区块链平台升级、跨链互通对接及区块链可信数据交换平台建设，技术架构复杂，外部协调工作量大，投标人应提供完善的、基于本项目实际业务场景的技术服务方案。</w:t>
      </w:r>
    </w:p>
    <w:p w14:paraId="748D9890">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评审时将对各投标人服务方案的科学性、合理性与完整性进行横向比较，综合评价内容包括：技术方案的针对性与可行性、项目计划与进度安排的合理性、质量管理措施的具体性、外部协调工作的应对策略，以及服务全周期的保障能力。</w:t>
      </w:r>
    </w:p>
    <w:p w14:paraId="3234A71C">
      <w:pPr>
        <w:pStyle w:val="4"/>
        <w:pageBreakBefore w:val="0"/>
        <w:kinsoku/>
        <w:wordWrap/>
        <w:overflowPunct/>
        <w:autoSpaceDE/>
        <w:autoSpaceDN/>
        <w:bidi w:val="0"/>
        <w:spacing w:beforeAutospacing="0" w:afterAutospacing="0" w:line="360" w:lineRule="auto"/>
        <w:outlineLvl w:val="0"/>
        <w:rPr>
          <w:rFonts w:hint="eastAsia" w:asciiTheme="minorEastAsia" w:hAnsiTheme="minorEastAsia" w:eastAsiaTheme="minorEastAsia" w:cstheme="minorEastAsia"/>
          <w:b/>
          <w:i w:val="0"/>
          <w:iCs w:val="0"/>
          <w:color w:val="auto"/>
          <w:highlight w:val="none"/>
        </w:rPr>
      </w:pPr>
      <w:bookmarkStart w:id="94" w:name="_Toc9172"/>
      <w:r>
        <w:rPr>
          <w:rFonts w:hint="eastAsia" w:asciiTheme="minorEastAsia" w:hAnsiTheme="minorEastAsia" w:eastAsiaTheme="minorEastAsia" w:cstheme="minorEastAsia"/>
          <w:b/>
          <w:i w:val="0"/>
          <w:iCs w:val="0"/>
          <w:color w:val="auto"/>
          <w:highlight w:val="none"/>
        </w:rPr>
        <w:t>服务团队及服务能力</w:t>
      </w:r>
      <w:bookmarkEnd w:id="94"/>
    </w:p>
    <w:p w14:paraId="34D906A1">
      <w:pPr>
        <w:pStyle w:val="20"/>
        <w:pageBreakBefore w:val="0"/>
        <w:kinsoku/>
        <w:wordWrap/>
        <w:overflowPunct/>
        <w:autoSpaceDE/>
        <w:autoSpaceDN/>
        <w:bidi w:val="0"/>
        <w:spacing w:beforeAutospacing="0" w:afterAutospacing="0" w:line="360" w:lineRule="auto"/>
        <w:ind w:firstLine="504"/>
        <w:outlineLvl w:val="1"/>
        <w:rPr>
          <w:rFonts w:hint="eastAsia" w:asciiTheme="minorEastAsia" w:hAnsiTheme="minorEastAsia" w:cstheme="minorEastAsia"/>
          <w:i w:val="0"/>
          <w:iCs w:val="0"/>
          <w:color w:val="auto"/>
          <w:sz w:val="24"/>
          <w:szCs w:val="24"/>
          <w:highlight w:val="none"/>
        </w:rPr>
      </w:pPr>
      <w:bookmarkStart w:id="95" w:name="_Toc12977"/>
      <w:bookmarkStart w:id="96" w:name="_Toc4271"/>
      <w:bookmarkStart w:id="97" w:name="_Toc5093"/>
      <w:bookmarkStart w:id="98" w:name="_Toc2520"/>
      <w:r>
        <w:rPr>
          <w:rFonts w:hint="eastAsia" w:asciiTheme="minorEastAsia" w:hAnsiTheme="minorEastAsia" w:cstheme="minorEastAsia"/>
          <w:i w:val="0"/>
          <w:iCs w:val="0"/>
          <w:color w:val="auto"/>
          <w:sz w:val="24"/>
          <w:szCs w:val="24"/>
          <w:highlight w:val="none"/>
        </w:rPr>
        <w:t>（一）团队规模</w:t>
      </w:r>
      <w:bookmarkEnd w:id="95"/>
      <w:bookmarkEnd w:id="96"/>
      <w:bookmarkEnd w:id="97"/>
    </w:p>
    <w:p w14:paraId="17BEF3AB">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i w:val="0"/>
          <w:iCs w:val="0"/>
          <w:color w:val="auto"/>
          <w:sz w:val="24"/>
          <w:szCs w:val="24"/>
          <w:highlight w:val="none"/>
        </w:rPr>
      </w:pPr>
      <w:r>
        <w:rPr>
          <w:rFonts w:hint="eastAsia" w:asciiTheme="minorEastAsia" w:hAnsiTheme="minorEastAsia" w:cstheme="minorEastAsia"/>
          <w:i w:val="0"/>
          <w:iCs w:val="0"/>
          <w:color w:val="auto"/>
          <w:sz w:val="24"/>
          <w:szCs w:val="24"/>
          <w:highlight w:val="none"/>
        </w:rPr>
        <w:t>投标人须配置不少于5人的项目实施团队，团队成员须覆盖项目管理、区块链架构、软件开发、测试等关键角色，各角色须有明确的人员配置及职责分工。</w:t>
      </w:r>
    </w:p>
    <w:p w14:paraId="4D007695">
      <w:pPr>
        <w:pStyle w:val="20"/>
        <w:pageBreakBefore w:val="0"/>
        <w:kinsoku/>
        <w:wordWrap/>
        <w:overflowPunct/>
        <w:autoSpaceDE/>
        <w:autoSpaceDN/>
        <w:bidi w:val="0"/>
        <w:spacing w:beforeAutospacing="0" w:afterAutospacing="0" w:line="360" w:lineRule="auto"/>
        <w:ind w:firstLine="504"/>
        <w:outlineLvl w:val="1"/>
        <w:rPr>
          <w:rFonts w:hint="eastAsia" w:asciiTheme="minorEastAsia" w:hAnsiTheme="minorEastAsia" w:cstheme="minorEastAsia"/>
          <w:i w:val="0"/>
          <w:iCs w:val="0"/>
          <w:color w:val="auto"/>
          <w:sz w:val="24"/>
          <w:szCs w:val="24"/>
          <w:highlight w:val="none"/>
        </w:rPr>
      </w:pPr>
      <w:bookmarkStart w:id="99" w:name="_Toc26758"/>
      <w:bookmarkStart w:id="100" w:name="_Toc2691"/>
      <w:bookmarkStart w:id="101" w:name="_Toc31174"/>
      <w:r>
        <w:rPr>
          <w:rFonts w:hint="eastAsia" w:asciiTheme="minorEastAsia" w:hAnsiTheme="minorEastAsia" w:cstheme="minorEastAsia"/>
          <w:i w:val="0"/>
          <w:iCs w:val="0"/>
          <w:color w:val="auto"/>
          <w:sz w:val="24"/>
          <w:szCs w:val="24"/>
          <w:highlight w:val="none"/>
        </w:rPr>
        <w:t>（二）团队能力要求</w:t>
      </w:r>
      <w:bookmarkEnd w:id="99"/>
      <w:bookmarkEnd w:id="100"/>
      <w:bookmarkEnd w:id="101"/>
    </w:p>
    <w:p w14:paraId="3AAB4064">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i w:val="0"/>
          <w:iCs w:val="0"/>
          <w:color w:val="auto"/>
          <w:sz w:val="24"/>
          <w:szCs w:val="24"/>
          <w:highlight w:val="none"/>
        </w:rPr>
      </w:pPr>
      <w:r>
        <w:rPr>
          <w:rFonts w:hint="eastAsia" w:asciiTheme="minorEastAsia" w:hAnsiTheme="minorEastAsia" w:cstheme="minorEastAsia"/>
          <w:i w:val="0"/>
          <w:iCs w:val="0"/>
          <w:color w:val="auto"/>
          <w:sz w:val="24"/>
          <w:szCs w:val="24"/>
          <w:highlight w:val="none"/>
        </w:rPr>
        <w:t>团队成员资质要求：计算机技术与软件专业技术资格中级或以上证书不少于2人。</w:t>
      </w:r>
    </w:p>
    <w:p w14:paraId="1DCD6A57">
      <w:pPr>
        <w:pStyle w:val="20"/>
        <w:pageBreakBefore w:val="0"/>
        <w:kinsoku/>
        <w:wordWrap/>
        <w:overflowPunct/>
        <w:autoSpaceDE/>
        <w:autoSpaceDN/>
        <w:bidi w:val="0"/>
        <w:spacing w:beforeAutospacing="0" w:afterAutospacing="0" w:line="360" w:lineRule="auto"/>
        <w:ind w:firstLine="504"/>
        <w:rPr>
          <w:rFonts w:asciiTheme="minorEastAsia" w:hAnsiTheme="minorEastAsia" w:cstheme="minorEastAsia"/>
          <w:i w:val="0"/>
          <w:iCs w:val="0"/>
          <w:color w:val="auto"/>
          <w:sz w:val="24"/>
          <w:szCs w:val="24"/>
          <w:highlight w:val="none"/>
        </w:rPr>
      </w:pPr>
      <w:r>
        <w:rPr>
          <w:rFonts w:hint="eastAsia" w:asciiTheme="minorEastAsia" w:hAnsiTheme="minorEastAsia" w:cstheme="minorEastAsia"/>
          <w:i w:val="0"/>
          <w:iCs w:val="0"/>
          <w:color w:val="auto"/>
          <w:sz w:val="24"/>
          <w:szCs w:val="24"/>
          <w:highlight w:val="none"/>
        </w:rPr>
        <w:t>团队须具备区块链平台开发及跨链对接的实际项目经验，核心成员能够提供参与区块链相关项目的证明材料。</w:t>
      </w:r>
    </w:p>
    <w:p w14:paraId="15DF1A81">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i w:val="0"/>
          <w:iCs w:val="0"/>
          <w:color w:val="auto"/>
          <w:sz w:val="24"/>
          <w:szCs w:val="24"/>
          <w:highlight w:val="none"/>
        </w:rPr>
      </w:pPr>
      <w:r>
        <w:rPr>
          <w:rFonts w:hint="eastAsia" w:asciiTheme="minorEastAsia" w:hAnsiTheme="minorEastAsia" w:cstheme="minorEastAsia"/>
          <w:i w:val="0"/>
          <w:iCs w:val="0"/>
          <w:color w:val="auto"/>
          <w:sz w:val="24"/>
          <w:szCs w:val="24"/>
          <w:highlight w:val="none"/>
        </w:rPr>
        <w:t>团队具备完整的区块链项目文档交付能力，包括但不限于技术架构设计文档、接口规范说明、部署运维手册及用户操作指南等。</w:t>
      </w:r>
    </w:p>
    <w:p w14:paraId="1AF2FB4B">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i w:val="0"/>
          <w:iCs w:val="0"/>
          <w:color w:val="auto"/>
          <w:sz w:val="24"/>
          <w:szCs w:val="24"/>
          <w:highlight w:val="none"/>
        </w:rPr>
      </w:pPr>
      <w:r>
        <w:rPr>
          <w:rFonts w:hint="eastAsia" w:asciiTheme="minorEastAsia" w:hAnsiTheme="minorEastAsia" w:cstheme="minorEastAsia"/>
          <w:i w:val="0"/>
          <w:iCs w:val="0"/>
          <w:color w:val="auto"/>
          <w:sz w:val="24"/>
          <w:szCs w:val="24"/>
          <w:highlight w:val="none"/>
        </w:rPr>
        <w:t>团队成员具备跨机构数据流通项目的协调对接经验，能够提供与外部机构进行技术对接及业务沟通的实际案例说明。</w:t>
      </w:r>
    </w:p>
    <w:p w14:paraId="1D9590D0">
      <w:pPr>
        <w:pStyle w:val="20"/>
        <w:pageBreakBefore w:val="0"/>
        <w:kinsoku/>
        <w:wordWrap/>
        <w:overflowPunct/>
        <w:autoSpaceDE/>
        <w:autoSpaceDN/>
        <w:bidi w:val="0"/>
        <w:spacing w:beforeAutospacing="0" w:afterAutospacing="0" w:line="360" w:lineRule="auto"/>
        <w:ind w:firstLine="504"/>
        <w:outlineLvl w:val="1"/>
        <w:rPr>
          <w:rFonts w:hint="default" w:asciiTheme="minorEastAsia" w:hAnsiTheme="minorEastAsia" w:cstheme="minorEastAsia"/>
          <w:i w:val="0"/>
          <w:iCs w:val="0"/>
          <w:color w:val="auto"/>
          <w:sz w:val="24"/>
          <w:szCs w:val="24"/>
          <w:highlight w:val="none"/>
          <w:lang w:val="en-US" w:eastAsia="zh-CN"/>
        </w:rPr>
      </w:pPr>
      <w:bookmarkStart w:id="102" w:name="_Toc31962"/>
      <w:bookmarkStart w:id="103" w:name="_Toc32213"/>
      <w:r>
        <w:rPr>
          <w:rFonts w:hint="eastAsia" w:asciiTheme="minorEastAsia" w:hAnsiTheme="minorEastAsia" w:cstheme="minorEastAsia"/>
          <w:i w:val="0"/>
          <w:iCs w:val="0"/>
          <w:color w:val="auto"/>
          <w:sz w:val="24"/>
          <w:szCs w:val="24"/>
          <w:highlight w:val="none"/>
          <w:lang w:eastAsia="zh-CN"/>
        </w:rPr>
        <w:t>（</w:t>
      </w:r>
      <w:r>
        <w:rPr>
          <w:rFonts w:hint="eastAsia" w:asciiTheme="minorEastAsia" w:hAnsiTheme="minorEastAsia" w:cstheme="minorEastAsia"/>
          <w:i w:val="0"/>
          <w:iCs w:val="0"/>
          <w:color w:val="auto"/>
          <w:sz w:val="24"/>
          <w:szCs w:val="24"/>
          <w:highlight w:val="none"/>
          <w:lang w:val="en-US" w:eastAsia="zh-CN"/>
        </w:rPr>
        <w:t>三</w:t>
      </w:r>
      <w:r>
        <w:rPr>
          <w:rFonts w:hint="eastAsia" w:asciiTheme="minorEastAsia" w:hAnsiTheme="minorEastAsia" w:cstheme="minorEastAsia"/>
          <w:i w:val="0"/>
          <w:iCs w:val="0"/>
          <w:color w:val="auto"/>
          <w:sz w:val="24"/>
          <w:szCs w:val="24"/>
          <w:highlight w:val="none"/>
          <w:lang w:eastAsia="zh-CN"/>
        </w:rPr>
        <w:t>）</w:t>
      </w:r>
      <w:r>
        <w:rPr>
          <w:rFonts w:hint="eastAsia" w:asciiTheme="minorEastAsia" w:hAnsiTheme="minorEastAsia" w:cstheme="minorEastAsia"/>
          <w:i w:val="0"/>
          <w:iCs w:val="0"/>
          <w:color w:val="auto"/>
          <w:sz w:val="24"/>
          <w:szCs w:val="24"/>
          <w:highlight w:val="none"/>
          <w:lang w:val="en-US" w:eastAsia="zh-CN"/>
        </w:rPr>
        <w:t>项目负责人要求</w:t>
      </w:r>
      <w:bookmarkEnd w:id="102"/>
      <w:bookmarkEnd w:id="103"/>
    </w:p>
    <w:p w14:paraId="1366ACF4">
      <w:pPr>
        <w:pStyle w:val="20"/>
        <w:pageBreakBefore w:val="0"/>
        <w:numPr>
          <w:ilvl w:val="0"/>
          <w:numId w:val="9"/>
        </w:numPr>
        <w:kinsoku/>
        <w:wordWrap/>
        <w:overflowPunct/>
        <w:autoSpaceDE/>
        <w:autoSpaceDN/>
        <w:bidi w:val="0"/>
        <w:spacing w:beforeAutospacing="0" w:afterAutospacing="0" w:line="360" w:lineRule="auto"/>
        <w:ind w:left="5" w:firstLine="415" w:firstLineChars="0"/>
        <w:rPr>
          <w:rFonts w:hint="eastAsia" w:asciiTheme="minorEastAsia" w:hAnsiTheme="minorEastAsia" w:cstheme="minorEastAsia"/>
          <w:i w:val="0"/>
          <w:iCs w:val="0"/>
          <w:color w:val="auto"/>
          <w:sz w:val="24"/>
          <w:szCs w:val="24"/>
          <w:highlight w:val="none"/>
        </w:rPr>
      </w:pPr>
      <w:r>
        <w:rPr>
          <w:rFonts w:hint="eastAsia" w:asciiTheme="minorEastAsia" w:hAnsiTheme="minorEastAsia" w:cstheme="minorEastAsia"/>
          <w:i w:val="0"/>
          <w:iCs w:val="0"/>
          <w:color w:val="auto"/>
          <w:sz w:val="24"/>
          <w:szCs w:val="24"/>
          <w:highlight w:val="none"/>
        </w:rPr>
        <w:t>具备3年以上信息化项目管理经验，其中至少主导过2个以上区块链相关项目的全周期实施，能提供相应项目合同或验收证明；</w:t>
      </w:r>
    </w:p>
    <w:p w14:paraId="1FA10031">
      <w:pPr>
        <w:pStyle w:val="20"/>
        <w:pageBreakBefore w:val="0"/>
        <w:numPr>
          <w:ilvl w:val="0"/>
          <w:numId w:val="9"/>
        </w:numPr>
        <w:kinsoku/>
        <w:wordWrap/>
        <w:overflowPunct/>
        <w:autoSpaceDE/>
        <w:autoSpaceDN/>
        <w:bidi w:val="0"/>
        <w:spacing w:beforeAutospacing="0" w:afterAutospacing="0" w:line="360" w:lineRule="auto"/>
        <w:ind w:left="5" w:firstLine="415" w:firstLineChars="0"/>
        <w:rPr>
          <w:rFonts w:hint="eastAsia" w:asciiTheme="minorEastAsia" w:hAnsiTheme="minorEastAsia" w:cstheme="minorEastAsia"/>
          <w:i w:val="0"/>
          <w:iCs w:val="0"/>
          <w:color w:val="auto"/>
          <w:sz w:val="24"/>
          <w:szCs w:val="24"/>
          <w:highlight w:val="none"/>
        </w:rPr>
      </w:pPr>
      <w:r>
        <w:rPr>
          <w:rFonts w:hint="eastAsia" w:asciiTheme="minorEastAsia" w:hAnsiTheme="minorEastAsia" w:cstheme="minorEastAsia"/>
          <w:i w:val="0"/>
          <w:iCs w:val="0"/>
          <w:color w:val="auto"/>
          <w:sz w:val="24"/>
          <w:szCs w:val="24"/>
          <w:highlight w:val="none"/>
        </w:rPr>
        <w:t>具有区块链跨链互通、多链协同或可信数据交换相关项目经验者优先，须提供对应项目案例说明；</w:t>
      </w:r>
    </w:p>
    <w:p w14:paraId="3BDEADA2">
      <w:pPr>
        <w:pStyle w:val="20"/>
        <w:pageBreakBefore w:val="0"/>
        <w:numPr>
          <w:ilvl w:val="0"/>
          <w:numId w:val="9"/>
        </w:numPr>
        <w:kinsoku/>
        <w:wordWrap/>
        <w:overflowPunct/>
        <w:autoSpaceDE/>
        <w:autoSpaceDN/>
        <w:bidi w:val="0"/>
        <w:spacing w:beforeAutospacing="0" w:afterAutospacing="0" w:line="360" w:lineRule="auto"/>
        <w:ind w:left="5" w:firstLine="415" w:firstLineChars="0"/>
        <w:rPr>
          <w:rFonts w:hint="eastAsia" w:asciiTheme="minorEastAsia" w:hAnsiTheme="minorEastAsia" w:cstheme="minorEastAsia"/>
          <w:i w:val="0"/>
          <w:iCs w:val="0"/>
          <w:color w:val="auto"/>
          <w:sz w:val="24"/>
          <w:szCs w:val="24"/>
          <w:highlight w:val="none"/>
        </w:rPr>
      </w:pPr>
      <w:r>
        <w:rPr>
          <w:rFonts w:hint="eastAsia" w:asciiTheme="minorEastAsia" w:hAnsiTheme="minorEastAsia" w:cstheme="minorEastAsia"/>
          <w:i w:val="0"/>
          <w:iCs w:val="0"/>
          <w:color w:val="auto"/>
          <w:sz w:val="24"/>
          <w:szCs w:val="24"/>
          <w:highlight w:val="none"/>
        </w:rPr>
        <w:t>充分理解本项目的背景、目标、建设范围及重难点，能够准确识别跨链对接、外部平台接入等核心风险点，并在答辩或技术方案中提出针对性解决方案；</w:t>
      </w:r>
    </w:p>
    <w:p w14:paraId="2B57C9C5">
      <w:pPr>
        <w:pStyle w:val="20"/>
        <w:pageBreakBefore w:val="0"/>
        <w:numPr>
          <w:ilvl w:val="0"/>
          <w:numId w:val="9"/>
        </w:numPr>
        <w:kinsoku/>
        <w:wordWrap/>
        <w:overflowPunct/>
        <w:autoSpaceDE/>
        <w:autoSpaceDN/>
        <w:bidi w:val="0"/>
        <w:spacing w:beforeAutospacing="0" w:afterAutospacing="0" w:line="360" w:lineRule="auto"/>
        <w:ind w:left="5" w:firstLine="415" w:firstLineChars="0"/>
        <w:rPr>
          <w:rFonts w:hint="eastAsia" w:asciiTheme="minorEastAsia" w:hAnsiTheme="minorEastAsia" w:cstheme="minorEastAsia"/>
          <w:i w:val="0"/>
          <w:iCs w:val="0"/>
          <w:color w:val="auto"/>
          <w:sz w:val="24"/>
          <w:szCs w:val="24"/>
          <w:highlight w:val="none"/>
        </w:rPr>
      </w:pPr>
      <w:r>
        <w:rPr>
          <w:rFonts w:hint="eastAsia" w:asciiTheme="minorEastAsia" w:hAnsiTheme="minorEastAsia" w:cstheme="minorEastAsia"/>
          <w:i w:val="0"/>
          <w:iCs w:val="0"/>
          <w:color w:val="auto"/>
          <w:sz w:val="24"/>
          <w:szCs w:val="24"/>
          <w:highlight w:val="none"/>
        </w:rPr>
        <w:t>具备跨机构协调能力，有涉及外部主体对接或多方协同项目经验者优先；</w:t>
      </w:r>
    </w:p>
    <w:p w14:paraId="11F9DCDC">
      <w:pPr>
        <w:pStyle w:val="20"/>
        <w:pageBreakBefore w:val="0"/>
        <w:numPr>
          <w:ilvl w:val="0"/>
          <w:numId w:val="9"/>
        </w:numPr>
        <w:kinsoku/>
        <w:wordWrap/>
        <w:overflowPunct/>
        <w:autoSpaceDE/>
        <w:autoSpaceDN/>
        <w:bidi w:val="0"/>
        <w:spacing w:beforeAutospacing="0" w:afterAutospacing="0" w:line="360" w:lineRule="auto"/>
        <w:ind w:left="5" w:firstLine="415" w:firstLineChars="0"/>
        <w:rPr>
          <w:rFonts w:hint="eastAsia" w:asciiTheme="minorEastAsia" w:hAnsiTheme="minorEastAsia" w:cstheme="minorEastAsia"/>
          <w:i w:val="0"/>
          <w:iCs w:val="0"/>
          <w:color w:val="auto"/>
          <w:sz w:val="24"/>
          <w:szCs w:val="24"/>
          <w:highlight w:val="none"/>
        </w:rPr>
      </w:pPr>
      <w:r>
        <w:rPr>
          <w:rFonts w:hint="eastAsia" w:asciiTheme="minorEastAsia" w:hAnsiTheme="minorEastAsia" w:cstheme="minorEastAsia"/>
          <w:i w:val="0"/>
          <w:iCs w:val="0"/>
          <w:color w:val="auto"/>
          <w:sz w:val="24"/>
          <w:szCs w:val="24"/>
          <w:highlight w:val="none"/>
        </w:rPr>
        <w:t>具备向非技术背景管理人员清晰传递项目进展与技术风险的能力；</w:t>
      </w:r>
    </w:p>
    <w:p w14:paraId="42764DE9">
      <w:pPr>
        <w:keepNext/>
        <w:keepLines/>
        <w:pageBreakBefore w:val="0"/>
        <w:widowControl w:val="0"/>
        <w:numPr>
          <w:ilvl w:val="1"/>
          <w:numId w:val="0"/>
        </w:numPr>
        <w:kinsoku/>
        <w:wordWrap/>
        <w:overflowPunct/>
        <w:topLinePunct w:val="0"/>
        <w:autoSpaceDE/>
        <w:autoSpaceDN/>
        <w:bidi w:val="0"/>
        <w:adjustRightInd/>
        <w:snapToGrid/>
        <w:spacing w:beforeAutospacing="0" w:afterAutospacing="0" w:line="360" w:lineRule="auto"/>
        <w:ind w:leftChars="0" w:firstLine="504" w:firstLineChars="200"/>
        <w:textAlignment w:val="auto"/>
        <w:outlineLvl w:val="9"/>
        <w:rPr>
          <w:rFonts w:hint="eastAsia" w:asciiTheme="minorEastAsia" w:hAnsiTheme="minorEastAsia" w:eastAsiaTheme="minorEastAsia" w:cstheme="minorEastAsia"/>
          <w:color w:val="auto"/>
          <w:spacing w:val="6"/>
          <w:kern w:val="2"/>
          <w:sz w:val="24"/>
          <w:szCs w:val="24"/>
          <w:highlight w:val="none"/>
          <w:lang w:val="en-US" w:eastAsia="zh-CN" w:bidi="ar-SA"/>
        </w:rPr>
      </w:pPr>
      <w:bookmarkStart w:id="104" w:name="_Toc25557"/>
      <w:r>
        <w:rPr>
          <w:rFonts w:hint="eastAsia" w:asciiTheme="minorEastAsia" w:hAnsiTheme="minorEastAsia" w:eastAsiaTheme="minorEastAsia" w:cstheme="minorEastAsia"/>
          <w:color w:val="auto"/>
          <w:spacing w:val="6"/>
          <w:kern w:val="2"/>
          <w:sz w:val="24"/>
          <w:szCs w:val="24"/>
          <w:highlight w:val="none"/>
          <w:lang w:val="en-US" w:eastAsia="zh-CN" w:bidi="ar-SA"/>
        </w:rPr>
        <w:t>服务团队及服务能力具体要求详见《服务团队优异性表》、《一般服务团队条款/参数应答表》。</w:t>
      </w:r>
      <w:bookmarkEnd w:id="104"/>
    </w:p>
    <w:p w14:paraId="1CCCE90C">
      <w:pPr>
        <w:rPr>
          <w:rFonts w:hint="default"/>
          <w:color w:val="auto"/>
          <w:highlight w:val="none"/>
          <w:lang w:val="en-US" w:eastAsia="zh-CN"/>
        </w:rPr>
      </w:pPr>
    </w:p>
    <w:p w14:paraId="657AC017">
      <w:pPr>
        <w:pStyle w:val="4"/>
        <w:pageBreakBefore w:val="0"/>
        <w:kinsoku/>
        <w:wordWrap/>
        <w:overflowPunct/>
        <w:autoSpaceDE/>
        <w:autoSpaceDN/>
        <w:bidi w:val="0"/>
        <w:spacing w:beforeAutospacing="0" w:afterAutospacing="0" w:line="360" w:lineRule="auto"/>
        <w:outlineLvl w:val="0"/>
        <w:rPr>
          <w:rFonts w:hint="eastAsia" w:asciiTheme="minorEastAsia" w:hAnsiTheme="minorEastAsia" w:eastAsiaTheme="minorEastAsia" w:cstheme="minorEastAsia"/>
          <w:b/>
          <w:color w:val="auto"/>
          <w:highlight w:val="none"/>
        </w:rPr>
      </w:pPr>
      <w:bookmarkStart w:id="105" w:name="_Toc2245"/>
      <w:r>
        <w:rPr>
          <w:rFonts w:hint="eastAsia" w:asciiTheme="minorEastAsia" w:hAnsiTheme="minorEastAsia" w:eastAsiaTheme="minorEastAsia" w:cstheme="minorEastAsia"/>
          <w:b/>
          <w:color w:val="auto"/>
          <w:highlight w:val="none"/>
        </w:rPr>
        <w:t>进度计划及保证措施</w:t>
      </w:r>
      <w:bookmarkEnd w:id="98"/>
      <w:bookmarkEnd w:id="105"/>
    </w:p>
    <w:p w14:paraId="6C3A815E">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投标人须根据本项目合同工期制定科学可行的进度计划，明确可研阶段、需规概设阶段、详细设计阶段、开发测试阶段、初步验收、竣工验收各阶段的里程碑节点和交付物，经甲方确认后严格执行，并定期向甲方汇报进度情况，对偏差及时提出调整方案。</w:t>
      </w:r>
    </w:p>
    <w:p w14:paraId="4A308597">
      <w:pPr>
        <w:pStyle w:val="4"/>
        <w:pageBreakBefore w:val="0"/>
        <w:kinsoku/>
        <w:wordWrap/>
        <w:overflowPunct/>
        <w:autoSpaceDE/>
        <w:autoSpaceDN/>
        <w:bidi w:val="0"/>
        <w:spacing w:beforeAutospacing="0" w:afterAutospacing="0" w:line="360" w:lineRule="auto"/>
        <w:outlineLvl w:val="0"/>
        <w:rPr>
          <w:rFonts w:hint="eastAsia" w:asciiTheme="minorEastAsia" w:hAnsiTheme="minorEastAsia" w:eastAsiaTheme="minorEastAsia" w:cstheme="minorEastAsia"/>
          <w:b/>
          <w:color w:val="auto"/>
          <w:highlight w:val="none"/>
        </w:rPr>
      </w:pPr>
      <w:bookmarkStart w:id="106" w:name="_Toc16674"/>
      <w:bookmarkStart w:id="107" w:name="_Toc14856"/>
      <w:r>
        <w:rPr>
          <w:rFonts w:hint="eastAsia" w:asciiTheme="minorEastAsia" w:hAnsiTheme="minorEastAsia" w:eastAsiaTheme="minorEastAsia" w:cstheme="minorEastAsia"/>
          <w:b/>
          <w:color w:val="auto"/>
          <w:highlight w:val="none"/>
        </w:rPr>
        <w:t>服务质量保证措施</w:t>
      </w:r>
      <w:bookmarkEnd w:id="106"/>
      <w:bookmarkEnd w:id="107"/>
    </w:p>
    <w:p w14:paraId="46FBF412">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具有区块链相关项目售后服务经验的投标人优先。评审时将对以下内容进行综合评判：售后服务体系的完善性、项目团队开展售后服务的组织形式、承诺的售后服务响应方式及响应时间、技术服务支持的针对性与全面性。</w:t>
      </w:r>
    </w:p>
    <w:p w14:paraId="15E8F916">
      <w:pPr>
        <w:pStyle w:val="4"/>
        <w:pageBreakBefore w:val="0"/>
        <w:kinsoku/>
        <w:wordWrap/>
        <w:overflowPunct/>
        <w:autoSpaceDE/>
        <w:autoSpaceDN/>
        <w:bidi w:val="0"/>
        <w:spacing w:beforeAutospacing="0" w:afterAutospacing="0" w:line="360" w:lineRule="auto"/>
        <w:outlineLvl w:val="0"/>
        <w:rPr>
          <w:rFonts w:hint="eastAsia" w:asciiTheme="minorEastAsia" w:hAnsiTheme="minorEastAsia" w:eastAsiaTheme="minorEastAsia" w:cstheme="minorEastAsia"/>
          <w:b/>
          <w:color w:val="auto"/>
          <w:highlight w:val="none"/>
        </w:rPr>
      </w:pPr>
      <w:bookmarkStart w:id="108" w:name="_Toc30451"/>
      <w:bookmarkStart w:id="109" w:name="_Toc10681"/>
      <w:r>
        <w:rPr>
          <w:rFonts w:hint="eastAsia" w:asciiTheme="minorEastAsia" w:hAnsiTheme="minorEastAsia" w:eastAsiaTheme="minorEastAsia" w:cstheme="minorEastAsia"/>
          <w:b/>
          <w:color w:val="auto"/>
          <w:highlight w:val="none"/>
        </w:rPr>
        <w:t>服务承诺</w:t>
      </w:r>
      <w:bookmarkEnd w:id="108"/>
      <w:bookmarkEnd w:id="109"/>
    </w:p>
    <w:p w14:paraId="59F1A3BB">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投标人须承诺在本项目合同履约期间无重大质量事故记录，且在提交投标文件时不存在因本项目相关业务引发的未结法律诉讼。投标人须对本项目的服务质量、响应时效及交付成果作出明确承诺，并对承诺内容承担相应责任。</w:t>
      </w:r>
    </w:p>
    <w:p w14:paraId="3C1C4D3A">
      <w:pPr>
        <w:pStyle w:val="4"/>
        <w:pageBreakBefore w:val="0"/>
        <w:kinsoku/>
        <w:wordWrap/>
        <w:overflowPunct/>
        <w:autoSpaceDE/>
        <w:autoSpaceDN/>
        <w:bidi w:val="0"/>
        <w:spacing w:beforeAutospacing="0" w:afterAutospacing="0" w:line="360" w:lineRule="auto"/>
        <w:outlineLvl w:val="0"/>
        <w:rPr>
          <w:rFonts w:hint="eastAsia" w:asciiTheme="minorEastAsia" w:hAnsiTheme="minorEastAsia" w:eastAsiaTheme="minorEastAsia" w:cstheme="minorEastAsia"/>
          <w:b/>
          <w:color w:val="auto"/>
          <w:highlight w:val="none"/>
        </w:rPr>
      </w:pPr>
      <w:bookmarkStart w:id="110" w:name="_Toc3940"/>
      <w:bookmarkStart w:id="111" w:name="_Toc9005"/>
      <w:r>
        <w:rPr>
          <w:rFonts w:hint="eastAsia" w:asciiTheme="minorEastAsia" w:hAnsiTheme="minorEastAsia" w:eastAsiaTheme="minorEastAsia" w:cstheme="minorEastAsia"/>
          <w:b/>
          <w:color w:val="auto"/>
          <w:highlight w:val="none"/>
        </w:rPr>
        <w:t>售后服务和技术支持</w:t>
      </w:r>
      <w:bookmarkEnd w:id="110"/>
      <w:bookmarkEnd w:id="111"/>
    </w:p>
    <w:p w14:paraId="0DC3E57D">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项目通过终验后投标人提供为期一年的质量保证期。投标人对本项目做出如下的服务承诺：</w:t>
      </w:r>
    </w:p>
    <w:p w14:paraId="72130F8C">
      <w:pPr>
        <w:keepNext/>
        <w:keepLines/>
        <w:pageBreakBefore w:val="0"/>
        <w:numPr>
          <w:ilvl w:val="2"/>
          <w:numId w:val="1"/>
        </w:numPr>
        <w:kinsoku/>
        <w:wordWrap/>
        <w:overflowPunct/>
        <w:autoSpaceDE/>
        <w:autoSpaceDN/>
        <w:bidi w:val="0"/>
        <w:spacing w:beforeAutospacing="0" w:afterAutospacing="0" w:line="360" w:lineRule="auto"/>
        <w:outlineLvl w:val="1"/>
        <w:rPr>
          <w:rFonts w:hint="eastAsia" w:ascii="宋体" w:hAnsi="宋体" w:eastAsia="宋体" w:cs="宋体"/>
          <w:b/>
          <w:bCs/>
          <w:color w:val="auto"/>
          <w:sz w:val="24"/>
          <w:highlight w:val="none"/>
        </w:rPr>
      </w:pPr>
      <w:bookmarkStart w:id="112" w:name="_Toc29076"/>
      <w:bookmarkStart w:id="113" w:name="_Toc466996339"/>
      <w:bookmarkStart w:id="114" w:name="_Toc400554969"/>
      <w:bookmarkStart w:id="115" w:name="_Toc456599935"/>
      <w:bookmarkStart w:id="116" w:name="_Toc9322"/>
      <w:r>
        <w:rPr>
          <w:rFonts w:hint="eastAsia" w:ascii="宋体" w:hAnsi="宋体" w:eastAsia="宋体" w:cs="宋体"/>
          <w:b/>
          <w:bCs/>
          <w:color w:val="auto"/>
          <w:sz w:val="24"/>
          <w:highlight w:val="none"/>
        </w:rPr>
        <w:t>质保期服务内容</w:t>
      </w:r>
      <w:bookmarkEnd w:id="112"/>
      <w:bookmarkEnd w:id="113"/>
      <w:bookmarkEnd w:id="114"/>
      <w:bookmarkEnd w:id="115"/>
      <w:bookmarkEnd w:id="116"/>
    </w:p>
    <w:p w14:paraId="24359B96">
      <w:pPr>
        <w:pageBreakBefore w:val="0"/>
        <w:kinsoku/>
        <w:wordWrap/>
        <w:overflowPunct/>
        <w:autoSpaceDE/>
        <w:autoSpaceDN/>
        <w:bidi w:val="0"/>
        <w:spacing w:beforeAutospacing="0" w:afterAutospacing="0" w:line="360" w:lineRule="auto"/>
        <w:ind w:firstLine="504" w:firstLineChars="200"/>
        <w:rPr>
          <w:rFonts w:hint="eastAsia" w:ascii="宋体" w:hAnsi="宋体" w:eastAsia="宋体" w:cs="宋体"/>
          <w:color w:val="auto"/>
          <w:spacing w:val="6"/>
          <w:sz w:val="24"/>
          <w:highlight w:val="none"/>
        </w:rPr>
      </w:pPr>
      <w:r>
        <w:rPr>
          <w:rFonts w:hint="eastAsia" w:ascii="宋体" w:hAnsi="宋体" w:eastAsia="宋体" w:cs="宋体"/>
          <w:color w:val="auto"/>
          <w:spacing w:val="6"/>
          <w:sz w:val="24"/>
          <w:highlight w:val="none"/>
        </w:rPr>
        <w:t>在质保期内，投标人应负责本项目所开发信息系统的质保服务，确保系统安全、稳定、正常地运行，投标人根据要求提供系统支持服务、系统故障处理、定期巡检等服务，并在约定或招标人要求的时限内响应并排除招标人报告的故障、缺陷。具体质保期服务内容如下：</w:t>
      </w:r>
    </w:p>
    <w:p w14:paraId="489E6050">
      <w:pPr>
        <w:pageBreakBefore w:val="0"/>
        <w:kinsoku/>
        <w:wordWrap/>
        <w:overflowPunct/>
        <w:autoSpaceDE/>
        <w:autoSpaceDN/>
        <w:bidi w:val="0"/>
        <w:spacing w:beforeAutospacing="0" w:afterAutospacing="0" w:line="360" w:lineRule="auto"/>
        <w:jc w:val="left"/>
        <w:outlineLvl w:val="2"/>
        <w:rPr>
          <w:rFonts w:hint="eastAsia" w:ascii="宋体" w:hAnsi="宋体" w:eastAsia="宋体" w:cs="宋体"/>
          <w:color w:val="auto"/>
          <w:sz w:val="24"/>
          <w:highlight w:val="none"/>
        </w:rPr>
      </w:pPr>
      <w:bookmarkStart w:id="117" w:name="_Toc456599936"/>
      <w:bookmarkStart w:id="118" w:name="_Toc400554970"/>
      <w:bookmarkStart w:id="119" w:name="_Toc31982"/>
      <w:r>
        <w:rPr>
          <w:rFonts w:hint="eastAsia" w:ascii="宋体" w:hAnsi="宋体" w:eastAsia="宋体" w:cs="宋体"/>
          <w:color w:val="auto"/>
          <w:sz w:val="24"/>
          <w:highlight w:val="none"/>
        </w:rPr>
        <w:t>系统支持服务</w:t>
      </w:r>
      <w:bookmarkEnd w:id="117"/>
      <w:bookmarkEnd w:id="118"/>
      <w:bookmarkEnd w:id="119"/>
    </w:p>
    <w:p w14:paraId="1839E26B">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本项目的保质期为系统建设竣工验收合格之日起一年，保质期内投标人需免费为项目提供包含以下系统支持服务：</w:t>
      </w:r>
    </w:p>
    <w:p w14:paraId="2DE114CB">
      <w:pPr>
        <w:pStyle w:val="20"/>
        <w:pageBreakBefore w:val="0"/>
        <w:numPr>
          <w:ilvl w:val="0"/>
          <w:numId w:val="5"/>
        </w:numPr>
        <w:kinsoku/>
        <w:wordWrap/>
        <w:overflowPunct/>
        <w:autoSpaceDE/>
        <w:autoSpaceDN/>
        <w:bidi w:val="0"/>
        <w:spacing w:beforeAutospacing="0" w:afterAutospacing="0" w:line="360" w:lineRule="auto"/>
        <w:ind w:firstLine="0" w:firstLineChars="0"/>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电话热线服务</w:t>
      </w:r>
    </w:p>
    <w:p w14:paraId="421C2EA1">
      <w:pPr>
        <w:pStyle w:val="20"/>
        <w:pageBreakBefore w:val="0"/>
        <w:kinsoku/>
        <w:wordWrap/>
        <w:overflowPunct/>
        <w:autoSpaceDE/>
        <w:autoSpaceDN/>
        <w:bidi w:val="0"/>
        <w:spacing w:beforeAutospacing="0" w:afterAutospacing="0" w:line="360" w:lineRule="auto"/>
        <w:ind w:left="634" w:leftChars="302" w:firstLine="4" w:firstLineChars="0"/>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配备有经验的售后工程师接听客服电话，及时响应招标人提出的系统问题。</w:t>
      </w:r>
    </w:p>
    <w:p w14:paraId="59641D62">
      <w:pPr>
        <w:pStyle w:val="20"/>
        <w:pageBreakBefore w:val="0"/>
        <w:kinsoku/>
        <w:wordWrap/>
        <w:overflowPunct/>
        <w:autoSpaceDE/>
        <w:autoSpaceDN/>
        <w:bidi w:val="0"/>
        <w:spacing w:beforeAutospacing="0" w:afterAutospacing="0" w:line="360" w:lineRule="auto"/>
        <w:ind w:left="636" w:leftChars="200" w:hanging="216" w:hangingChars="86"/>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要求响应时间范围为7×24小时。响应速度为10分钟以内。</w:t>
      </w:r>
    </w:p>
    <w:p w14:paraId="20D79A84">
      <w:pPr>
        <w:pStyle w:val="20"/>
        <w:pageBreakBefore w:val="0"/>
        <w:numPr>
          <w:ilvl w:val="0"/>
          <w:numId w:val="5"/>
        </w:numPr>
        <w:kinsoku/>
        <w:wordWrap/>
        <w:overflowPunct/>
        <w:autoSpaceDE/>
        <w:autoSpaceDN/>
        <w:bidi w:val="0"/>
        <w:spacing w:beforeAutospacing="0" w:afterAutospacing="0" w:line="360" w:lineRule="auto"/>
        <w:ind w:firstLine="0" w:firstLineChars="0"/>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远程支持</w:t>
      </w:r>
    </w:p>
    <w:p w14:paraId="76F286E0">
      <w:pPr>
        <w:pStyle w:val="20"/>
        <w:pageBreakBefore w:val="0"/>
        <w:kinsoku/>
        <w:wordWrap/>
        <w:overflowPunct/>
        <w:autoSpaceDE/>
        <w:autoSpaceDN/>
        <w:bidi w:val="0"/>
        <w:spacing w:beforeAutospacing="0" w:afterAutospacing="0" w:line="360" w:lineRule="auto"/>
        <w:ind w:left="634" w:leftChars="302" w:firstLine="4" w:firstLineChars="0"/>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对于客服电话解答不了的问题，由售后工程师通过远程网络连线至主机进行远程支持。</w:t>
      </w:r>
    </w:p>
    <w:p w14:paraId="198777EB">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要求响应时间范围为：7×24小时。响应速度30分钟以内。</w:t>
      </w:r>
    </w:p>
    <w:p w14:paraId="6DF24646">
      <w:pPr>
        <w:pStyle w:val="20"/>
        <w:pageBreakBefore w:val="0"/>
        <w:numPr>
          <w:ilvl w:val="0"/>
          <w:numId w:val="5"/>
        </w:numPr>
        <w:kinsoku/>
        <w:wordWrap/>
        <w:overflowPunct/>
        <w:autoSpaceDE/>
        <w:autoSpaceDN/>
        <w:bidi w:val="0"/>
        <w:spacing w:beforeAutospacing="0" w:afterAutospacing="0" w:line="360" w:lineRule="auto"/>
        <w:ind w:firstLine="0" w:firstLineChars="0"/>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现场服务</w:t>
      </w:r>
    </w:p>
    <w:p w14:paraId="5AC48264">
      <w:pPr>
        <w:pStyle w:val="20"/>
        <w:pageBreakBefore w:val="0"/>
        <w:kinsoku/>
        <w:wordWrap/>
        <w:overflowPunct/>
        <w:autoSpaceDE/>
        <w:autoSpaceDN/>
        <w:bidi w:val="0"/>
        <w:spacing w:beforeAutospacing="0" w:afterAutospacing="0" w:line="360" w:lineRule="auto"/>
        <w:ind w:left="634" w:leftChars="302" w:firstLine="4" w:firstLineChars="0"/>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对出现不能远程解决的问题，或在系统的运行环境不完全成熟的条件下，需要提供售后工程师的上门服务，现场解决问题。</w:t>
      </w:r>
    </w:p>
    <w:p w14:paraId="054C9CDF">
      <w:pPr>
        <w:pageBreakBefore w:val="0"/>
        <w:kinsoku/>
        <w:wordWrap/>
        <w:overflowPunct/>
        <w:autoSpaceDE/>
        <w:autoSpaceDN/>
        <w:bidi w:val="0"/>
        <w:spacing w:beforeAutospacing="0" w:afterAutospacing="0" w:line="360" w:lineRule="auto"/>
        <w:jc w:val="left"/>
        <w:outlineLvl w:val="2"/>
        <w:rPr>
          <w:rFonts w:hint="eastAsia" w:ascii="宋体" w:hAnsi="宋体" w:eastAsia="宋体" w:cs="宋体"/>
          <w:color w:val="auto"/>
          <w:sz w:val="24"/>
          <w:highlight w:val="none"/>
        </w:rPr>
      </w:pPr>
      <w:r>
        <w:rPr>
          <w:rFonts w:hint="eastAsia" w:asciiTheme="minorEastAsia" w:hAnsiTheme="minorEastAsia" w:cstheme="minorEastAsia"/>
          <w:color w:val="auto"/>
          <w:sz w:val="24"/>
          <w:highlight w:val="none"/>
        </w:rPr>
        <w:t>要求响应时间范围为：7×24小时，响应速度30分钟以内，120分钟到达现场。</w:t>
      </w:r>
      <w:bookmarkStart w:id="120" w:name="_Toc456599937"/>
      <w:bookmarkStart w:id="121" w:name="_Toc26581"/>
      <w:bookmarkStart w:id="122" w:name="_Toc400554971"/>
      <w:r>
        <w:rPr>
          <w:rFonts w:hint="eastAsia" w:ascii="宋体" w:hAnsi="宋体" w:eastAsia="宋体" w:cs="宋体"/>
          <w:color w:val="auto"/>
          <w:sz w:val="24"/>
          <w:highlight w:val="none"/>
        </w:rPr>
        <w:t>系统故障处理</w:t>
      </w:r>
      <w:bookmarkEnd w:id="120"/>
      <w:bookmarkEnd w:id="121"/>
      <w:bookmarkEnd w:id="122"/>
    </w:p>
    <w:p w14:paraId="42A4BA20">
      <w:pPr>
        <w:pageBreakBefore w:val="0"/>
        <w:kinsoku/>
        <w:wordWrap/>
        <w:overflowPunct/>
        <w:autoSpaceDE/>
        <w:autoSpaceDN/>
        <w:bidi w:val="0"/>
        <w:spacing w:beforeAutospacing="0" w:afterAutospacing="0" w:line="360" w:lineRule="auto"/>
        <w:ind w:firstLine="504" w:firstLineChars="200"/>
        <w:rPr>
          <w:rFonts w:hint="eastAsia" w:ascii="宋体" w:hAnsi="宋体" w:eastAsia="宋体" w:cs="宋体"/>
          <w:color w:val="auto"/>
          <w:spacing w:val="6"/>
          <w:sz w:val="24"/>
          <w:highlight w:val="none"/>
        </w:rPr>
      </w:pPr>
      <w:r>
        <w:rPr>
          <w:rFonts w:hint="eastAsia" w:ascii="宋体" w:hAnsi="宋体" w:eastAsia="宋体" w:cs="宋体"/>
          <w:color w:val="auto"/>
          <w:spacing w:val="6"/>
          <w:sz w:val="24"/>
          <w:highlight w:val="none"/>
        </w:rPr>
        <w:t>故障应急服务：一般故障包括系统性能严重下降及系统功能异常，投标人负责向招标人提供7×24小时专人应急服务热线，投标人接到招标人应急报障后， 10分钟内通过电话进行应急响应支持，若30分钟仍无法排除故障，且发生的故障或异常暂不影响业务正常运行时，应在 2 小时内赶到现场提供技术支持，投标人工程师到达招标人现场后，立即进行系统补丁、更换硬件部件等措施。故障排除7个工作日内，提供《故障应急处理报告》及故障彻底消除解决方案，协助招标人维护人员实施相关的系统升级、参数设置调整。</w:t>
      </w:r>
    </w:p>
    <w:p w14:paraId="2C69051E">
      <w:pPr>
        <w:pageBreakBefore w:val="0"/>
        <w:kinsoku/>
        <w:wordWrap/>
        <w:overflowPunct/>
        <w:autoSpaceDE/>
        <w:autoSpaceDN/>
        <w:bidi w:val="0"/>
        <w:spacing w:beforeAutospacing="0" w:afterAutospacing="0" w:line="360" w:lineRule="auto"/>
        <w:ind w:firstLine="504" w:firstLineChars="200"/>
        <w:rPr>
          <w:rFonts w:hint="eastAsia" w:ascii="宋体" w:hAnsi="宋体" w:eastAsia="宋体" w:cs="宋体"/>
          <w:color w:val="auto"/>
          <w:spacing w:val="6"/>
          <w:sz w:val="24"/>
          <w:highlight w:val="none"/>
        </w:rPr>
      </w:pPr>
    </w:p>
    <w:p w14:paraId="2439DE8D">
      <w:pPr>
        <w:pageBreakBefore w:val="0"/>
        <w:kinsoku/>
        <w:wordWrap/>
        <w:overflowPunct/>
        <w:autoSpaceDE/>
        <w:autoSpaceDN/>
        <w:bidi w:val="0"/>
        <w:spacing w:beforeAutospacing="0" w:afterAutospacing="0" w:line="360" w:lineRule="auto"/>
        <w:ind w:firstLine="504" w:firstLineChars="200"/>
        <w:rPr>
          <w:rFonts w:hint="eastAsia" w:ascii="宋体" w:hAnsi="宋体" w:eastAsia="宋体" w:cs="宋体"/>
          <w:color w:val="auto"/>
          <w:spacing w:val="6"/>
          <w:sz w:val="24"/>
          <w:highlight w:val="none"/>
        </w:rPr>
      </w:pPr>
      <w:r>
        <w:rPr>
          <w:rFonts w:hint="eastAsia" w:ascii="宋体" w:hAnsi="宋体" w:eastAsia="宋体" w:cs="宋体"/>
          <w:color w:val="auto"/>
          <w:spacing w:val="6"/>
          <w:sz w:val="24"/>
          <w:highlight w:val="none"/>
        </w:rPr>
        <w:t xml:space="preserve">投标人应招标人要求现场协助招标人维护人员实施系统升级、补丁安装、参数设置调整、应用升级和调整。 </w:t>
      </w:r>
    </w:p>
    <w:p w14:paraId="0CABE2C4">
      <w:pPr>
        <w:pageBreakBefore w:val="0"/>
        <w:kinsoku/>
        <w:wordWrap/>
        <w:overflowPunct/>
        <w:autoSpaceDE/>
        <w:autoSpaceDN/>
        <w:bidi w:val="0"/>
        <w:spacing w:beforeAutospacing="0" w:afterAutospacing="0" w:line="360" w:lineRule="auto"/>
        <w:ind w:firstLine="504" w:firstLineChars="200"/>
        <w:rPr>
          <w:rFonts w:hint="eastAsia" w:ascii="宋体" w:hAnsi="宋体" w:eastAsia="宋体" w:cs="宋体"/>
          <w:color w:val="auto"/>
          <w:spacing w:val="6"/>
          <w:sz w:val="24"/>
          <w:highlight w:val="none"/>
        </w:rPr>
      </w:pPr>
      <w:r>
        <w:rPr>
          <w:rFonts w:hint="eastAsia" w:ascii="宋体" w:hAnsi="宋体" w:eastAsia="宋体" w:cs="宋体"/>
          <w:color w:val="auto"/>
          <w:spacing w:val="6"/>
          <w:sz w:val="24"/>
          <w:highlight w:val="none"/>
        </w:rPr>
        <w:t>在年终结算及法定节假日，投标人提前向招标人提供值班工程师名单、当值地点及联系电话。保障实时响应招标人的故障呼叫，需要时及时赶到现场。</w:t>
      </w:r>
    </w:p>
    <w:p w14:paraId="183919C7">
      <w:pPr>
        <w:pageBreakBefore w:val="0"/>
        <w:kinsoku/>
        <w:wordWrap/>
        <w:overflowPunct/>
        <w:autoSpaceDE/>
        <w:autoSpaceDN/>
        <w:bidi w:val="0"/>
        <w:spacing w:beforeAutospacing="0" w:afterAutospacing="0" w:line="360" w:lineRule="auto"/>
        <w:jc w:val="left"/>
        <w:outlineLvl w:val="2"/>
        <w:rPr>
          <w:rFonts w:hint="eastAsia" w:ascii="宋体" w:hAnsi="宋体" w:eastAsia="宋体" w:cs="宋体"/>
          <w:color w:val="auto"/>
          <w:sz w:val="24"/>
          <w:highlight w:val="none"/>
        </w:rPr>
      </w:pPr>
      <w:bookmarkStart w:id="123" w:name="_Toc22575"/>
      <w:bookmarkStart w:id="124" w:name="_Toc400554972"/>
      <w:bookmarkStart w:id="125" w:name="_Toc456599938"/>
      <w:r>
        <w:rPr>
          <w:rFonts w:hint="eastAsia" w:ascii="宋体" w:hAnsi="宋体" w:eastAsia="宋体" w:cs="宋体"/>
          <w:color w:val="auto"/>
          <w:sz w:val="24"/>
          <w:highlight w:val="none"/>
        </w:rPr>
        <w:t>定期巡检服务</w:t>
      </w:r>
      <w:bookmarkEnd w:id="123"/>
      <w:bookmarkEnd w:id="124"/>
      <w:bookmarkEnd w:id="125"/>
    </w:p>
    <w:p w14:paraId="686FC830">
      <w:pPr>
        <w:pageBreakBefore w:val="0"/>
        <w:kinsoku/>
        <w:wordWrap/>
        <w:overflowPunct/>
        <w:autoSpaceDE/>
        <w:autoSpaceDN/>
        <w:bidi w:val="0"/>
        <w:spacing w:beforeAutospacing="0" w:afterAutospacing="0" w:line="360" w:lineRule="auto"/>
        <w:ind w:firstLine="504" w:firstLineChars="200"/>
        <w:rPr>
          <w:rFonts w:hint="eastAsia" w:ascii="宋体" w:hAnsi="宋体" w:eastAsia="宋体" w:cs="宋体"/>
          <w:color w:val="auto"/>
          <w:spacing w:val="6"/>
          <w:sz w:val="24"/>
          <w:highlight w:val="none"/>
        </w:rPr>
      </w:pPr>
      <w:r>
        <w:rPr>
          <w:rFonts w:hint="eastAsia" w:ascii="宋体" w:hAnsi="宋体" w:eastAsia="宋体" w:cs="宋体"/>
          <w:color w:val="auto"/>
          <w:spacing w:val="6"/>
          <w:sz w:val="24"/>
          <w:highlight w:val="none"/>
        </w:rPr>
        <w:t>投标人每三个月一次派经验丰富的工程师到招标人现场对招标人的质保服务对象进行针对性巡检，检查内容包括：</w:t>
      </w:r>
    </w:p>
    <w:p w14:paraId="194AA974">
      <w:pPr>
        <w:pageBreakBefore w:val="0"/>
        <w:kinsoku/>
        <w:wordWrap/>
        <w:overflowPunct/>
        <w:autoSpaceDE/>
        <w:autoSpaceDN/>
        <w:bidi w:val="0"/>
        <w:spacing w:beforeAutospacing="0" w:afterAutospacing="0" w:line="360" w:lineRule="auto"/>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lang w:val="zh-CN"/>
        </w:rPr>
        <w:t>1、硬件巡检</w:t>
      </w:r>
    </w:p>
    <w:p w14:paraId="0216A196">
      <w:pPr>
        <w:pageBreakBefore w:val="0"/>
        <w:kinsoku/>
        <w:wordWrap/>
        <w:overflowPunct/>
        <w:autoSpaceDE/>
        <w:autoSpaceDN/>
        <w:bidi w:val="0"/>
        <w:spacing w:beforeAutospacing="0" w:afterAutospacing="0" w:line="360" w:lineRule="auto"/>
        <w:ind w:firstLine="504" w:firstLineChars="200"/>
        <w:rPr>
          <w:rFonts w:hint="eastAsia" w:ascii="宋体" w:hAnsi="宋体" w:eastAsia="宋体" w:cs="宋体"/>
          <w:color w:val="auto"/>
          <w:spacing w:val="6"/>
          <w:sz w:val="24"/>
          <w:highlight w:val="none"/>
        </w:rPr>
      </w:pPr>
      <w:r>
        <w:rPr>
          <w:rFonts w:hint="eastAsia" w:ascii="宋体" w:hAnsi="宋体" w:eastAsia="宋体" w:cs="宋体"/>
          <w:color w:val="auto"/>
          <w:spacing w:val="6"/>
          <w:sz w:val="24"/>
          <w:highlight w:val="none"/>
        </w:rPr>
        <w:t>对负载均衡、服务器、网络设备等的运行情况进行巡检。</w:t>
      </w:r>
    </w:p>
    <w:p w14:paraId="39E99782">
      <w:pPr>
        <w:pageBreakBefore w:val="0"/>
        <w:kinsoku/>
        <w:wordWrap/>
        <w:overflowPunct/>
        <w:autoSpaceDE/>
        <w:autoSpaceDN/>
        <w:bidi w:val="0"/>
        <w:spacing w:beforeAutospacing="0" w:afterAutospacing="0" w:line="360" w:lineRule="auto"/>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2</w:t>
      </w:r>
      <w:r>
        <w:rPr>
          <w:rFonts w:hint="eastAsia" w:ascii="宋体" w:hAnsi="宋体" w:eastAsia="宋体" w:cs="宋体"/>
          <w:color w:val="auto"/>
          <w:sz w:val="24"/>
          <w:highlight w:val="none"/>
          <w:lang w:val="zh-CN"/>
        </w:rPr>
        <w:t>、应用系统巡检</w:t>
      </w:r>
    </w:p>
    <w:p w14:paraId="4632FC22">
      <w:pPr>
        <w:pageBreakBefore w:val="0"/>
        <w:kinsoku/>
        <w:wordWrap/>
        <w:overflowPunct/>
        <w:autoSpaceDE/>
        <w:autoSpaceDN/>
        <w:bidi w:val="0"/>
        <w:spacing w:beforeAutospacing="0" w:afterAutospacing="0" w:line="360" w:lineRule="auto"/>
        <w:ind w:firstLine="504" w:firstLineChars="200"/>
        <w:rPr>
          <w:rFonts w:hint="eastAsia" w:ascii="宋体" w:hAnsi="宋体" w:eastAsia="宋体" w:cs="宋体"/>
          <w:color w:val="auto"/>
          <w:spacing w:val="6"/>
          <w:sz w:val="24"/>
          <w:highlight w:val="none"/>
        </w:rPr>
      </w:pPr>
      <w:r>
        <w:rPr>
          <w:rFonts w:hint="eastAsia" w:ascii="宋体" w:hAnsi="宋体" w:eastAsia="宋体" w:cs="宋体"/>
          <w:color w:val="auto"/>
          <w:spacing w:val="6"/>
          <w:sz w:val="24"/>
          <w:highlight w:val="none"/>
        </w:rPr>
        <w:t>对应用系统日志分析、性能、接口服务联通情况进行巡检。</w:t>
      </w:r>
    </w:p>
    <w:p w14:paraId="33CD0420">
      <w:pPr>
        <w:pageBreakBefore w:val="0"/>
        <w:kinsoku/>
        <w:wordWrap/>
        <w:overflowPunct/>
        <w:autoSpaceDE/>
        <w:autoSpaceDN/>
        <w:bidi w:val="0"/>
        <w:spacing w:beforeAutospacing="0" w:afterAutospacing="0" w:line="360" w:lineRule="auto"/>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3</w:t>
      </w:r>
      <w:r>
        <w:rPr>
          <w:rFonts w:hint="eastAsia" w:ascii="宋体" w:hAnsi="宋体" w:eastAsia="宋体" w:cs="宋体"/>
          <w:color w:val="auto"/>
          <w:sz w:val="24"/>
          <w:highlight w:val="none"/>
          <w:lang w:val="zh-CN"/>
        </w:rPr>
        <w:t>、系统分析诊断</w:t>
      </w:r>
    </w:p>
    <w:p w14:paraId="53D72B07">
      <w:pPr>
        <w:pageBreakBefore w:val="0"/>
        <w:kinsoku/>
        <w:wordWrap/>
        <w:overflowPunct/>
        <w:autoSpaceDE/>
        <w:autoSpaceDN/>
        <w:bidi w:val="0"/>
        <w:spacing w:beforeAutospacing="0" w:afterAutospacing="0" w:line="360" w:lineRule="auto"/>
        <w:ind w:firstLine="504" w:firstLineChars="200"/>
        <w:rPr>
          <w:rFonts w:hint="eastAsia" w:ascii="宋体" w:hAnsi="宋体" w:eastAsia="宋体" w:cs="宋体"/>
          <w:color w:val="auto"/>
          <w:spacing w:val="6"/>
          <w:sz w:val="24"/>
          <w:highlight w:val="none"/>
        </w:rPr>
      </w:pPr>
      <w:r>
        <w:rPr>
          <w:rFonts w:hint="eastAsia" w:ascii="宋体" w:hAnsi="宋体" w:eastAsia="宋体" w:cs="宋体"/>
          <w:color w:val="auto"/>
          <w:spacing w:val="6"/>
          <w:sz w:val="24"/>
          <w:highlight w:val="none"/>
        </w:rPr>
        <w:t>根据巡视服务情况，从服务器、数据库、中间件、操作系统、应用系统几个维度进行系统性诊断，分析负载、资源分配等指标，评估数据增长带来的压力，及时发觉潜在隐患，给出整体诊断报告。</w:t>
      </w:r>
    </w:p>
    <w:p w14:paraId="54B380E1">
      <w:pPr>
        <w:pageBreakBefore w:val="0"/>
        <w:kinsoku/>
        <w:wordWrap/>
        <w:overflowPunct/>
        <w:autoSpaceDE/>
        <w:autoSpaceDN/>
        <w:bidi w:val="0"/>
        <w:spacing w:beforeAutospacing="0" w:afterAutospacing="0" w:line="360" w:lineRule="auto"/>
        <w:ind w:firstLine="480" w:firstLineChars="200"/>
        <w:rPr>
          <w:rFonts w:hint="eastAsia" w:ascii="宋体" w:hAnsi="宋体" w:eastAsia="宋体" w:cs="宋体"/>
          <w:color w:val="auto"/>
          <w:sz w:val="24"/>
          <w:highlight w:val="none"/>
          <w:lang w:val="zh-CN"/>
        </w:rPr>
      </w:pPr>
      <w:r>
        <w:rPr>
          <w:rFonts w:hint="eastAsia" w:ascii="宋体" w:hAnsi="宋体" w:eastAsia="宋体" w:cs="宋体"/>
          <w:color w:val="auto"/>
          <w:sz w:val="24"/>
          <w:highlight w:val="none"/>
        </w:rPr>
        <w:t>4</w:t>
      </w:r>
      <w:r>
        <w:rPr>
          <w:rFonts w:hint="eastAsia" w:ascii="宋体" w:hAnsi="宋体" w:eastAsia="宋体" w:cs="宋体"/>
          <w:color w:val="auto"/>
          <w:sz w:val="24"/>
          <w:highlight w:val="none"/>
          <w:lang w:val="zh-CN"/>
        </w:rPr>
        <w:t>、其他内容</w:t>
      </w:r>
    </w:p>
    <w:p w14:paraId="41126072">
      <w:pPr>
        <w:pageBreakBefore w:val="0"/>
        <w:kinsoku/>
        <w:wordWrap/>
        <w:overflowPunct/>
        <w:autoSpaceDE/>
        <w:autoSpaceDN/>
        <w:bidi w:val="0"/>
        <w:spacing w:beforeAutospacing="0" w:afterAutospacing="0" w:line="360" w:lineRule="auto"/>
        <w:ind w:firstLine="504" w:firstLineChars="200"/>
        <w:rPr>
          <w:rFonts w:hint="eastAsia" w:ascii="宋体" w:hAnsi="宋体" w:eastAsia="宋体" w:cs="宋体"/>
          <w:color w:val="auto"/>
          <w:sz w:val="24"/>
          <w:highlight w:val="none"/>
          <w:lang w:val="zh-CN"/>
        </w:rPr>
      </w:pPr>
      <w:r>
        <w:rPr>
          <w:rFonts w:hint="eastAsia" w:ascii="宋体" w:hAnsi="宋体" w:eastAsia="宋体" w:cs="宋体"/>
          <w:color w:val="auto"/>
          <w:spacing w:val="6"/>
          <w:sz w:val="24"/>
          <w:highlight w:val="none"/>
        </w:rPr>
        <w:t>完成巡检后3个工作日内向招标人提交《巡检服务报告》。</w:t>
      </w:r>
    </w:p>
    <w:p w14:paraId="1594C273">
      <w:pPr>
        <w:keepNext/>
        <w:keepLines/>
        <w:pageBreakBefore w:val="0"/>
        <w:numPr>
          <w:ilvl w:val="2"/>
          <w:numId w:val="1"/>
        </w:numPr>
        <w:kinsoku/>
        <w:wordWrap/>
        <w:overflowPunct/>
        <w:autoSpaceDE/>
        <w:autoSpaceDN/>
        <w:bidi w:val="0"/>
        <w:spacing w:beforeAutospacing="0" w:afterAutospacing="0" w:line="360" w:lineRule="auto"/>
        <w:outlineLvl w:val="1"/>
        <w:rPr>
          <w:rFonts w:hint="eastAsia" w:ascii="宋体" w:hAnsi="宋体" w:eastAsia="宋体" w:cs="宋体"/>
          <w:b/>
          <w:bCs/>
          <w:color w:val="auto"/>
          <w:sz w:val="24"/>
          <w:highlight w:val="none"/>
        </w:rPr>
      </w:pPr>
      <w:bookmarkStart w:id="126" w:name="_Toc16986"/>
      <w:r>
        <w:rPr>
          <w:rFonts w:hint="eastAsia" w:ascii="宋体" w:hAnsi="宋体" w:eastAsia="宋体" w:cs="宋体"/>
          <w:b/>
          <w:bCs/>
          <w:color w:val="auto"/>
          <w:sz w:val="24"/>
          <w:highlight w:val="none"/>
        </w:rPr>
        <w:t>技术服务承诺</w:t>
      </w:r>
      <w:bookmarkEnd w:id="126"/>
    </w:p>
    <w:p w14:paraId="53EC4642">
      <w:pPr>
        <w:pStyle w:val="20"/>
        <w:pageBreakBefore w:val="0"/>
        <w:kinsoku/>
        <w:wordWrap/>
        <w:overflowPunct/>
        <w:autoSpaceDE/>
        <w:autoSpaceDN/>
        <w:bidi w:val="0"/>
        <w:spacing w:beforeAutospacing="0" w:afterAutospacing="0" w:line="360" w:lineRule="auto"/>
        <w:ind w:firstLine="418" w:firstLineChars="166"/>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在质保期结束后，为满足招标人业务发展需要，若招标人提出软件升级或变更要求，投标人均应提供技术服务，服务费用另行协商。</w:t>
      </w:r>
    </w:p>
    <w:p w14:paraId="00CA0216">
      <w:pPr>
        <w:pStyle w:val="4"/>
        <w:pageBreakBefore w:val="0"/>
        <w:kinsoku/>
        <w:wordWrap/>
        <w:overflowPunct/>
        <w:autoSpaceDE/>
        <w:autoSpaceDN/>
        <w:bidi w:val="0"/>
        <w:spacing w:beforeAutospacing="0" w:afterAutospacing="0" w:line="360" w:lineRule="auto"/>
        <w:outlineLvl w:val="0"/>
        <w:rPr>
          <w:rFonts w:hint="eastAsia" w:asciiTheme="minorEastAsia" w:hAnsiTheme="minorEastAsia" w:eastAsiaTheme="minorEastAsia" w:cstheme="minorEastAsia"/>
          <w:b/>
          <w:bCs/>
          <w:color w:val="auto"/>
          <w:highlight w:val="none"/>
        </w:rPr>
      </w:pPr>
      <w:bookmarkStart w:id="127" w:name="_Toc22717"/>
      <w:bookmarkStart w:id="128" w:name="_Toc1090"/>
      <w:r>
        <w:rPr>
          <w:rFonts w:hint="eastAsia" w:asciiTheme="minorEastAsia" w:hAnsiTheme="minorEastAsia" w:eastAsiaTheme="minorEastAsia" w:cstheme="minorEastAsia"/>
          <w:b/>
          <w:bCs/>
          <w:color w:val="auto"/>
          <w:highlight w:val="none"/>
        </w:rPr>
        <w:t>响应要求及服务评价标准</w:t>
      </w:r>
      <w:bookmarkEnd w:id="127"/>
      <w:bookmarkEnd w:id="128"/>
    </w:p>
    <w:p w14:paraId="6B35C049">
      <w:pPr>
        <w:pStyle w:val="5"/>
        <w:pageBreakBefore w:val="0"/>
        <w:kinsoku/>
        <w:wordWrap/>
        <w:overflowPunct/>
        <w:autoSpaceDE/>
        <w:autoSpaceDN/>
        <w:bidi w:val="0"/>
        <w:spacing w:beforeAutospacing="0" w:afterAutospacing="0" w:line="360" w:lineRule="auto"/>
        <w:outlineLvl w:val="1"/>
        <w:rPr>
          <w:rFonts w:hint="eastAsia" w:asciiTheme="minorEastAsia" w:hAnsiTheme="minorEastAsia" w:cstheme="minorEastAsia"/>
          <w:color w:val="auto"/>
          <w:sz w:val="24"/>
          <w:szCs w:val="24"/>
          <w:highlight w:val="none"/>
        </w:rPr>
      </w:pPr>
      <w:bookmarkStart w:id="129" w:name="_Toc9148"/>
      <w:bookmarkEnd w:id="129"/>
      <w:bookmarkStart w:id="130" w:name="_Toc15161"/>
      <w:bookmarkEnd w:id="130"/>
      <w:bookmarkStart w:id="131" w:name="_Toc9543"/>
      <w:bookmarkEnd w:id="131"/>
      <w:bookmarkStart w:id="132" w:name="_Toc29029"/>
      <w:bookmarkEnd w:id="132"/>
      <w:bookmarkStart w:id="133" w:name="_Toc643"/>
      <w:bookmarkEnd w:id="133"/>
      <w:bookmarkStart w:id="134" w:name="_Toc32036"/>
      <w:bookmarkEnd w:id="134"/>
      <w:bookmarkStart w:id="135" w:name="_Toc21313"/>
      <w:bookmarkStart w:id="136" w:name="_Toc10582"/>
      <w:r>
        <w:rPr>
          <w:rFonts w:hint="eastAsia" w:asciiTheme="minorEastAsia" w:hAnsiTheme="minorEastAsia" w:cstheme="minorEastAsia"/>
          <w:color w:val="auto"/>
          <w:sz w:val="24"/>
          <w:szCs w:val="24"/>
          <w:highlight w:val="none"/>
        </w:rPr>
        <w:t>事件响应服务要求</w:t>
      </w:r>
      <w:bookmarkEnd w:id="135"/>
      <w:bookmarkEnd w:id="136"/>
    </w:p>
    <w:p w14:paraId="27EB2536">
      <w:pPr>
        <w:pStyle w:val="20"/>
        <w:pageBreakBefore w:val="0"/>
        <w:kinsoku/>
        <w:wordWrap/>
        <w:overflowPunct/>
        <w:autoSpaceDE/>
        <w:autoSpaceDN/>
        <w:bidi w:val="0"/>
        <w:spacing w:beforeAutospacing="0" w:afterAutospacing="0" w:line="360" w:lineRule="auto"/>
        <w:ind w:firstLine="504"/>
        <w:rPr>
          <w:rFonts w:hint="eastAsia" w:asciiTheme="minorEastAsia" w:hAnsiTheme="minorEastAsia" w:cstheme="minorEastAsia"/>
          <w:color w:val="auto"/>
          <w:sz w:val="24"/>
          <w:szCs w:val="24"/>
          <w:highlight w:val="none"/>
        </w:rPr>
      </w:pPr>
      <w:r>
        <w:rPr>
          <w:rFonts w:hint="eastAsia" w:asciiTheme="minorEastAsia" w:hAnsiTheme="minorEastAsia" w:cstheme="minorEastAsia"/>
          <w:color w:val="auto"/>
          <w:sz w:val="24"/>
          <w:szCs w:val="24"/>
          <w:highlight w:val="none"/>
        </w:rPr>
        <w:t xml:space="preserve">事件响应流程必须满足广东电网有限责任公司广州供电局IT服务管理规范流程要求，具体事件响应要求如下： </w:t>
      </w:r>
    </w:p>
    <w:tbl>
      <w:tblPr>
        <w:tblStyle w:val="16"/>
        <w:tblW w:w="716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3"/>
        <w:gridCol w:w="991"/>
        <w:gridCol w:w="3093"/>
        <w:gridCol w:w="1107"/>
        <w:gridCol w:w="1133"/>
      </w:tblGrid>
      <w:tr w14:paraId="55D77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70" w:hRule="atLeast"/>
          <w:tblHeader/>
          <w:jc w:val="center"/>
        </w:trPr>
        <w:tc>
          <w:tcPr>
            <w:tcW w:w="843" w:type="dxa"/>
            <w:vAlign w:val="center"/>
          </w:tcPr>
          <w:p w14:paraId="12CFE19D">
            <w:pPr>
              <w:pageBreakBefore w:val="0"/>
              <w:kinsoku/>
              <w:wordWrap/>
              <w:overflowPunct/>
              <w:autoSpaceDE/>
              <w:autoSpaceDN/>
              <w:bidi w:val="0"/>
              <w:spacing w:beforeAutospacing="0" w:afterAutospacing="0" w:line="360" w:lineRule="auto"/>
              <w:jc w:val="center"/>
              <w:rPr>
                <w:rFonts w:hint="eastAsia" w:ascii="宋体" w:hAnsi="宋体" w:cs="宋体"/>
                <w:b/>
                <w:bCs/>
                <w:color w:val="auto"/>
                <w:sz w:val="24"/>
                <w:highlight w:val="none"/>
              </w:rPr>
            </w:pPr>
            <w:r>
              <w:rPr>
                <w:rFonts w:hint="eastAsia" w:ascii="宋体" w:hAnsi="宋体" w:cs="宋体"/>
                <w:b/>
                <w:bCs/>
                <w:color w:val="auto"/>
                <w:sz w:val="24"/>
                <w:highlight w:val="none"/>
              </w:rPr>
              <w:t>编号</w:t>
            </w:r>
          </w:p>
        </w:tc>
        <w:tc>
          <w:tcPr>
            <w:tcW w:w="991" w:type="dxa"/>
            <w:vAlign w:val="center"/>
          </w:tcPr>
          <w:p w14:paraId="04126270">
            <w:pPr>
              <w:pageBreakBefore w:val="0"/>
              <w:kinsoku/>
              <w:wordWrap/>
              <w:overflowPunct/>
              <w:autoSpaceDE/>
              <w:autoSpaceDN/>
              <w:bidi w:val="0"/>
              <w:spacing w:beforeAutospacing="0" w:afterAutospacing="0" w:line="360" w:lineRule="auto"/>
              <w:jc w:val="center"/>
              <w:rPr>
                <w:rFonts w:hint="eastAsia" w:ascii="宋体" w:hAnsi="宋体" w:cs="宋体"/>
                <w:b/>
                <w:bCs/>
                <w:color w:val="auto"/>
                <w:sz w:val="24"/>
                <w:highlight w:val="none"/>
              </w:rPr>
            </w:pPr>
            <w:r>
              <w:rPr>
                <w:rFonts w:hint="eastAsia" w:ascii="宋体" w:hAnsi="宋体" w:cs="宋体"/>
                <w:b/>
                <w:bCs/>
                <w:color w:val="auto"/>
                <w:sz w:val="24"/>
                <w:highlight w:val="none"/>
              </w:rPr>
              <w:t>分类</w:t>
            </w:r>
          </w:p>
        </w:tc>
        <w:tc>
          <w:tcPr>
            <w:tcW w:w="3093" w:type="dxa"/>
            <w:vAlign w:val="center"/>
          </w:tcPr>
          <w:p w14:paraId="33BC19A6">
            <w:pPr>
              <w:pageBreakBefore w:val="0"/>
              <w:kinsoku/>
              <w:wordWrap/>
              <w:overflowPunct/>
              <w:autoSpaceDE/>
              <w:autoSpaceDN/>
              <w:bidi w:val="0"/>
              <w:spacing w:beforeAutospacing="0" w:afterAutospacing="0" w:line="360" w:lineRule="auto"/>
              <w:jc w:val="center"/>
              <w:rPr>
                <w:rFonts w:hint="eastAsia" w:ascii="宋体" w:hAnsi="宋体" w:cs="宋体"/>
                <w:b/>
                <w:bCs/>
                <w:color w:val="auto"/>
                <w:sz w:val="24"/>
                <w:highlight w:val="none"/>
              </w:rPr>
            </w:pPr>
            <w:r>
              <w:rPr>
                <w:rFonts w:hint="eastAsia" w:ascii="宋体" w:hAnsi="宋体" w:cs="宋体"/>
                <w:b/>
                <w:bCs/>
                <w:color w:val="auto"/>
                <w:sz w:val="24"/>
                <w:highlight w:val="none"/>
              </w:rPr>
              <w:t>事件</w:t>
            </w:r>
          </w:p>
        </w:tc>
        <w:tc>
          <w:tcPr>
            <w:tcW w:w="1107" w:type="dxa"/>
            <w:vAlign w:val="center"/>
          </w:tcPr>
          <w:p w14:paraId="7A4DCE07">
            <w:pPr>
              <w:pageBreakBefore w:val="0"/>
              <w:kinsoku/>
              <w:wordWrap/>
              <w:overflowPunct/>
              <w:autoSpaceDE/>
              <w:autoSpaceDN/>
              <w:bidi w:val="0"/>
              <w:spacing w:beforeAutospacing="0" w:afterAutospacing="0" w:line="360" w:lineRule="auto"/>
              <w:jc w:val="center"/>
              <w:rPr>
                <w:rFonts w:hint="eastAsia" w:ascii="宋体" w:hAnsi="宋体" w:cs="宋体"/>
                <w:b/>
                <w:bCs/>
                <w:color w:val="auto"/>
                <w:sz w:val="24"/>
                <w:highlight w:val="none"/>
              </w:rPr>
            </w:pPr>
            <w:r>
              <w:rPr>
                <w:rFonts w:hint="eastAsia" w:ascii="宋体" w:hAnsi="宋体" w:cs="宋体"/>
                <w:b/>
                <w:bCs/>
                <w:color w:val="auto"/>
                <w:sz w:val="24"/>
                <w:highlight w:val="none"/>
              </w:rPr>
              <w:t>响应时间</w:t>
            </w:r>
          </w:p>
        </w:tc>
        <w:tc>
          <w:tcPr>
            <w:tcW w:w="1133" w:type="dxa"/>
            <w:vAlign w:val="center"/>
          </w:tcPr>
          <w:p w14:paraId="441A9849">
            <w:pPr>
              <w:pageBreakBefore w:val="0"/>
              <w:kinsoku/>
              <w:wordWrap/>
              <w:overflowPunct/>
              <w:autoSpaceDE/>
              <w:autoSpaceDN/>
              <w:bidi w:val="0"/>
              <w:spacing w:beforeAutospacing="0" w:afterAutospacing="0" w:line="360" w:lineRule="auto"/>
              <w:jc w:val="center"/>
              <w:rPr>
                <w:rFonts w:hint="eastAsia" w:ascii="宋体" w:hAnsi="宋体" w:cs="宋体"/>
                <w:b/>
                <w:bCs/>
                <w:color w:val="auto"/>
                <w:sz w:val="24"/>
                <w:highlight w:val="none"/>
              </w:rPr>
            </w:pPr>
            <w:r>
              <w:rPr>
                <w:rFonts w:hint="eastAsia" w:ascii="宋体" w:hAnsi="宋体" w:cs="宋体"/>
                <w:b/>
                <w:bCs/>
                <w:color w:val="auto"/>
                <w:sz w:val="24"/>
                <w:highlight w:val="none"/>
              </w:rPr>
              <w:t>到达现场时间</w:t>
            </w:r>
          </w:p>
        </w:tc>
      </w:tr>
      <w:tr w14:paraId="3B8C56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3" w:type="dxa"/>
            <w:vMerge w:val="restart"/>
            <w:vAlign w:val="center"/>
          </w:tcPr>
          <w:p w14:paraId="5202A685">
            <w:pPr>
              <w:pStyle w:val="21"/>
              <w:pageBreakBefore w:val="0"/>
              <w:kinsoku/>
              <w:wordWrap/>
              <w:overflowPunct/>
              <w:autoSpaceDE/>
              <w:autoSpaceDN/>
              <w:bidi w:val="0"/>
              <w:spacing w:beforeAutospacing="0" w:afterAutospacing="0" w:line="360" w:lineRule="auto"/>
              <w:ind w:left="0" w:firstLine="240" w:firstLineChars="100"/>
              <w:rPr>
                <w:rFonts w:hint="eastAsia" w:ascii="宋体"/>
                <w:color w:val="auto"/>
                <w:kern w:val="1"/>
                <w:sz w:val="24"/>
                <w:highlight w:val="none"/>
              </w:rPr>
            </w:pPr>
            <w:r>
              <w:rPr>
                <w:rFonts w:hint="eastAsia" w:ascii="宋体"/>
                <w:color w:val="auto"/>
                <w:kern w:val="1"/>
                <w:sz w:val="24"/>
                <w:highlight w:val="none"/>
              </w:rPr>
              <w:t>1</w:t>
            </w:r>
          </w:p>
        </w:tc>
        <w:tc>
          <w:tcPr>
            <w:tcW w:w="991" w:type="dxa"/>
            <w:vMerge w:val="restart"/>
            <w:vAlign w:val="center"/>
          </w:tcPr>
          <w:p w14:paraId="589476B1">
            <w:pPr>
              <w:pageBreakBefore w:val="0"/>
              <w:kinsoku/>
              <w:wordWrap/>
              <w:overflowPunct/>
              <w:autoSpaceDE/>
              <w:autoSpaceDN/>
              <w:bidi w:val="0"/>
              <w:spacing w:beforeAutospacing="0" w:afterAutospacing="0" w:line="360" w:lineRule="auto"/>
              <w:jc w:val="center"/>
              <w:rPr>
                <w:rFonts w:hint="eastAsia" w:ascii="宋体" w:hAnsi="宋体"/>
                <w:color w:val="auto"/>
                <w:sz w:val="24"/>
                <w:highlight w:val="none"/>
              </w:rPr>
            </w:pPr>
            <w:r>
              <w:rPr>
                <w:rFonts w:hint="eastAsia" w:ascii="宋体" w:hAnsi="宋体"/>
                <w:color w:val="auto"/>
                <w:sz w:val="24"/>
                <w:highlight w:val="none"/>
              </w:rPr>
              <w:t>紧急</w:t>
            </w:r>
          </w:p>
        </w:tc>
        <w:tc>
          <w:tcPr>
            <w:tcW w:w="3093" w:type="dxa"/>
            <w:vAlign w:val="center"/>
          </w:tcPr>
          <w:p w14:paraId="6CC59FC1">
            <w:pPr>
              <w:pageBreakBefore w:val="0"/>
              <w:kinsoku/>
              <w:wordWrap/>
              <w:overflowPunct/>
              <w:autoSpaceDE/>
              <w:autoSpaceDN/>
              <w:bidi w:val="0"/>
              <w:spacing w:beforeAutospacing="0" w:afterAutospacing="0" w:line="360" w:lineRule="auto"/>
              <w:rPr>
                <w:rFonts w:hint="eastAsia" w:ascii="宋体" w:hAnsi="宋体"/>
                <w:color w:val="auto"/>
                <w:sz w:val="24"/>
                <w:highlight w:val="none"/>
              </w:rPr>
            </w:pPr>
            <w:r>
              <w:rPr>
                <w:rFonts w:hint="eastAsia" w:ascii="宋体" w:hAnsi="宋体"/>
                <w:color w:val="auto"/>
                <w:sz w:val="24"/>
                <w:highlight w:val="none"/>
              </w:rPr>
              <w:t>系统所有功能模块无法提供服务，导致系统瘫痪。</w:t>
            </w:r>
          </w:p>
        </w:tc>
        <w:tc>
          <w:tcPr>
            <w:tcW w:w="1107" w:type="dxa"/>
            <w:vMerge w:val="restart"/>
            <w:vAlign w:val="center"/>
          </w:tcPr>
          <w:p w14:paraId="0F7ABC34">
            <w:pPr>
              <w:pageBreakBefore w:val="0"/>
              <w:kinsoku/>
              <w:wordWrap/>
              <w:overflowPunct/>
              <w:autoSpaceDE/>
              <w:autoSpaceDN/>
              <w:bidi w:val="0"/>
              <w:spacing w:beforeAutospacing="0" w:afterAutospacing="0" w:line="360" w:lineRule="auto"/>
              <w:jc w:val="center"/>
              <w:rPr>
                <w:rFonts w:hint="eastAsia" w:ascii="宋体" w:hAnsi="宋体"/>
                <w:color w:val="auto"/>
                <w:sz w:val="24"/>
                <w:highlight w:val="none"/>
              </w:rPr>
            </w:pPr>
            <w:r>
              <w:rPr>
                <w:rFonts w:hint="eastAsia" w:ascii="宋体" w:hAnsi="宋体"/>
                <w:color w:val="auto"/>
                <w:sz w:val="24"/>
                <w:highlight w:val="none"/>
              </w:rPr>
              <w:t>10分钟</w:t>
            </w:r>
          </w:p>
        </w:tc>
        <w:tc>
          <w:tcPr>
            <w:tcW w:w="1133" w:type="dxa"/>
            <w:vMerge w:val="restart"/>
            <w:vAlign w:val="center"/>
          </w:tcPr>
          <w:p w14:paraId="67ACC3D3">
            <w:pPr>
              <w:pageBreakBefore w:val="0"/>
              <w:kinsoku/>
              <w:wordWrap/>
              <w:overflowPunct/>
              <w:autoSpaceDE/>
              <w:autoSpaceDN/>
              <w:bidi w:val="0"/>
              <w:spacing w:beforeAutospacing="0" w:afterAutospacing="0" w:line="360" w:lineRule="auto"/>
              <w:jc w:val="center"/>
              <w:rPr>
                <w:rFonts w:hint="eastAsia" w:ascii="宋体" w:hAnsi="宋体"/>
                <w:color w:val="auto"/>
                <w:sz w:val="24"/>
                <w:highlight w:val="none"/>
              </w:rPr>
            </w:pPr>
            <w:r>
              <w:rPr>
                <w:rFonts w:hint="eastAsia" w:ascii="宋体" w:hAnsi="宋体"/>
                <w:color w:val="auto"/>
                <w:sz w:val="24"/>
                <w:highlight w:val="none"/>
              </w:rPr>
              <w:t>120分钟</w:t>
            </w:r>
          </w:p>
        </w:tc>
      </w:tr>
      <w:tr w14:paraId="0B0AC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3" w:type="dxa"/>
            <w:vMerge w:val="continue"/>
            <w:vAlign w:val="center"/>
          </w:tcPr>
          <w:p w14:paraId="50CCAD92">
            <w:pPr>
              <w:pageBreakBefore w:val="0"/>
              <w:kinsoku/>
              <w:wordWrap/>
              <w:overflowPunct/>
              <w:autoSpaceDE/>
              <w:autoSpaceDN/>
              <w:bidi w:val="0"/>
              <w:spacing w:beforeAutospacing="0" w:afterAutospacing="0" w:line="360" w:lineRule="auto"/>
              <w:jc w:val="center"/>
              <w:rPr>
                <w:rFonts w:hint="eastAsia" w:ascii="宋体" w:hAnsi="宋体"/>
                <w:color w:val="auto"/>
                <w:sz w:val="24"/>
                <w:highlight w:val="none"/>
              </w:rPr>
            </w:pPr>
          </w:p>
        </w:tc>
        <w:tc>
          <w:tcPr>
            <w:tcW w:w="991" w:type="dxa"/>
            <w:vMerge w:val="continue"/>
            <w:vAlign w:val="center"/>
          </w:tcPr>
          <w:p w14:paraId="3DA878F4">
            <w:pPr>
              <w:pageBreakBefore w:val="0"/>
              <w:kinsoku/>
              <w:wordWrap/>
              <w:overflowPunct/>
              <w:autoSpaceDE/>
              <w:autoSpaceDN/>
              <w:bidi w:val="0"/>
              <w:spacing w:beforeAutospacing="0" w:afterAutospacing="0" w:line="360" w:lineRule="auto"/>
              <w:jc w:val="center"/>
              <w:rPr>
                <w:rFonts w:hint="eastAsia" w:ascii="宋体" w:hAnsi="宋体"/>
                <w:color w:val="auto"/>
                <w:sz w:val="24"/>
                <w:highlight w:val="none"/>
              </w:rPr>
            </w:pPr>
          </w:p>
        </w:tc>
        <w:tc>
          <w:tcPr>
            <w:tcW w:w="3093" w:type="dxa"/>
            <w:vAlign w:val="center"/>
          </w:tcPr>
          <w:p w14:paraId="7F35270D">
            <w:pPr>
              <w:pageBreakBefore w:val="0"/>
              <w:kinsoku/>
              <w:wordWrap/>
              <w:overflowPunct/>
              <w:autoSpaceDE/>
              <w:autoSpaceDN/>
              <w:bidi w:val="0"/>
              <w:spacing w:beforeAutospacing="0" w:afterAutospacing="0" w:line="360" w:lineRule="auto"/>
              <w:rPr>
                <w:rFonts w:hint="eastAsia" w:ascii="宋体" w:hAnsi="宋体"/>
                <w:color w:val="auto"/>
                <w:sz w:val="24"/>
                <w:highlight w:val="none"/>
              </w:rPr>
            </w:pPr>
            <w:r>
              <w:rPr>
                <w:rFonts w:hint="eastAsia" w:ascii="宋体" w:hAnsi="宋体"/>
                <w:color w:val="auto"/>
                <w:sz w:val="24"/>
                <w:highlight w:val="none"/>
              </w:rPr>
              <w:t>等级1的系统出现对外访问故障。</w:t>
            </w:r>
          </w:p>
        </w:tc>
        <w:tc>
          <w:tcPr>
            <w:tcW w:w="1107" w:type="dxa"/>
            <w:vMerge w:val="continue"/>
            <w:vAlign w:val="center"/>
          </w:tcPr>
          <w:p w14:paraId="0DF4F7B6">
            <w:pPr>
              <w:pageBreakBefore w:val="0"/>
              <w:kinsoku/>
              <w:wordWrap/>
              <w:overflowPunct/>
              <w:autoSpaceDE/>
              <w:autoSpaceDN/>
              <w:bidi w:val="0"/>
              <w:spacing w:beforeAutospacing="0" w:afterAutospacing="0" w:line="360" w:lineRule="auto"/>
              <w:jc w:val="center"/>
              <w:rPr>
                <w:rFonts w:hint="eastAsia" w:ascii="宋体" w:hAnsi="宋体"/>
                <w:color w:val="auto"/>
                <w:sz w:val="24"/>
                <w:highlight w:val="none"/>
              </w:rPr>
            </w:pPr>
          </w:p>
        </w:tc>
        <w:tc>
          <w:tcPr>
            <w:tcW w:w="1133" w:type="dxa"/>
            <w:vMerge w:val="continue"/>
            <w:vAlign w:val="center"/>
          </w:tcPr>
          <w:p w14:paraId="5D5DD544">
            <w:pPr>
              <w:pageBreakBefore w:val="0"/>
              <w:kinsoku/>
              <w:wordWrap/>
              <w:overflowPunct/>
              <w:autoSpaceDE/>
              <w:autoSpaceDN/>
              <w:bidi w:val="0"/>
              <w:spacing w:beforeAutospacing="0" w:afterAutospacing="0" w:line="360" w:lineRule="auto"/>
              <w:jc w:val="center"/>
              <w:rPr>
                <w:rFonts w:hint="eastAsia" w:ascii="宋体" w:hAnsi="宋体"/>
                <w:color w:val="auto"/>
                <w:sz w:val="24"/>
                <w:highlight w:val="none"/>
              </w:rPr>
            </w:pPr>
          </w:p>
        </w:tc>
      </w:tr>
      <w:tr w14:paraId="68C00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3" w:type="dxa"/>
            <w:vMerge w:val="continue"/>
            <w:vAlign w:val="center"/>
          </w:tcPr>
          <w:p w14:paraId="1FBC05EF">
            <w:pPr>
              <w:pageBreakBefore w:val="0"/>
              <w:kinsoku/>
              <w:wordWrap/>
              <w:overflowPunct/>
              <w:autoSpaceDE/>
              <w:autoSpaceDN/>
              <w:bidi w:val="0"/>
              <w:spacing w:beforeAutospacing="0" w:afterAutospacing="0" w:line="360" w:lineRule="auto"/>
              <w:jc w:val="center"/>
              <w:rPr>
                <w:rFonts w:hint="eastAsia" w:ascii="宋体" w:hAnsi="宋体"/>
                <w:color w:val="auto"/>
                <w:sz w:val="24"/>
                <w:highlight w:val="none"/>
              </w:rPr>
            </w:pPr>
          </w:p>
        </w:tc>
        <w:tc>
          <w:tcPr>
            <w:tcW w:w="991" w:type="dxa"/>
            <w:vMerge w:val="continue"/>
            <w:vAlign w:val="center"/>
          </w:tcPr>
          <w:p w14:paraId="64BCAFF2">
            <w:pPr>
              <w:pageBreakBefore w:val="0"/>
              <w:kinsoku/>
              <w:wordWrap/>
              <w:overflowPunct/>
              <w:autoSpaceDE/>
              <w:autoSpaceDN/>
              <w:bidi w:val="0"/>
              <w:spacing w:beforeAutospacing="0" w:afterAutospacing="0" w:line="360" w:lineRule="auto"/>
              <w:jc w:val="center"/>
              <w:rPr>
                <w:rFonts w:hint="eastAsia" w:ascii="宋体" w:hAnsi="宋体"/>
                <w:color w:val="auto"/>
                <w:sz w:val="24"/>
                <w:highlight w:val="none"/>
              </w:rPr>
            </w:pPr>
          </w:p>
        </w:tc>
        <w:tc>
          <w:tcPr>
            <w:tcW w:w="3093" w:type="dxa"/>
            <w:vAlign w:val="center"/>
          </w:tcPr>
          <w:p w14:paraId="15AB59BD">
            <w:pPr>
              <w:pageBreakBefore w:val="0"/>
              <w:kinsoku/>
              <w:wordWrap/>
              <w:overflowPunct/>
              <w:autoSpaceDE/>
              <w:autoSpaceDN/>
              <w:bidi w:val="0"/>
              <w:spacing w:beforeAutospacing="0" w:afterAutospacing="0" w:line="360" w:lineRule="auto"/>
              <w:rPr>
                <w:rFonts w:hint="eastAsia" w:ascii="宋体" w:hAnsi="宋体"/>
                <w:color w:val="auto"/>
                <w:sz w:val="24"/>
                <w:highlight w:val="none"/>
              </w:rPr>
            </w:pPr>
            <w:r>
              <w:rPr>
                <w:rFonts w:hint="eastAsia" w:ascii="宋体" w:hAnsi="宋体"/>
                <w:color w:val="auto"/>
                <w:sz w:val="24"/>
                <w:highlight w:val="none"/>
              </w:rPr>
              <w:t>等级1的系统严重问题消缺。</w:t>
            </w:r>
          </w:p>
        </w:tc>
        <w:tc>
          <w:tcPr>
            <w:tcW w:w="1107" w:type="dxa"/>
            <w:vMerge w:val="continue"/>
            <w:vAlign w:val="center"/>
          </w:tcPr>
          <w:p w14:paraId="449C0868">
            <w:pPr>
              <w:pageBreakBefore w:val="0"/>
              <w:kinsoku/>
              <w:wordWrap/>
              <w:overflowPunct/>
              <w:autoSpaceDE/>
              <w:autoSpaceDN/>
              <w:bidi w:val="0"/>
              <w:spacing w:beforeAutospacing="0" w:afterAutospacing="0" w:line="360" w:lineRule="auto"/>
              <w:jc w:val="center"/>
              <w:rPr>
                <w:rFonts w:hint="eastAsia" w:ascii="宋体" w:hAnsi="宋体"/>
                <w:color w:val="auto"/>
                <w:sz w:val="24"/>
                <w:highlight w:val="none"/>
              </w:rPr>
            </w:pPr>
          </w:p>
        </w:tc>
        <w:tc>
          <w:tcPr>
            <w:tcW w:w="1133" w:type="dxa"/>
            <w:vMerge w:val="continue"/>
            <w:vAlign w:val="center"/>
          </w:tcPr>
          <w:p w14:paraId="54DB521C">
            <w:pPr>
              <w:pageBreakBefore w:val="0"/>
              <w:kinsoku/>
              <w:wordWrap/>
              <w:overflowPunct/>
              <w:autoSpaceDE/>
              <w:autoSpaceDN/>
              <w:bidi w:val="0"/>
              <w:spacing w:beforeAutospacing="0" w:afterAutospacing="0" w:line="360" w:lineRule="auto"/>
              <w:jc w:val="center"/>
              <w:rPr>
                <w:rFonts w:hint="eastAsia" w:ascii="宋体" w:hAnsi="宋体"/>
                <w:color w:val="auto"/>
                <w:sz w:val="24"/>
                <w:highlight w:val="none"/>
              </w:rPr>
            </w:pPr>
          </w:p>
        </w:tc>
      </w:tr>
      <w:tr w14:paraId="0A6B8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3" w:type="dxa"/>
            <w:vMerge w:val="restart"/>
            <w:vAlign w:val="center"/>
          </w:tcPr>
          <w:p w14:paraId="063C15DC">
            <w:pPr>
              <w:pageBreakBefore w:val="0"/>
              <w:kinsoku/>
              <w:wordWrap/>
              <w:overflowPunct/>
              <w:autoSpaceDE/>
              <w:autoSpaceDN/>
              <w:bidi w:val="0"/>
              <w:spacing w:beforeAutospacing="0" w:afterAutospacing="0" w:line="360" w:lineRule="auto"/>
              <w:jc w:val="center"/>
              <w:rPr>
                <w:rFonts w:hint="eastAsia" w:ascii="宋体" w:hAnsi="宋体"/>
                <w:color w:val="auto"/>
                <w:sz w:val="24"/>
                <w:highlight w:val="none"/>
              </w:rPr>
            </w:pPr>
            <w:r>
              <w:rPr>
                <w:rFonts w:hint="eastAsia" w:ascii="宋体" w:hAnsi="宋体"/>
                <w:color w:val="auto"/>
                <w:sz w:val="24"/>
                <w:highlight w:val="none"/>
              </w:rPr>
              <w:t>2</w:t>
            </w:r>
          </w:p>
        </w:tc>
        <w:tc>
          <w:tcPr>
            <w:tcW w:w="991" w:type="dxa"/>
            <w:vMerge w:val="restart"/>
            <w:vAlign w:val="center"/>
          </w:tcPr>
          <w:p w14:paraId="47505EE1">
            <w:pPr>
              <w:pageBreakBefore w:val="0"/>
              <w:kinsoku/>
              <w:wordWrap/>
              <w:overflowPunct/>
              <w:autoSpaceDE/>
              <w:autoSpaceDN/>
              <w:bidi w:val="0"/>
              <w:spacing w:beforeAutospacing="0" w:afterAutospacing="0" w:line="360" w:lineRule="auto"/>
              <w:jc w:val="center"/>
              <w:rPr>
                <w:rFonts w:hint="eastAsia" w:ascii="宋体" w:hAnsi="宋体"/>
                <w:color w:val="auto"/>
                <w:sz w:val="24"/>
                <w:highlight w:val="none"/>
              </w:rPr>
            </w:pPr>
            <w:r>
              <w:rPr>
                <w:rFonts w:hint="eastAsia" w:ascii="宋体" w:hAnsi="宋体"/>
                <w:color w:val="auto"/>
                <w:sz w:val="24"/>
                <w:highlight w:val="none"/>
              </w:rPr>
              <w:t>高</w:t>
            </w:r>
          </w:p>
        </w:tc>
        <w:tc>
          <w:tcPr>
            <w:tcW w:w="3093" w:type="dxa"/>
            <w:vAlign w:val="center"/>
          </w:tcPr>
          <w:p w14:paraId="450B0A62">
            <w:pPr>
              <w:pageBreakBefore w:val="0"/>
              <w:kinsoku/>
              <w:wordWrap/>
              <w:overflowPunct/>
              <w:autoSpaceDE/>
              <w:autoSpaceDN/>
              <w:bidi w:val="0"/>
              <w:spacing w:beforeAutospacing="0" w:afterAutospacing="0" w:line="360" w:lineRule="auto"/>
              <w:rPr>
                <w:rFonts w:hint="eastAsia" w:ascii="宋体" w:hAnsi="宋体"/>
                <w:bCs/>
                <w:color w:val="auto"/>
                <w:sz w:val="24"/>
                <w:highlight w:val="none"/>
              </w:rPr>
            </w:pPr>
            <w:r>
              <w:rPr>
                <w:rFonts w:hint="eastAsia" w:ascii="宋体" w:hAnsi="宋体"/>
                <w:bCs/>
                <w:color w:val="auto"/>
                <w:sz w:val="24"/>
                <w:highlight w:val="none"/>
              </w:rPr>
              <w:t>使用频率非常高的功能或者页面发生严重错误，相关业务无法流转到下一个环节，导致系统无法继续使用，并且没有其它功能或者方法可以弥补所造成的影响。</w:t>
            </w:r>
          </w:p>
        </w:tc>
        <w:tc>
          <w:tcPr>
            <w:tcW w:w="1107" w:type="dxa"/>
            <w:vMerge w:val="restart"/>
            <w:vAlign w:val="center"/>
          </w:tcPr>
          <w:p w14:paraId="627C57D0">
            <w:pPr>
              <w:pageBreakBefore w:val="0"/>
              <w:kinsoku/>
              <w:wordWrap/>
              <w:overflowPunct/>
              <w:autoSpaceDE/>
              <w:autoSpaceDN/>
              <w:bidi w:val="0"/>
              <w:spacing w:beforeAutospacing="0" w:afterAutospacing="0" w:line="360" w:lineRule="auto"/>
              <w:jc w:val="center"/>
              <w:rPr>
                <w:rFonts w:hint="eastAsia" w:ascii="宋体" w:hAnsi="宋体"/>
                <w:color w:val="auto"/>
                <w:sz w:val="24"/>
                <w:highlight w:val="none"/>
              </w:rPr>
            </w:pPr>
            <w:r>
              <w:rPr>
                <w:rFonts w:hint="eastAsia" w:ascii="宋体" w:hAnsi="宋体"/>
                <w:color w:val="auto"/>
                <w:sz w:val="24"/>
                <w:highlight w:val="none"/>
              </w:rPr>
              <w:t>10分钟</w:t>
            </w:r>
          </w:p>
        </w:tc>
        <w:tc>
          <w:tcPr>
            <w:tcW w:w="1133" w:type="dxa"/>
            <w:vMerge w:val="restart"/>
            <w:vAlign w:val="center"/>
          </w:tcPr>
          <w:p w14:paraId="11356113">
            <w:pPr>
              <w:pageBreakBefore w:val="0"/>
              <w:kinsoku/>
              <w:wordWrap/>
              <w:overflowPunct/>
              <w:autoSpaceDE/>
              <w:autoSpaceDN/>
              <w:bidi w:val="0"/>
              <w:spacing w:beforeAutospacing="0" w:afterAutospacing="0" w:line="360" w:lineRule="auto"/>
              <w:jc w:val="center"/>
              <w:rPr>
                <w:rFonts w:hint="eastAsia" w:ascii="宋体" w:hAnsi="宋体"/>
                <w:color w:val="auto"/>
                <w:sz w:val="24"/>
                <w:highlight w:val="none"/>
              </w:rPr>
            </w:pPr>
            <w:r>
              <w:rPr>
                <w:rFonts w:hint="eastAsia" w:ascii="宋体" w:hAnsi="宋体"/>
                <w:color w:val="auto"/>
                <w:sz w:val="24"/>
                <w:highlight w:val="none"/>
              </w:rPr>
              <w:t>2小时</w:t>
            </w:r>
          </w:p>
        </w:tc>
      </w:tr>
      <w:tr w14:paraId="6C9E91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3" w:type="dxa"/>
            <w:vMerge w:val="continue"/>
            <w:vAlign w:val="center"/>
          </w:tcPr>
          <w:p w14:paraId="39BAC40F">
            <w:pPr>
              <w:pageBreakBefore w:val="0"/>
              <w:kinsoku/>
              <w:wordWrap/>
              <w:overflowPunct/>
              <w:autoSpaceDE/>
              <w:autoSpaceDN/>
              <w:bidi w:val="0"/>
              <w:spacing w:beforeAutospacing="0" w:afterAutospacing="0" w:line="360" w:lineRule="auto"/>
              <w:jc w:val="center"/>
              <w:rPr>
                <w:rFonts w:hint="eastAsia" w:ascii="宋体" w:hAnsi="宋体"/>
                <w:color w:val="auto"/>
                <w:sz w:val="24"/>
                <w:highlight w:val="none"/>
              </w:rPr>
            </w:pPr>
          </w:p>
        </w:tc>
        <w:tc>
          <w:tcPr>
            <w:tcW w:w="991" w:type="dxa"/>
            <w:vMerge w:val="continue"/>
            <w:vAlign w:val="center"/>
          </w:tcPr>
          <w:p w14:paraId="05747E84">
            <w:pPr>
              <w:pageBreakBefore w:val="0"/>
              <w:kinsoku/>
              <w:wordWrap/>
              <w:overflowPunct/>
              <w:autoSpaceDE/>
              <w:autoSpaceDN/>
              <w:bidi w:val="0"/>
              <w:spacing w:beforeAutospacing="0" w:afterAutospacing="0" w:line="360" w:lineRule="auto"/>
              <w:jc w:val="center"/>
              <w:rPr>
                <w:rFonts w:hint="eastAsia" w:ascii="宋体" w:hAnsi="宋体"/>
                <w:color w:val="auto"/>
                <w:sz w:val="24"/>
                <w:highlight w:val="none"/>
              </w:rPr>
            </w:pPr>
          </w:p>
        </w:tc>
        <w:tc>
          <w:tcPr>
            <w:tcW w:w="3093" w:type="dxa"/>
            <w:vAlign w:val="center"/>
          </w:tcPr>
          <w:p w14:paraId="09F3B69E">
            <w:pPr>
              <w:pageBreakBefore w:val="0"/>
              <w:kinsoku/>
              <w:wordWrap/>
              <w:overflowPunct/>
              <w:autoSpaceDE/>
              <w:autoSpaceDN/>
              <w:bidi w:val="0"/>
              <w:spacing w:beforeAutospacing="0" w:afterAutospacing="0" w:line="360" w:lineRule="auto"/>
              <w:rPr>
                <w:rFonts w:hint="eastAsia" w:ascii="宋体" w:hAnsi="宋体"/>
                <w:color w:val="auto"/>
                <w:sz w:val="24"/>
                <w:highlight w:val="none"/>
              </w:rPr>
            </w:pPr>
            <w:r>
              <w:rPr>
                <w:rFonts w:hint="eastAsia" w:ascii="宋体" w:hAnsi="宋体"/>
                <w:color w:val="auto"/>
                <w:sz w:val="24"/>
                <w:highlight w:val="none"/>
              </w:rPr>
              <w:t>等级2的系统严重问题消缺。</w:t>
            </w:r>
          </w:p>
        </w:tc>
        <w:tc>
          <w:tcPr>
            <w:tcW w:w="1107" w:type="dxa"/>
            <w:vMerge w:val="continue"/>
            <w:vAlign w:val="center"/>
          </w:tcPr>
          <w:p w14:paraId="2F754612">
            <w:pPr>
              <w:pageBreakBefore w:val="0"/>
              <w:kinsoku/>
              <w:wordWrap/>
              <w:overflowPunct/>
              <w:autoSpaceDE/>
              <w:autoSpaceDN/>
              <w:bidi w:val="0"/>
              <w:spacing w:beforeAutospacing="0" w:afterAutospacing="0" w:line="360" w:lineRule="auto"/>
              <w:jc w:val="center"/>
              <w:rPr>
                <w:rFonts w:hint="eastAsia" w:ascii="宋体" w:hAnsi="宋体"/>
                <w:color w:val="auto"/>
                <w:sz w:val="24"/>
                <w:highlight w:val="none"/>
              </w:rPr>
            </w:pPr>
          </w:p>
        </w:tc>
        <w:tc>
          <w:tcPr>
            <w:tcW w:w="1133" w:type="dxa"/>
            <w:vMerge w:val="continue"/>
            <w:vAlign w:val="center"/>
          </w:tcPr>
          <w:p w14:paraId="308059D1">
            <w:pPr>
              <w:pageBreakBefore w:val="0"/>
              <w:kinsoku/>
              <w:wordWrap/>
              <w:overflowPunct/>
              <w:autoSpaceDE/>
              <w:autoSpaceDN/>
              <w:bidi w:val="0"/>
              <w:spacing w:beforeAutospacing="0" w:afterAutospacing="0" w:line="360" w:lineRule="auto"/>
              <w:jc w:val="center"/>
              <w:rPr>
                <w:rFonts w:hint="eastAsia" w:ascii="宋体" w:hAnsi="宋体"/>
                <w:color w:val="auto"/>
                <w:sz w:val="24"/>
                <w:highlight w:val="none"/>
              </w:rPr>
            </w:pPr>
          </w:p>
        </w:tc>
      </w:tr>
      <w:tr w14:paraId="06A30E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3" w:type="dxa"/>
            <w:vAlign w:val="center"/>
          </w:tcPr>
          <w:p w14:paraId="26932A73">
            <w:pPr>
              <w:pageBreakBefore w:val="0"/>
              <w:kinsoku/>
              <w:wordWrap/>
              <w:overflowPunct/>
              <w:autoSpaceDE/>
              <w:autoSpaceDN/>
              <w:bidi w:val="0"/>
              <w:spacing w:beforeAutospacing="0" w:afterAutospacing="0" w:line="360" w:lineRule="auto"/>
              <w:jc w:val="center"/>
              <w:rPr>
                <w:rFonts w:hint="eastAsia" w:ascii="宋体" w:hAnsi="宋体"/>
                <w:color w:val="auto"/>
                <w:sz w:val="24"/>
                <w:highlight w:val="none"/>
              </w:rPr>
            </w:pPr>
            <w:r>
              <w:rPr>
                <w:rFonts w:hint="eastAsia" w:ascii="宋体" w:hAnsi="宋体"/>
                <w:color w:val="auto"/>
                <w:sz w:val="24"/>
                <w:highlight w:val="none"/>
              </w:rPr>
              <w:t>3</w:t>
            </w:r>
          </w:p>
        </w:tc>
        <w:tc>
          <w:tcPr>
            <w:tcW w:w="991" w:type="dxa"/>
            <w:vAlign w:val="center"/>
          </w:tcPr>
          <w:p w14:paraId="5C92F814">
            <w:pPr>
              <w:pageBreakBefore w:val="0"/>
              <w:kinsoku/>
              <w:wordWrap/>
              <w:overflowPunct/>
              <w:autoSpaceDE/>
              <w:autoSpaceDN/>
              <w:bidi w:val="0"/>
              <w:spacing w:beforeAutospacing="0" w:afterAutospacing="0" w:line="360" w:lineRule="auto"/>
              <w:jc w:val="center"/>
              <w:rPr>
                <w:rFonts w:hint="eastAsia" w:ascii="宋体" w:hAnsi="宋体"/>
                <w:color w:val="auto"/>
                <w:sz w:val="24"/>
                <w:highlight w:val="none"/>
              </w:rPr>
            </w:pPr>
            <w:r>
              <w:rPr>
                <w:rFonts w:hint="eastAsia" w:ascii="宋体" w:hAnsi="宋体"/>
                <w:color w:val="auto"/>
                <w:sz w:val="24"/>
                <w:highlight w:val="none"/>
              </w:rPr>
              <w:t>中</w:t>
            </w:r>
          </w:p>
        </w:tc>
        <w:tc>
          <w:tcPr>
            <w:tcW w:w="3093" w:type="dxa"/>
            <w:vAlign w:val="center"/>
          </w:tcPr>
          <w:p w14:paraId="714BBA63">
            <w:pPr>
              <w:pageBreakBefore w:val="0"/>
              <w:kinsoku/>
              <w:wordWrap/>
              <w:overflowPunct/>
              <w:autoSpaceDE/>
              <w:autoSpaceDN/>
              <w:bidi w:val="0"/>
              <w:spacing w:beforeAutospacing="0" w:afterAutospacing="0" w:line="360" w:lineRule="auto"/>
              <w:rPr>
                <w:rFonts w:hint="eastAsia" w:ascii="宋体" w:hAnsi="宋体"/>
                <w:bCs/>
                <w:color w:val="auto"/>
                <w:sz w:val="24"/>
                <w:highlight w:val="none"/>
              </w:rPr>
            </w:pPr>
            <w:r>
              <w:rPr>
                <w:rFonts w:hint="eastAsia" w:ascii="宋体" w:hAnsi="宋体"/>
                <w:bCs/>
                <w:color w:val="auto"/>
                <w:sz w:val="24"/>
                <w:highlight w:val="none"/>
              </w:rPr>
              <w:t>使用频率较高的模块或者页面发生严重错误，对系统的正常使用造成严重影响，但是经过处理可以恢复继续使用，或者有其它功能或方法暂时弥补问题造成的影响。3个或以上</w:t>
            </w:r>
            <w:r>
              <w:rPr>
                <w:rFonts w:hint="eastAsia" w:ascii="宋体" w:hAnsi="宋体"/>
                <w:color w:val="auto"/>
                <w:sz w:val="24"/>
                <w:highlight w:val="none"/>
              </w:rPr>
              <w:t>用户反复报相同故障。</w:t>
            </w:r>
          </w:p>
        </w:tc>
        <w:tc>
          <w:tcPr>
            <w:tcW w:w="1107" w:type="dxa"/>
            <w:vAlign w:val="center"/>
          </w:tcPr>
          <w:p w14:paraId="23D1D470">
            <w:pPr>
              <w:pageBreakBefore w:val="0"/>
              <w:kinsoku/>
              <w:wordWrap/>
              <w:overflowPunct/>
              <w:autoSpaceDE/>
              <w:autoSpaceDN/>
              <w:bidi w:val="0"/>
              <w:spacing w:beforeAutospacing="0" w:afterAutospacing="0" w:line="360" w:lineRule="auto"/>
              <w:jc w:val="center"/>
              <w:rPr>
                <w:rFonts w:hint="eastAsia" w:ascii="宋体" w:hAnsi="宋体"/>
                <w:color w:val="auto"/>
                <w:sz w:val="24"/>
                <w:highlight w:val="none"/>
              </w:rPr>
            </w:pPr>
            <w:r>
              <w:rPr>
                <w:rFonts w:hint="eastAsia" w:ascii="宋体" w:hAnsi="宋体"/>
                <w:color w:val="auto"/>
                <w:sz w:val="24"/>
                <w:highlight w:val="none"/>
              </w:rPr>
              <w:t>10分钟</w:t>
            </w:r>
          </w:p>
        </w:tc>
        <w:tc>
          <w:tcPr>
            <w:tcW w:w="1133" w:type="dxa"/>
            <w:vAlign w:val="center"/>
          </w:tcPr>
          <w:p w14:paraId="6F9C1726">
            <w:pPr>
              <w:pageBreakBefore w:val="0"/>
              <w:kinsoku/>
              <w:wordWrap/>
              <w:overflowPunct/>
              <w:autoSpaceDE/>
              <w:autoSpaceDN/>
              <w:bidi w:val="0"/>
              <w:spacing w:beforeAutospacing="0" w:afterAutospacing="0" w:line="360" w:lineRule="auto"/>
              <w:jc w:val="center"/>
              <w:rPr>
                <w:rFonts w:hint="eastAsia" w:ascii="宋体" w:hAnsi="宋体"/>
                <w:color w:val="auto"/>
                <w:sz w:val="24"/>
                <w:highlight w:val="none"/>
              </w:rPr>
            </w:pPr>
            <w:r>
              <w:rPr>
                <w:rFonts w:hint="eastAsia" w:ascii="宋体" w:hAnsi="宋体"/>
                <w:color w:val="auto"/>
                <w:sz w:val="24"/>
                <w:highlight w:val="none"/>
              </w:rPr>
              <w:t>2小时</w:t>
            </w:r>
          </w:p>
        </w:tc>
      </w:tr>
      <w:tr w14:paraId="32824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3" w:type="dxa"/>
            <w:vAlign w:val="center"/>
          </w:tcPr>
          <w:p w14:paraId="70CEB52F">
            <w:pPr>
              <w:pageBreakBefore w:val="0"/>
              <w:kinsoku/>
              <w:wordWrap/>
              <w:overflowPunct/>
              <w:autoSpaceDE/>
              <w:autoSpaceDN/>
              <w:bidi w:val="0"/>
              <w:spacing w:beforeAutospacing="0" w:afterAutospacing="0" w:line="360" w:lineRule="auto"/>
              <w:jc w:val="center"/>
              <w:rPr>
                <w:rFonts w:hint="eastAsia" w:ascii="宋体" w:hAnsi="宋体"/>
                <w:color w:val="auto"/>
                <w:sz w:val="24"/>
                <w:highlight w:val="none"/>
              </w:rPr>
            </w:pPr>
            <w:r>
              <w:rPr>
                <w:rFonts w:hint="eastAsia" w:ascii="宋体" w:hAnsi="宋体"/>
                <w:color w:val="auto"/>
                <w:sz w:val="24"/>
                <w:highlight w:val="none"/>
              </w:rPr>
              <w:t>4</w:t>
            </w:r>
          </w:p>
        </w:tc>
        <w:tc>
          <w:tcPr>
            <w:tcW w:w="991" w:type="dxa"/>
            <w:vAlign w:val="center"/>
          </w:tcPr>
          <w:p w14:paraId="6DDE0520">
            <w:pPr>
              <w:pageBreakBefore w:val="0"/>
              <w:kinsoku/>
              <w:wordWrap/>
              <w:overflowPunct/>
              <w:autoSpaceDE/>
              <w:autoSpaceDN/>
              <w:bidi w:val="0"/>
              <w:spacing w:beforeAutospacing="0" w:afterAutospacing="0" w:line="360" w:lineRule="auto"/>
              <w:jc w:val="center"/>
              <w:rPr>
                <w:rFonts w:hint="eastAsia" w:ascii="宋体" w:hAnsi="宋体"/>
                <w:color w:val="auto"/>
                <w:sz w:val="24"/>
                <w:highlight w:val="none"/>
              </w:rPr>
            </w:pPr>
            <w:r>
              <w:rPr>
                <w:rFonts w:hint="eastAsia" w:ascii="宋体" w:hAnsi="宋体"/>
                <w:color w:val="auto"/>
                <w:sz w:val="24"/>
                <w:highlight w:val="none"/>
              </w:rPr>
              <w:t>低</w:t>
            </w:r>
          </w:p>
        </w:tc>
        <w:tc>
          <w:tcPr>
            <w:tcW w:w="3093" w:type="dxa"/>
            <w:vAlign w:val="center"/>
          </w:tcPr>
          <w:p w14:paraId="15D82C73">
            <w:pPr>
              <w:pageBreakBefore w:val="0"/>
              <w:kinsoku/>
              <w:wordWrap/>
              <w:overflowPunct/>
              <w:autoSpaceDE/>
              <w:autoSpaceDN/>
              <w:bidi w:val="0"/>
              <w:spacing w:beforeAutospacing="0" w:afterAutospacing="0" w:line="360" w:lineRule="auto"/>
              <w:rPr>
                <w:rFonts w:hint="eastAsia" w:ascii="宋体" w:hAnsi="宋体"/>
                <w:bCs/>
                <w:color w:val="auto"/>
                <w:sz w:val="24"/>
                <w:highlight w:val="none"/>
              </w:rPr>
            </w:pPr>
            <w:r>
              <w:rPr>
                <w:rFonts w:hint="eastAsia" w:ascii="宋体" w:hAnsi="宋体"/>
                <w:bCs/>
                <w:color w:val="auto"/>
                <w:sz w:val="24"/>
                <w:highlight w:val="none"/>
              </w:rPr>
              <w:t>使用不是很频繁的功能或者页面发生细小差错或用户界面显示格式等，通常不影响系统的正常使用。</w:t>
            </w:r>
          </w:p>
        </w:tc>
        <w:tc>
          <w:tcPr>
            <w:tcW w:w="1107" w:type="dxa"/>
            <w:vAlign w:val="center"/>
          </w:tcPr>
          <w:p w14:paraId="161A8DED">
            <w:pPr>
              <w:pageBreakBefore w:val="0"/>
              <w:kinsoku/>
              <w:wordWrap/>
              <w:overflowPunct/>
              <w:autoSpaceDE/>
              <w:autoSpaceDN/>
              <w:bidi w:val="0"/>
              <w:spacing w:beforeAutospacing="0" w:afterAutospacing="0" w:line="360" w:lineRule="auto"/>
              <w:jc w:val="center"/>
              <w:rPr>
                <w:rFonts w:hint="eastAsia" w:ascii="宋体" w:hAnsi="宋体"/>
                <w:color w:val="auto"/>
                <w:sz w:val="24"/>
                <w:highlight w:val="none"/>
              </w:rPr>
            </w:pPr>
            <w:r>
              <w:rPr>
                <w:rFonts w:hint="eastAsia" w:ascii="宋体" w:hAnsi="宋体"/>
                <w:color w:val="auto"/>
                <w:sz w:val="24"/>
                <w:highlight w:val="none"/>
              </w:rPr>
              <w:t>20分钟</w:t>
            </w:r>
          </w:p>
        </w:tc>
        <w:tc>
          <w:tcPr>
            <w:tcW w:w="1133" w:type="dxa"/>
            <w:vAlign w:val="center"/>
          </w:tcPr>
          <w:p w14:paraId="0332AE56">
            <w:pPr>
              <w:pageBreakBefore w:val="0"/>
              <w:kinsoku/>
              <w:wordWrap/>
              <w:overflowPunct/>
              <w:autoSpaceDE/>
              <w:autoSpaceDN/>
              <w:bidi w:val="0"/>
              <w:spacing w:beforeAutospacing="0" w:afterAutospacing="0" w:line="360" w:lineRule="auto"/>
              <w:jc w:val="center"/>
              <w:rPr>
                <w:rFonts w:hint="eastAsia" w:ascii="宋体" w:hAnsi="宋体"/>
                <w:color w:val="auto"/>
                <w:sz w:val="24"/>
                <w:highlight w:val="none"/>
              </w:rPr>
            </w:pPr>
            <w:r>
              <w:rPr>
                <w:rFonts w:hint="eastAsia" w:ascii="宋体" w:hAnsi="宋体"/>
                <w:color w:val="auto"/>
                <w:sz w:val="24"/>
                <w:highlight w:val="none"/>
              </w:rPr>
              <w:t>按实际需要和广州局管理规定要求</w:t>
            </w:r>
          </w:p>
        </w:tc>
      </w:tr>
      <w:tr w14:paraId="614D5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843" w:type="dxa"/>
            <w:vAlign w:val="center"/>
          </w:tcPr>
          <w:p w14:paraId="4726CBBD">
            <w:pPr>
              <w:pageBreakBefore w:val="0"/>
              <w:kinsoku/>
              <w:wordWrap/>
              <w:overflowPunct/>
              <w:autoSpaceDE/>
              <w:autoSpaceDN/>
              <w:bidi w:val="0"/>
              <w:spacing w:beforeAutospacing="0" w:afterAutospacing="0" w:line="360" w:lineRule="auto"/>
              <w:jc w:val="center"/>
              <w:rPr>
                <w:rFonts w:hint="eastAsia" w:ascii="宋体" w:hAnsi="宋体"/>
                <w:color w:val="auto"/>
                <w:sz w:val="24"/>
                <w:highlight w:val="none"/>
              </w:rPr>
            </w:pPr>
            <w:r>
              <w:rPr>
                <w:rFonts w:hint="eastAsia" w:ascii="宋体" w:hAnsi="宋体"/>
                <w:color w:val="auto"/>
                <w:sz w:val="24"/>
                <w:highlight w:val="none"/>
              </w:rPr>
              <w:t>5</w:t>
            </w:r>
          </w:p>
        </w:tc>
        <w:tc>
          <w:tcPr>
            <w:tcW w:w="991" w:type="dxa"/>
            <w:vAlign w:val="center"/>
          </w:tcPr>
          <w:p w14:paraId="6578CCBC">
            <w:pPr>
              <w:pageBreakBefore w:val="0"/>
              <w:kinsoku/>
              <w:wordWrap/>
              <w:overflowPunct/>
              <w:autoSpaceDE/>
              <w:autoSpaceDN/>
              <w:bidi w:val="0"/>
              <w:spacing w:beforeAutospacing="0" w:afterAutospacing="0" w:line="360" w:lineRule="auto"/>
              <w:jc w:val="center"/>
              <w:rPr>
                <w:rFonts w:hint="eastAsia" w:ascii="宋体" w:hAnsi="宋体"/>
                <w:color w:val="auto"/>
                <w:sz w:val="24"/>
                <w:highlight w:val="none"/>
              </w:rPr>
            </w:pPr>
            <w:r>
              <w:rPr>
                <w:rFonts w:hint="eastAsia" w:ascii="宋体" w:hAnsi="宋体"/>
                <w:color w:val="auto"/>
                <w:sz w:val="24"/>
                <w:highlight w:val="none"/>
              </w:rPr>
              <w:t>一般</w:t>
            </w:r>
          </w:p>
        </w:tc>
        <w:tc>
          <w:tcPr>
            <w:tcW w:w="3093" w:type="dxa"/>
            <w:vAlign w:val="center"/>
          </w:tcPr>
          <w:p w14:paraId="73FABC92">
            <w:pPr>
              <w:pageBreakBefore w:val="0"/>
              <w:kinsoku/>
              <w:wordWrap/>
              <w:overflowPunct/>
              <w:autoSpaceDE/>
              <w:autoSpaceDN/>
              <w:bidi w:val="0"/>
              <w:spacing w:beforeAutospacing="0" w:afterAutospacing="0" w:line="360" w:lineRule="auto"/>
              <w:rPr>
                <w:rFonts w:hint="eastAsia" w:ascii="宋体" w:hAnsi="宋体"/>
                <w:bCs/>
                <w:color w:val="auto"/>
                <w:sz w:val="24"/>
                <w:highlight w:val="none"/>
              </w:rPr>
            </w:pPr>
            <w:r>
              <w:rPr>
                <w:rFonts w:hint="eastAsia" w:ascii="宋体" w:hAnsi="宋体"/>
                <w:bCs/>
                <w:color w:val="auto"/>
                <w:sz w:val="24"/>
                <w:highlight w:val="none"/>
              </w:rPr>
              <w:t>一般问题消缺</w:t>
            </w:r>
          </w:p>
        </w:tc>
        <w:tc>
          <w:tcPr>
            <w:tcW w:w="1107" w:type="dxa"/>
            <w:vAlign w:val="center"/>
          </w:tcPr>
          <w:p w14:paraId="1A8F9849">
            <w:pPr>
              <w:pageBreakBefore w:val="0"/>
              <w:kinsoku/>
              <w:wordWrap/>
              <w:overflowPunct/>
              <w:autoSpaceDE/>
              <w:autoSpaceDN/>
              <w:bidi w:val="0"/>
              <w:spacing w:beforeAutospacing="0" w:afterAutospacing="0" w:line="360" w:lineRule="auto"/>
              <w:jc w:val="center"/>
              <w:rPr>
                <w:rFonts w:hint="eastAsia" w:ascii="宋体" w:hAnsi="宋体"/>
                <w:color w:val="auto"/>
                <w:sz w:val="24"/>
                <w:highlight w:val="none"/>
              </w:rPr>
            </w:pPr>
            <w:r>
              <w:rPr>
                <w:rFonts w:hint="eastAsia" w:ascii="宋体" w:hAnsi="宋体"/>
                <w:color w:val="auto"/>
                <w:sz w:val="24"/>
                <w:highlight w:val="none"/>
              </w:rPr>
              <w:t>30分钟</w:t>
            </w:r>
          </w:p>
        </w:tc>
        <w:tc>
          <w:tcPr>
            <w:tcW w:w="1133" w:type="dxa"/>
            <w:vAlign w:val="center"/>
          </w:tcPr>
          <w:p w14:paraId="7CB9AB42">
            <w:pPr>
              <w:pageBreakBefore w:val="0"/>
              <w:kinsoku/>
              <w:wordWrap/>
              <w:overflowPunct/>
              <w:autoSpaceDE/>
              <w:autoSpaceDN/>
              <w:bidi w:val="0"/>
              <w:spacing w:beforeAutospacing="0" w:afterAutospacing="0" w:line="360" w:lineRule="auto"/>
              <w:jc w:val="center"/>
              <w:rPr>
                <w:rFonts w:hint="eastAsia" w:ascii="宋体" w:hAnsi="宋体"/>
                <w:color w:val="auto"/>
                <w:sz w:val="24"/>
                <w:highlight w:val="none"/>
              </w:rPr>
            </w:pPr>
            <w:r>
              <w:rPr>
                <w:rFonts w:hint="eastAsia" w:ascii="宋体" w:hAnsi="宋体"/>
                <w:color w:val="auto"/>
                <w:sz w:val="24"/>
                <w:highlight w:val="none"/>
              </w:rPr>
              <w:t>按实际需要和广州局管理规定要求</w:t>
            </w:r>
          </w:p>
        </w:tc>
      </w:tr>
    </w:tbl>
    <w:p w14:paraId="6BDBC83B">
      <w:pPr>
        <w:pageBreakBefore w:val="0"/>
        <w:kinsoku/>
        <w:wordWrap/>
        <w:overflowPunct/>
        <w:autoSpaceDE/>
        <w:autoSpaceDN/>
        <w:bidi w:val="0"/>
        <w:spacing w:beforeAutospacing="0" w:afterAutospacing="0" w:line="360" w:lineRule="auto"/>
        <w:ind w:firstLine="480" w:firstLineChars="200"/>
        <w:rPr>
          <w:rFonts w:hint="eastAsia" w:ascii="宋体" w:hAnsi="宋体"/>
          <w:color w:val="auto"/>
          <w:sz w:val="24"/>
          <w:highlight w:val="none"/>
        </w:rPr>
      </w:pPr>
      <w:r>
        <w:rPr>
          <w:rFonts w:hint="eastAsia" w:ascii="宋体" w:hAnsi="宋体"/>
          <w:color w:val="auto"/>
          <w:sz w:val="24"/>
          <w:highlight w:val="none"/>
        </w:rPr>
        <w:t>注：</w:t>
      </w:r>
    </w:p>
    <w:p w14:paraId="623669C0">
      <w:pPr>
        <w:pageBreakBefore w:val="0"/>
        <w:kinsoku/>
        <w:wordWrap/>
        <w:overflowPunct/>
        <w:autoSpaceDE/>
        <w:autoSpaceDN/>
        <w:bidi w:val="0"/>
        <w:spacing w:beforeAutospacing="0" w:afterAutospacing="0" w:line="360" w:lineRule="auto"/>
        <w:ind w:firstLine="480" w:firstLineChars="200"/>
        <w:rPr>
          <w:rFonts w:hint="eastAsia"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1、系统等级划分说明</w:t>
      </w:r>
    </w:p>
    <w:p w14:paraId="5CE5A7EC">
      <w:pPr>
        <w:pageBreakBefore w:val="0"/>
        <w:kinsoku/>
        <w:wordWrap/>
        <w:overflowPunct/>
        <w:autoSpaceDE/>
        <w:autoSpaceDN/>
        <w:bidi w:val="0"/>
        <w:spacing w:beforeAutospacing="0" w:afterAutospacing="0" w:line="360" w:lineRule="auto"/>
        <w:ind w:firstLine="480" w:firstLineChars="200"/>
        <w:rPr>
          <w:rFonts w:hint="eastAsia"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系统等级1：对于7*24提供对外服务的系统，例如营销、营配，协同办公、安全生产等系统，物理环境及基础平台。</w:t>
      </w:r>
    </w:p>
    <w:p w14:paraId="5472C3E6">
      <w:pPr>
        <w:pageBreakBefore w:val="0"/>
        <w:kinsoku/>
        <w:wordWrap/>
        <w:overflowPunct/>
        <w:autoSpaceDE/>
        <w:autoSpaceDN/>
        <w:bidi w:val="0"/>
        <w:spacing w:beforeAutospacing="0" w:afterAutospacing="0" w:line="360" w:lineRule="auto"/>
        <w:ind w:firstLine="480" w:firstLineChars="200"/>
        <w:rPr>
          <w:rFonts w:hint="eastAsia"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系统等级2：对于提供内部用户服务的系统，例如资产、GIS、OA等系统</w:t>
      </w:r>
    </w:p>
    <w:p w14:paraId="06300A42">
      <w:pPr>
        <w:pageBreakBefore w:val="0"/>
        <w:kinsoku/>
        <w:wordWrap/>
        <w:overflowPunct/>
        <w:autoSpaceDE/>
        <w:autoSpaceDN/>
        <w:bidi w:val="0"/>
        <w:spacing w:beforeAutospacing="0" w:afterAutospacing="0" w:line="360" w:lineRule="auto"/>
        <w:ind w:firstLine="480" w:firstLineChars="200"/>
        <w:rPr>
          <w:rFonts w:hint="eastAsia"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系统等级3：对于提供内部用户服务的小系统，例如财务、制度管理、党建、计生等系统</w:t>
      </w:r>
    </w:p>
    <w:p w14:paraId="6A783D4F">
      <w:pPr>
        <w:pageBreakBefore w:val="0"/>
        <w:kinsoku/>
        <w:wordWrap/>
        <w:overflowPunct/>
        <w:autoSpaceDE/>
        <w:autoSpaceDN/>
        <w:bidi w:val="0"/>
        <w:spacing w:beforeAutospacing="0" w:afterAutospacing="0" w:line="360" w:lineRule="auto"/>
        <w:ind w:firstLine="480" w:firstLineChars="200"/>
        <w:rPr>
          <w:rFonts w:hint="eastAsia"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系统等级4：其他系统。</w:t>
      </w:r>
    </w:p>
    <w:p w14:paraId="07777AAC">
      <w:pPr>
        <w:pageBreakBefore w:val="0"/>
        <w:kinsoku/>
        <w:wordWrap/>
        <w:overflowPunct/>
        <w:autoSpaceDE/>
        <w:autoSpaceDN/>
        <w:bidi w:val="0"/>
        <w:spacing w:beforeAutospacing="0" w:afterAutospacing="0" w:line="360" w:lineRule="auto"/>
        <w:ind w:firstLine="480" w:firstLineChars="200"/>
        <w:rPr>
          <w:rFonts w:hint="eastAsia"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响应时间：投标人服务人员确保电话畅通，接收到报障通知并确认的时间。</w:t>
      </w:r>
    </w:p>
    <w:p w14:paraId="218248B9">
      <w:pPr>
        <w:pageBreakBefore w:val="0"/>
        <w:kinsoku/>
        <w:wordWrap/>
        <w:overflowPunct/>
        <w:autoSpaceDE/>
        <w:autoSpaceDN/>
        <w:bidi w:val="0"/>
        <w:spacing w:beforeAutospacing="0" w:afterAutospacing="0" w:line="360" w:lineRule="auto"/>
        <w:ind w:firstLine="480" w:firstLineChars="200"/>
        <w:rPr>
          <w:rFonts w:hint="eastAsia"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到场时间：从响应时间开始算起；</w:t>
      </w:r>
    </w:p>
    <w:p w14:paraId="08BBBD66">
      <w:pPr>
        <w:pageBreakBefore w:val="0"/>
        <w:kinsoku/>
        <w:wordWrap/>
        <w:overflowPunct/>
        <w:autoSpaceDE/>
        <w:autoSpaceDN/>
        <w:bidi w:val="0"/>
        <w:spacing w:beforeAutospacing="0" w:afterAutospacing="0" w:line="360" w:lineRule="auto"/>
        <w:ind w:firstLine="480" w:firstLineChars="200"/>
        <w:rPr>
          <w:rFonts w:hint="eastAsia" w:asciiTheme="minorEastAsia" w:hAnsiTheme="minorEastAsia" w:cstheme="minorEastAsia"/>
          <w:color w:val="auto"/>
          <w:sz w:val="24"/>
          <w:highlight w:val="none"/>
        </w:rPr>
      </w:pPr>
      <w:r>
        <w:rPr>
          <w:rFonts w:hint="eastAsia" w:asciiTheme="minorEastAsia" w:hAnsiTheme="minorEastAsia" w:cstheme="minorEastAsia"/>
          <w:color w:val="auto"/>
          <w:sz w:val="24"/>
          <w:highlight w:val="none"/>
        </w:rPr>
        <w:t>解决时间：从响应时间开始算起；</w:t>
      </w:r>
    </w:p>
    <w:p w14:paraId="4B2229FB">
      <w:pPr>
        <w:pStyle w:val="5"/>
        <w:pageBreakBefore w:val="0"/>
        <w:kinsoku/>
        <w:wordWrap/>
        <w:overflowPunct/>
        <w:autoSpaceDE/>
        <w:autoSpaceDN/>
        <w:bidi w:val="0"/>
        <w:spacing w:beforeAutospacing="0" w:afterAutospacing="0" w:line="360" w:lineRule="auto"/>
        <w:outlineLvl w:val="1"/>
        <w:rPr>
          <w:rFonts w:hint="eastAsia"/>
          <w:color w:val="auto"/>
          <w:sz w:val="24"/>
          <w:szCs w:val="24"/>
          <w:highlight w:val="none"/>
        </w:rPr>
      </w:pPr>
      <w:bookmarkStart w:id="137" w:name="_Toc13724"/>
      <w:bookmarkStart w:id="138" w:name="_Toc32741"/>
      <w:r>
        <w:rPr>
          <w:rFonts w:hint="eastAsia"/>
          <w:color w:val="auto"/>
          <w:sz w:val="24"/>
          <w:szCs w:val="24"/>
          <w:highlight w:val="none"/>
        </w:rPr>
        <w:t>服务水平评价</w:t>
      </w:r>
      <w:bookmarkEnd w:id="137"/>
      <w:bookmarkEnd w:id="138"/>
    </w:p>
    <w:p w14:paraId="47545052">
      <w:pPr>
        <w:pageBreakBefore w:val="0"/>
        <w:widowControl/>
        <w:kinsoku/>
        <w:wordWrap/>
        <w:overflowPunct/>
        <w:autoSpaceDE/>
        <w:autoSpaceDN/>
        <w:bidi w:val="0"/>
        <w:spacing w:beforeAutospacing="0" w:afterAutospacing="0" w:line="360" w:lineRule="auto"/>
        <w:jc w:val="left"/>
        <w:rPr>
          <w:rFonts w:ascii="Arial" w:hAnsi="Arial" w:eastAsia="宋体" w:cs="Arial"/>
          <w:color w:val="auto"/>
          <w:kern w:val="0"/>
          <w:sz w:val="24"/>
          <w:highlight w:val="none"/>
        </w:rPr>
      </w:pPr>
      <w:bookmarkStart w:id="139" w:name="_Toc401861284"/>
      <w:bookmarkStart w:id="140" w:name="_Toc403142637"/>
      <w:r>
        <w:rPr>
          <w:rFonts w:hint="eastAsia" w:ascii="Arial" w:hAnsi="Arial" w:eastAsia="宋体" w:cs="Arial"/>
          <w:color w:val="auto"/>
          <w:kern w:val="0"/>
          <w:sz w:val="24"/>
          <w:highlight w:val="none"/>
        </w:rPr>
        <w:t>甲方按照以下方式，对乙方提供的服务进行考核评价，起始总分为80分。</w:t>
      </w:r>
    </w:p>
    <w:tbl>
      <w:tblPr>
        <w:tblStyle w:val="16"/>
        <w:tblW w:w="5494" w:type="pct"/>
        <w:tblInd w:w="-742" w:type="dxa"/>
        <w:tblLayout w:type="fixed"/>
        <w:tblCellMar>
          <w:top w:w="0" w:type="dxa"/>
          <w:left w:w="108" w:type="dxa"/>
          <w:bottom w:w="0" w:type="dxa"/>
          <w:right w:w="108" w:type="dxa"/>
        </w:tblCellMar>
      </w:tblPr>
      <w:tblGrid>
        <w:gridCol w:w="868"/>
        <w:gridCol w:w="853"/>
        <w:gridCol w:w="708"/>
        <w:gridCol w:w="3538"/>
        <w:gridCol w:w="2124"/>
        <w:gridCol w:w="1274"/>
      </w:tblGrid>
      <w:tr w14:paraId="095C26FF">
        <w:trPr>
          <w:trHeight w:val="1294" w:hRule="atLeast"/>
        </w:trPr>
        <w:tc>
          <w:tcPr>
            <w:tcW w:w="463" w:type="pct"/>
            <w:tcBorders>
              <w:top w:val="single" w:color="auto" w:sz="4" w:space="0"/>
              <w:left w:val="single" w:color="auto" w:sz="4" w:space="0"/>
              <w:bottom w:val="single" w:color="auto" w:sz="4" w:space="0"/>
              <w:right w:val="single" w:color="auto" w:sz="4" w:space="0"/>
            </w:tcBorders>
            <w:shd w:val="clear" w:color="000000" w:fill="BFBFBF"/>
            <w:vAlign w:val="center"/>
          </w:tcPr>
          <w:p w14:paraId="4FD1DEE8">
            <w:pPr>
              <w:pageBreakBefore w:val="0"/>
              <w:widowControl/>
              <w:kinsoku/>
              <w:wordWrap/>
              <w:overflowPunct/>
              <w:autoSpaceDE/>
              <w:autoSpaceDN/>
              <w:bidi w:val="0"/>
              <w:spacing w:beforeAutospacing="0" w:afterAutospacing="0" w:line="360" w:lineRule="auto"/>
              <w:jc w:val="center"/>
              <w:rPr>
                <w:rFonts w:hint="eastAsia" w:ascii="宋体" w:hAnsi="宋体" w:cs="宋体"/>
                <w:b/>
                <w:bCs/>
                <w:color w:val="auto"/>
                <w:kern w:val="0"/>
                <w:sz w:val="24"/>
                <w:highlight w:val="none"/>
              </w:rPr>
            </w:pPr>
            <w:r>
              <w:rPr>
                <w:rFonts w:hint="eastAsia" w:ascii="宋体" w:hAnsi="宋体" w:cs="宋体"/>
                <w:b/>
                <w:bCs/>
                <w:color w:val="auto"/>
                <w:kern w:val="0"/>
                <w:sz w:val="24"/>
                <w:highlight w:val="none"/>
              </w:rPr>
              <w:t>一级指标</w:t>
            </w:r>
          </w:p>
        </w:tc>
        <w:tc>
          <w:tcPr>
            <w:tcW w:w="455" w:type="pct"/>
            <w:tcBorders>
              <w:top w:val="single" w:color="auto" w:sz="4" w:space="0"/>
              <w:left w:val="single" w:color="auto" w:sz="4" w:space="0"/>
              <w:bottom w:val="single" w:color="auto" w:sz="4" w:space="0"/>
              <w:right w:val="single" w:color="auto" w:sz="4" w:space="0"/>
            </w:tcBorders>
            <w:shd w:val="clear" w:color="000000" w:fill="BFBFBF"/>
            <w:vAlign w:val="center"/>
          </w:tcPr>
          <w:p w14:paraId="552C5117">
            <w:pPr>
              <w:pageBreakBefore w:val="0"/>
              <w:widowControl/>
              <w:kinsoku/>
              <w:wordWrap/>
              <w:overflowPunct/>
              <w:autoSpaceDE/>
              <w:autoSpaceDN/>
              <w:bidi w:val="0"/>
              <w:spacing w:beforeAutospacing="0" w:afterAutospacing="0" w:line="360" w:lineRule="auto"/>
              <w:jc w:val="center"/>
              <w:rPr>
                <w:rFonts w:hint="eastAsia" w:ascii="宋体" w:hAnsi="宋体" w:cs="宋体"/>
                <w:b/>
                <w:bCs/>
                <w:color w:val="auto"/>
                <w:kern w:val="0"/>
                <w:sz w:val="24"/>
                <w:highlight w:val="none"/>
              </w:rPr>
            </w:pPr>
            <w:r>
              <w:rPr>
                <w:rFonts w:hint="eastAsia" w:ascii="宋体" w:hAnsi="宋体" w:cs="宋体"/>
                <w:b/>
                <w:bCs/>
                <w:color w:val="auto"/>
                <w:kern w:val="0"/>
                <w:sz w:val="24"/>
                <w:highlight w:val="none"/>
              </w:rPr>
              <w:t>二级指标</w:t>
            </w:r>
          </w:p>
        </w:tc>
        <w:tc>
          <w:tcPr>
            <w:tcW w:w="378" w:type="pct"/>
            <w:tcBorders>
              <w:top w:val="single" w:color="auto" w:sz="4" w:space="0"/>
              <w:left w:val="single" w:color="auto" w:sz="4" w:space="0"/>
              <w:bottom w:val="single" w:color="auto" w:sz="4" w:space="0"/>
              <w:right w:val="single" w:color="auto" w:sz="4" w:space="0"/>
            </w:tcBorders>
            <w:shd w:val="clear" w:color="000000" w:fill="BFBFBF"/>
          </w:tcPr>
          <w:p w14:paraId="491CD8C1">
            <w:pPr>
              <w:pageBreakBefore w:val="0"/>
              <w:widowControl/>
              <w:kinsoku/>
              <w:wordWrap/>
              <w:overflowPunct/>
              <w:autoSpaceDE/>
              <w:autoSpaceDN/>
              <w:bidi w:val="0"/>
              <w:spacing w:beforeAutospacing="0" w:afterAutospacing="0" w:line="360" w:lineRule="auto"/>
              <w:jc w:val="center"/>
              <w:rPr>
                <w:rFonts w:hint="eastAsia" w:ascii="宋体" w:hAnsi="宋体" w:cs="宋体"/>
                <w:b/>
                <w:bCs/>
                <w:color w:val="auto"/>
                <w:kern w:val="0"/>
                <w:sz w:val="24"/>
                <w:highlight w:val="none"/>
              </w:rPr>
            </w:pPr>
          </w:p>
          <w:p w14:paraId="01C08859">
            <w:pPr>
              <w:pageBreakBefore w:val="0"/>
              <w:widowControl/>
              <w:kinsoku/>
              <w:wordWrap/>
              <w:overflowPunct/>
              <w:autoSpaceDE/>
              <w:autoSpaceDN/>
              <w:bidi w:val="0"/>
              <w:spacing w:beforeAutospacing="0" w:afterAutospacing="0" w:line="360" w:lineRule="auto"/>
              <w:rPr>
                <w:rFonts w:hint="eastAsia" w:ascii="宋体" w:hAnsi="宋体" w:cs="宋体"/>
                <w:b/>
                <w:bCs/>
                <w:color w:val="auto"/>
                <w:kern w:val="0"/>
                <w:sz w:val="24"/>
                <w:highlight w:val="none"/>
              </w:rPr>
            </w:pPr>
            <w:r>
              <w:rPr>
                <w:rFonts w:hint="eastAsia" w:ascii="宋体" w:hAnsi="宋体" w:cs="宋体"/>
                <w:b/>
                <w:bCs/>
                <w:color w:val="auto"/>
                <w:kern w:val="0"/>
                <w:sz w:val="24"/>
                <w:highlight w:val="none"/>
              </w:rPr>
              <w:t>序号</w:t>
            </w:r>
          </w:p>
        </w:tc>
        <w:tc>
          <w:tcPr>
            <w:tcW w:w="1888" w:type="pct"/>
            <w:tcBorders>
              <w:top w:val="single" w:color="auto" w:sz="4" w:space="0"/>
              <w:left w:val="single" w:color="auto" w:sz="4" w:space="0"/>
              <w:bottom w:val="single" w:color="auto" w:sz="4" w:space="0"/>
              <w:right w:val="single" w:color="auto" w:sz="4" w:space="0"/>
            </w:tcBorders>
            <w:shd w:val="clear" w:color="000000" w:fill="BFBFBF"/>
            <w:vAlign w:val="center"/>
          </w:tcPr>
          <w:p w14:paraId="0638FB7C">
            <w:pPr>
              <w:pageBreakBefore w:val="0"/>
              <w:widowControl/>
              <w:kinsoku/>
              <w:wordWrap/>
              <w:overflowPunct/>
              <w:autoSpaceDE/>
              <w:autoSpaceDN/>
              <w:bidi w:val="0"/>
              <w:spacing w:beforeAutospacing="0" w:afterAutospacing="0" w:line="360" w:lineRule="auto"/>
              <w:jc w:val="center"/>
              <w:rPr>
                <w:rFonts w:hint="eastAsia" w:ascii="宋体" w:hAnsi="宋体" w:cs="宋体"/>
                <w:b/>
                <w:bCs/>
                <w:color w:val="auto"/>
                <w:kern w:val="0"/>
                <w:sz w:val="24"/>
                <w:highlight w:val="none"/>
              </w:rPr>
            </w:pPr>
            <w:r>
              <w:rPr>
                <w:rFonts w:hint="eastAsia" w:ascii="宋体" w:hAnsi="宋体" w:cs="宋体"/>
                <w:b/>
                <w:bCs/>
                <w:color w:val="auto"/>
                <w:kern w:val="0"/>
                <w:sz w:val="24"/>
                <w:highlight w:val="none"/>
              </w:rPr>
              <w:t>评价内容</w:t>
            </w:r>
          </w:p>
        </w:tc>
        <w:tc>
          <w:tcPr>
            <w:tcW w:w="1134" w:type="pct"/>
            <w:tcBorders>
              <w:top w:val="single" w:color="auto" w:sz="4" w:space="0"/>
              <w:left w:val="single" w:color="auto" w:sz="4" w:space="0"/>
              <w:bottom w:val="single" w:color="auto" w:sz="4" w:space="0"/>
              <w:right w:val="single" w:color="auto" w:sz="4" w:space="0"/>
            </w:tcBorders>
            <w:shd w:val="clear" w:color="000000" w:fill="BFBFBF"/>
          </w:tcPr>
          <w:p w14:paraId="2FF50A1A">
            <w:pPr>
              <w:pageBreakBefore w:val="0"/>
              <w:widowControl/>
              <w:kinsoku/>
              <w:wordWrap/>
              <w:overflowPunct/>
              <w:autoSpaceDE/>
              <w:autoSpaceDN/>
              <w:bidi w:val="0"/>
              <w:spacing w:beforeAutospacing="0" w:afterAutospacing="0" w:line="360" w:lineRule="auto"/>
              <w:jc w:val="center"/>
              <w:rPr>
                <w:rFonts w:hint="eastAsia" w:ascii="宋体" w:hAnsi="宋体" w:cs="宋体"/>
                <w:b/>
                <w:bCs/>
                <w:color w:val="auto"/>
                <w:kern w:val="0"/>
                <w:sz w:val="24"/>
                <w:highlight w:val="none"/>
              </w:rPr>
            </w:pPr>
          </w:p>
          <w:p w14:paraId="116CCFBB">
            <w:pPr>
              <w:pageBreakBefore w:val="0"/>
              <w:widowControl/>
              <w:kinsoku/>
              <w:wordWrap/>
              <w:overflowPunct/>
              <w:autoSpaceDE/>
              <w:autoSpaceDN/>
              <w:bidi w:val="0"/>
              <w:spacing w:beforeAutospacing="0" w:afterAutospacing="0" w:line="360" w:lineRule="auto"/>
              <w:jc w:val="center"/>
              <w:rPr>
                <w:rFonts w:hint="eastAsia" w:ascii="宋体" w:hAnsi="宋体" w:cs="宋体"/>
                <w:b/>
                <w:bCs/>
                <w:color w:val="auto"/>
                <w:kern w:val="0"/>
                <w:sz w:val="24"/>
                <w:highlight w:val="none"/>
              </w:rPr>
            </w:pPr>
            <w:r>
              <w:rPr>
                <w:rFonts w:hint="eastAsia" w:ascii="宋体" w:hAnsi="宋体" w:cs="宋体"/>
                <w:b/>
                <w:bCs/>
                <w:color w:val="auto"/>
                <w:kern w:val="0"/>
                <w:sz w:val="24"/>
                <w:highlight w:val="none"/>
              </w:rPr>
              <w:t>取证依据</w:t>
            </w:r>
          </w:p>
        </w:tc>
        <w:tc>
          <w:tcPr>
            <w:tcW w:w="680" w:type="pct"/>
            <w:tcBorders>
              <w:top w:val="single" w:color="auto" w:sz="4" w:space="0"/>
              <w:left w:val="single" w:color="auto" w:sz="4" w:space="0"/>
              <w:bottom w:val="single" w:color="auto" w:sz="4" w:space="0"/>
              <w:right w:val="single" w:color="auto" w:sz="4" w:space="0"/>
            </w:tcBorders>
            <w:shd w:val="clear" w:color="000000" w:fill="BFBFBF"/>
            <w:vAlign w:val="center"/>
          </w:tcPr>
          <w:p w14:paraId="3CC4E89D">
            <w:pPr>
              <w:pageBreakBefore w:val="0"/>
              <w:widowControl/>
              <w:kinsoku/>
              <w:wordWrap/>
              <w:overflowPunct/>
              <w:autoSpaceDE/>
              <w:autoSpaceDN/>
              <w:bidi w:val="0"/>
              <w:spacing w:beforeAutospacing="0" w:afterAutospacing="0" w:line="360" w:lineRule="auto"/>
              <w:jc w:val="center"/>
              <w:rPr>
                <w:rFonts w:hint="eastAsia" w:ascii="宋体" w:hAnsi="宋体" w:cs="宋体"/>
                <w:b/>
                <w:bCs/>
                <w:color w:val="auto"/>
                <w:kern w:val="0"/>
                <w:sz w:val="24"/>
                <w:highlight w:val="none"/>
              </w:rPr>
            </w:pPr>
            <w:r>
              <w:rPr>
                <w:rFonts w:hint="eastAsia" w:ascii="宋体" w:hAnsi="宋体" w:cs="宋体"/>
                <w:b/>
                <w:bCs/>
                <w:color w:val="auto"/>
                <w:kern w:val="0"/>
                <w:sz w:val="24"/>
                <w:highlight w:val="none"/>
              </w:rPr>
              <w:t>加分及扣分标准</w:t>
            </w:r>
          </w:p>
        </w:tc>
      </w:tr>
      <w:tr w14:paraId="542325F7">
        <w:tblPrEx>
          <w:tblCellMar>
            <w:top w:w="0" w:type="dxa"/>
            <w:left w:w="108" w:type="dxa"/>
            <w:bottom w:w="0" w:type="dxa"/>
            <w:right w:w="108" w:type="dxa"/>
          </w:tblCellMar>
        </w:tblPrEx>
        <w:trPr>
          <w:trHeight w:val="330" w:hRule="atLeast"/>
        </w:trPr>
        <w:tc>
          <w:tcPr>
            <w:tcW w:w="463" w:type="pct"/>
            <w:vMerge w:val="restart"/>
            <w:tcBorders>
              <w:top w:val="nil"/>
              <w:left w:val="single" w:color="auto" w:sz="4" w:space="0"/>
              <w:right w:val="single" w:color="auto" w:sz="4" w:space="0"/>
            </w:tcBorders>
            <w:shd w:val="clear" w:color="000000" w:fill="FFFFFF"/>
            <w:vAlign w:val="center"/>
          </w:tcPr>
          <w:p w14:paraId="2772CD24">
            <w:pPr>
              <w:pageBreakBefore w:val="0"/>
              <w:widowControl/>
              <w:kinsoku/>
              <w:wordWrap/>
              <w:overflowPunct/>
              <w:autoSpaceDE/>
              <w:autoSpaceDN/>
              <w:bidi w:val="0"/>
              <w:spacing w:beforeAutospacing="0" w:afterAutospacing="0"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人员配置</w:t>
            </w:r>
          </w:p>
          <w:p w14:paraId="6E8802D8">
            <w:pPr>
              <w:pageBreakBefore w:val="0"/>
              <w:widowControl/>
              <w:kinsoku/>
              <w:wordWrap/>
              <w:overflowPunct/>
              <w:autoSpaceDE/>
              <w:autoSpaceDN/>
              <w:bidi w:val="0"/>
              <w:spacing w:beforeAutospacing="0" w:afterAutospacing="0" w:line="360" w:lineRule="auto"/>
              <w:jc w:val="center"/>
              <w:rPr>
                <w:rFonts w:hint="eastAsia" w:ascii="宋体" w:hAnsi="宋体" w:cs="宋体"/>
                <w:color w:val="auto"/>
                <w:kern w:val="0"/>
                <w:sz w:val="24"/>
                <w:highlight w:val="none"/>
              </w:rPr>
            </w:pPr>
          </w:p>
        </w:tc>
        <w:tc>
          <w:tcPr>
            <w:tcW w:w="455" w:type="pct"/>
            <w:tcBorders>
              <w:top w:val="nil"/>
              <w:left w:val="nil"/>
              <w:bottom w:val="single" w:color="auto" w:sz="4" w:space="0"/>
              <w:right w:val="single" w:color="auto" w:sz="4" w:space="0"/>
            </w:tcBorders>
            <w:shd w:val="clear" w:color="000000" w:fill="FFFFFF"/>
            <w:vAlign w:val="center"/>
          </w:tcPr>
          <w:p w14:paraId="459CB249">
            <w:pPr>
              <w:pageBreakBefore w:val="0"/>
              <w:widowControl/>
              <w:kinsoku/>
              <w:wordWrap/>
              <w:overflowPunct/>
              <w:autoSpaceDE/>
              <w:autoSpaceDN/>
              <w:bidi w:val="0"/>
              <w:spacing w:beforeAutospacing="0" w:afterAutospacing="0" w:line="360" w:lineRule="auto"/>
              <w:jc w:val="left"/>
              <w:rPr>
                <w:rFonts w:hint="eastAsia" w:ascii="宋体" w:hAnsi="宋体" w:cs="宋体"/>
                <w:color w:val="auto"/>
                <w:kern w:val="0"/>
                <w:sz w:val="24"/>
                <w:highlight w:val="none"/>
              </w:rPr>
            </w:pPr>
            <w:r>
              <w:rPr>
                <w:rFonts w:hint="eastAsia" w:ascii="宋体" w:hAnsi="宋体" w:cs="宋体"/>
                <w:color w:val="auto"/>
                <w:kern w:val="0"/>
                <w:sz w:val="24"/>
                <w:highlight w:val="none"/>
              </w:rPr>
              <w:t>人员数量</w:t>
            </w:r>
          </w:p>
        </w:tc>
        <w:tc>
          <w:tcPr>
            <w:tcW w:w="378" w:type="pct"/>
            <w:tcBorders>
              <w:top w:val="single" w:color="auto" w:sz="4" w:space="0"/>
              <w:left w:val="nil"/>
              <w:bottom w:val="single" w:color="auto" w:sz="4" w:space="0"/>
              <w:right w:val="single" w:color="auto" w:sz="4" w:space="0"/>
            </w:tcBorders>
            <w:shd w:val="clear" w:color="000000" w:fill="FFFFFF"/>
            <w:vAlign w:val="center"/>
          </w:tcPr>
          <w:p w14:paraId="4F0C34C3">
            <w:pPr>
              <w:pageBreakBefore w:val="0"/>
              <w:widowControl/>
              <w:kinsoku/>
              <w:wordWrap/>
              <w:overflowPunct/>
              <w:autoSpaceDE/>
              <w:autoSpaceDN/>
              <w:bidi w:val="0"/>
              <w:spacing w:beforeAutospacing="0" w:afterAutospacing="0" w:line="360" w:lineRule="auto"/>
              <w:jc w:val="left"/>
              <w:rPr>
                <w:rFonts w:hint="eastAsia" w:ascii="宋体" w:hAnsi="宋体" w:cs="宋体"/>
                <w:color w:val="auto"/>
                <w:kern w:val="0"/>
                <w:sz w:val="22"/>
                <w:highlight w:val="none"/>
              </w:rPr>
            </w:pPr>
            <w:r>
              <w:rPr>
                <w:rFonts w:hint="eastAsia" w:ascii="宋体" w:hAnsi="宋体" w:cs="宋体"/>
                <w:color w:val="auto"/>
                <w:kern w:val="0"/>
                <w:sz w:val="22"/>
                <w:highlight w:val="none"/>
              </w:rPr>
              <w:t>1.1</w:t>
            </w:r>
          </w:p>
        </w:tc>
        <w:tc>
          <w:tcPr>
            <w:tcW w:w="1888" w:type="pct"/>
            <w:tcBorders>
              <w:top w:val="nil"/>
              <w:left w:val="single" w:color="auto" w:sz="4" w:space="0"/>
              <w:bottom w:val="single" w:color="auto" w:sz="4" w:space="0"/>
              <w:right w:val="nil"/>
            </w:tcBorders>
            <w:shd w:val="clear" w:color="000000" w:fill="FFFFFF"/>
            <w:vAlign w:val="center"/>
          </w:tcPr>
          <w:p w14:paraId="396DC9C4">
            <w:pPr>
              <w:pageBreakBefore w:val="0"/>
              <w:widowControl/>
              <w:kinsoku/>
              <w:wordWrap/>
              <w:overflowPunct/>
              <w:autoSpaceDE/>
              <w:autoSpaceDN/>
              <w:bidi w:val="0"/>
              <w:spacing w:beforeAutospacing="0" w:afterAutospacing="0" w:line="360" w:lineRule="auto"/>
              <w:jc w:val="left"/>
              <w:rPr>
                <w:rFonts w:hint="eastAsia" w:ascii="宋体" w:hAnsi="宋体" w:cs="宋体"/>
                <w:color w:val="auto"/>
                <w:kern w:val="0"/>
                <w:sz w:val="22"/>
                <w:highlight w:val="none"/>
              </w:rPr>
            </w:pPr>
            <w:r>
              <w:rPr>
                <w:rFonts w:hint="eastAsia" w:ascii="宋体" w:hAnsi="宋体" w:cs="宋体"/>
                <w:color w:val="auto"/>
                <w:kern w:val="0"/>
                <w:sz w:val="22"/>
                <w:highlight w:val="none"/>
              </w:rPr>
              <w:t>按照本协议要求配备足够的工作人员。</w:t>
            </w:r>
            <w:r>
              <w:rPr>
                <w:rFonts w:ascii="宋体" w:hAnsi="宋体" w:cs="宋体"/>
                <w:color w:val="auto"/>
                <w:kern w:val="0"/>
                <w:sz w:val="22"/>
                <w:highlight w:val="none"/>
              </w:rPr>
              <w:t>若</w:t>
            </w:r>
            <w:r>
              <w:rPr>
                <w:rFonts w:hint="eastAsia" w:ascii="宋体" w:hAnsi="宋体" w:cs="宋体"/>
                <w:color w:val="auto"/>
                <w:kern w:val="0"/>
                <w:sz w:val="22"/>
                <w:highlight w:val="none"/>
              </w:rPr>
              <w:t>不</w:t>
            </w:r>
            <w:r>
              <w:rPr>
                <w:rFonts w:ascii="宋体" w:hAnsi="宋体" w:cs="宋体"/>
                <w:color w:val="auto"/>
                <w:kern w:val="0"/>
                <w:sz w:val="22"/>
                <w:highlight w:val="none"/>
              </w:rPr>
              <w:t>满足约定的人员梳理，按扣分标准进行扣分。</w:t>
            </w:r>
          </w:p>
        </w:tc>
        <w:tc>
          <w:tcPr>
            <w:tcW w:w="1134" w:type="pct"/>
            <w:tcBorders>
              <w:top w:val="single" w:color="auto" w:sz="4" w:space="0"/>
              <w:left w:val="single" w:color="auto" w:sz="4" w:space="0"/>
              <w:bottom w:val="single" w:color="auto" w:sz="4" w:space="0"/>
              <w:right w:val="single" w:color="auto" w:sz="4" w:space="0"/>
            </w:tcBorders>
            <w:shd w:val="clear" w:color="000000" w:fill="FFFFFF"/>
          </w:tcPr>
          <w:p w14:paraId="7B26D068">
            <w:pPr>
              <w:pageBreakBefore w:val="0"/>
              <w:widowControl/>
              <w:kinsoku/>
              <w:wordWrap/>
              <w:overflowPunct/>
              <w:autoSpaceDE/>
              <w:autoSpaceDN/>
              <w:bidi w:val="0"/>
              <w:spacing w:beforeAutospacing="0" w:afterAutospacing="0" w:line="360" w:lineRule="auto"/>
              <w:jc w:val="left"/>
              <w:rPr>
                <w:rFonts w:hint="eastAsia" w:ascii="宋体" w:hAnsi="宋体" w:cs="宋体"/>
                <w:color w:val="auto"/>
                <w:kern w:val="0"/>
                <w:highlight w:val="none"/>
              </w:rPr>
            </w:pPr>
            <w:r>
              <w:rPr>
                <w:rFonts w:hint="eastAsia" w:ascii="宋体" w:hAnsi="宋体" w:cs="宋体"/>
                <w:color w:val="auto"/>
                <w:kern w:val="0"/>
                <w:highlight w:val="none"/>
              </w:rPr>
              <w:t>依据本协议要求，参考日常工作签到表。</w:t>
            </w:r>
          </w:p>
        </w:tc>
        <w:tc>
          <w:tcPr>
            <w:tcW w:w="680" w:type="pct"/>
            <w:tcBorders>
              <w:top w:val="nil"/>
              <w:left w:val="single" w:color="auto" w:sz="4" w:space="0"/>
              <w:bottom w:val="single" w:color="auto" w:sz="4" w:space="0"/>
              <w:right w:val="single" w:color="auto" w:sz="4" w:space="0"/>
            </w:tcBorders>
            <w:shd w:val="clear" w:color="000000" w:fill="FFFFFF"/>
            <w:vAlign w:val="center"/>
          </w:tcPr>
          <w:p w14:paraId="1F9507C6">
            <w:pPr>
              <w:pageBreakBefore w:val="0"/>
              <w:widowControl/>
              <w:kinsoku/>
              <w:wordWrap/>
              <w:overflowPunct/>
              <w:autoSpaceDE/>
              <w:autoSpaceDN/>
              <w:bidi w:val="0"/>
              <w:spacing w:beforeAutospacing="0" w:afterAutospacing="0" w:line="360" w:lineRule="auto"/>
              <w:jc w:val="center"/>
              <w:rPr>
                <w:rFonts w:hint="eastAsia" w:ascii="宋体" w:hAnsi="宋体" w:cs="宋体"/>
                <w:color w:val="auto"/>
                <w:kern w:val="0"/>
                <w:highlight w:val="none"/>
              </w:rPr>
            </w:pPr>
            <w:r>
              <w:rPr>
                <w:rFonts w:hint="eastAsia" w:ascii="宋体" w:hAnsi="宋体" w:cs="宋体"/>
                <w:color w:val="auto"/>
                <w:kern w:val="0"/>
                <w:highlight w:val="none"/>
              </w:rPr>
              <w:t>-2分/人</w:t>
            </w:r>
          </w:p>
        </w:tc>
      </w:tr>
      <w:tr w14:paraId="2AF591BB">
        <w:tblPrEx>
          <w:tblCellMar>
            <w:top w:w="0" w:type="dxa"/>
            <w:left w:w="108" w:type="dxa"/>
            <w:bottom w:w="0" w:type="dxa"/>
            <w:right w:w="108" w:type="dxa"/>
          </w:tblCellMar>
        </w:tblPrEx>
        <w:trPr>
          <w:trHeight w:val="330" w:hRule="atLeast"/>
        </w:trPr>
        <w:tc>
          <w:tcPr>
            <w:tcW w:w="463" w:type="pct"/>
            <w:vMerge w:val="continue"/>
            <w:tcBorders>
              <w:left w:val="single" w:color="auto" w:sz="4" w:space="0"/>
              <w:right w:val="single" w:color="auto" w:sz="4" w:space="0"/>
            </w:tcBorders>
            <w:shd w:val="clear" w:color="000000" w:fill="FFFFFF"/>
            <w:vAlign w:val="center"/>
          </w:tcPr>
          <w:p w14:paraId="3FE42956">
            <w:pPr>
              <w:pageBreakBefore w:val="0"/>
              <w:widowControl/>
              <w:kinsoku/>
              <w:wordWrap/>
              <w:overflowPunct/>
              <w:autoSpaceDE/>
              <w:autoSpaceDN/>
              <w:bidi w:val="0"/>
              <w:spacing w:beforeAutospacing="0" w:afterAutospacing="0" w:line="360" w:lineRule="auto"/>
              <w:jc w:val="center"/>
              <w:rPr>
                <w:rFonts w:hint="eastAsia" w:ascii="宋体" w:hAnsi="宋体" w:cs="宋体"/>
                <w:color w:val="auto"/>
                <w:kern w:val="0"/>
                <w:sz w:val="24"/>
                <w:highlight w:val="none"/>
              </w:rPr>
            </w:pPr>
          </w:p>
        </w:tc>
        <w:tc>
          <w:tcPr>
            <w:tcW w:w="455" w:type="pct"/>
            <w:tcBorders>
              <w:top w:val="nil"/>
              <w:left w:val="nil"/>
              <w:bottom w:val="single" w:color="auto" w:sz="4" w:space="0"/>
              <w:right w:val="single" w:color="auto" w:sz="4" w:space="0"/>
            </w:tcBorders>
            <w:shd w:val="clear" w:color="000000" w:fill="FFFFFF"/>
            <w:vAlign w:val="center"/>
          </w:tcPr>
          <w:p w14:paraId="52541578">
            <w:pPr>
              <w:pageBreakBefore w:val="0"/>
              <w:widowControl/>
              <w:kinsoku/>
              <w:wordWrap/>
              <w:overflowPunct/>
              <w:autoSpaceDE/>
              <w:autoSpaceDN/>
              <w:bidi w:val="0"/>
              <w:spacing w:beforeAutospacing="0" w:afterAutospacing="0" w:line="360" w:lineRule="auto"/>
              <w:jc w:val="left"/>
              <w:rPr>
                <w:rFonts w:hint="eastAsia" w:ascii="宋体" w:hAnsi="宋体" w:cs="宋体"/>
                <w:color w:val="auto"/>
                <w:kern w:val="0"/>
                <w:sz w:val="24"/>
                <w:highlight w:val="none"/>
              </w:rPr>
            </w:pPr>
            <w:r>
              <w:rPr>
                <w:rFonts w:hint="eastAsia" w:ascii="宋体" w:hAnsi="宋体" w:cs="宋体"/>
                <w:color w:val="auto"/>
                <w:kern w:val="0"/>
                <w:sz w:val="24"/>
                <w:highlight w:val="none"/>
              </w:rPr>
              <w:t>人员素质</w:t>
            </w:r>
          </w:p>
        </w:tc>
        <w:tc>
          <w:tcPr>
            <w:tcW w:w="378" w:type="pct"/>
            <w:tcBorders>
              <w:top w:val="single" w:color="auto" w:sz="4" w:space="0"/>
              <w:left w:val="nil"/>
              <w:bottom w:val="single" w:color="auto" w:sz="4" w:space="0"/>
              <w:right w:val="single" w:color="auto" w:sz="4" w:space="0"/>
            </w:tcBorders>
            <w:shd w:val="clear" w:color="000000" w:fill="FFFFFF"/>
            <w:vAlign w:val="center"/>
          </w:tcPr>
          <w:p w14:paraId="6994524B">
            <w:pPr>
              <w:pageBreakBefore w:val="0"/>
              <w:widowControl/>
              <w:kinsoku/>
              <w:wordWrap/>
              <w:overflowPunct/>
              <w:autoSpaceDE/>
              <w:autoSpaceDN/>
              <w:bidi w:val="0"/>
              <w:spacing w:beforeAutospacing="0" w:afterAutospacing="0" w:line="360" w:lineRule="auto"/>
              <w:jc w:val="left"/>
              <w:rPr>
                <w:rFonts w:hint="eastAsia" w:ascii="宋体" w:hAnsi="宋体" w:cs="宋体"/>
                <w:color w:val="auto"/>
                <w:kern w:val="0"/>
                <w:sz w:val="22"/>
                <w:highlight w:val="none"/>
              </w:rPr>
            </w:pPr>
            <w:r>
              <w:rPr>
                <w:rFonts w:hint="eastAsia" w:ascii="宋体" w:hAnsi="宋体" w:cs="宋体"/>
                <w:color w:val="auto"/>
                <w:kern w:val="0"/>
                <w:sz w:val="22"/>
                <w:highlight w:val="none"/>
              </w:rPr>
              <w:t>1.2</w:t>
            </w:r>
          </w:p>
        </w:tc>
        <w:tc>
          <w:tcPr>
            <w:tcW w:w="1888" w:type="pct"/>
            <w:tcBorders>
              <w:top w:val="nil"/>
              <w:left w:val="single" w:color="auto" w:sz="4" w:space="0"/>
              <w:bottom w:val="single" w:color="auto" w:sz="4" w:space="0"/>
              <w:right w:val="nil"/>
            </w:tcBorders>
            <w:shd w:val="clear" w:color="000000" w:fill="FFFFFF"/>
            <w:vAlign w:val="center"/>
          </w:tcPr>
          <w:p w14:paraId="0A576BBB">
            <w:pPr>
              <w:pageBreakBefore w:val="0"/>
              <w:widowControl/>
              <w:kinsoku/>
              <w:wordWrap/>
              <w:overflowPunct/>
              <w:autoSpaceDE/>
              <w:autoSpaceDN/>
              <w:bidi w:val="0"/>
              <w:spacing w:beforeAutospacing="0" w:afterAutospacing="0" w:line="360" w:lineRule="auto"/>
              <w:jc w:val="left"/>
              <w:rPr>
                <w:rFonts w:hint="eastAsia" w:ascii="宋体" w:hAnsi="宋体" w:cs="宋体"/>
                <w:color w:val="auto"/>
                <w:kern w:val="0"/>
                <w:sz w:val="22"/>
                <w:highlight w:val="none"/>
              </w:rPr>
            </w:pPr>
            <w:r>
              <w:rPr>
                <w:rFonts w:hint="eastAsia" w:ascii="宋体" w:hAnsi="宋体" w:cs="宋体"/>
                <w:color w:val="auto"/>
                <w:kern w:val="0"/>
                <w:sz w:val="22"/>
                <w:highlight w:val="none"/>
              </w:rPr>
              <w:t>团队安全服务人员（个人）累计发现高危风险数（人工渗透测试漏洞，人工基线核查）超过25个的</w:t>
            </w:r>
          </w:p>
        </w:tc>
        <w:tc>
          <w:tcPr>
            <w:tcW w:w="1134" w:type="pct"/>
            <w:tcBorders>
              <w:top w:val="nil"/>
              <w:left w:val="single" w:color="auto" w:sz="4" w:space="0"/>
              <w:bottom w:val="single" w:color="auto" w:sz="4" w:space="0"/>
              <w:right w:val="single" w:color="auto" w:sz="4" w:space="0"/>
            </w:tcBorders>
            <w:shd w:val="clear" w:color="000000" w:fill="FFFFFF"/>
          </w:tcPr>
          <w:p w14:paraId="3CFEE5DC">
            <w:pPr>
              <w:pageBreakBefore w:val="0"/>
              <w:widowControl/>
              <w:kinsoku/>
              <w:wordWrap/>
              <w:overflowPunct/>
              <w:autoSpaceDE/>
              <w:autoSpaceDN/>
              <w:bidi w:val="0"/>
              <w:spacing w:beforeAutospacing="0" w:afterAutospacing="0" w:line="360" w:lineRule="auto"/>
              <w:jc w:val="left"/>
              <w:rPr>
                <w:rFonts w:hint="eastAsia" w:ascii="宋体" w:hAnsi="宋体" w:cs="宋体"/>
                <w:color w:val="auto"/>
                <w:kern w:val="0"/>
                <w:highlight w:val="none"/>
              </w:rPr>
            </w:pPr>
          </w:p>
        </w:tc>
        <w:tc>
          <w:tcPr>
            <w:tcW w:w="680" w:type="pct"/>
            <w:tcBorders>
              <w:top w:val="nil"/>
              <w:left w:val="single" w:color="auto" w:sz="4" w:space="0"/>
              <w:bottom w:val="single" w:color="auto" w:sz="4" w:space="0"/>
              <w:right w:val="single" w:color="auto" w:sz="4" w:space="0"/>
            </w:tcBorders>
            <w:shd w:val="clear" w:color="000000" w:fill="FFFFFF"/>
            <w:vAlign w:val="center"/>
          </w:tcPr>
          <w:p w14:paraId="207F05BB">
            <w:pPr>
              <w:pageBreakBefore w:val="0"/>
              <w:widowControl/>
              <w:kinsoku/>
              <w:wordWrap/>
              <w:overflowPunct/>
              <w:autoSpaceDE/>
              <w:autoSpaceDN/>
              <w:bidi w:val="0"/>
              <w:spacing w:beforeAutospacing="0" w:afterAutospacing="0" w:line="360" w:lineRule="auto"/>
              <w:jc w:val="center"/>
              <w:rPr>
                <w:rFonts w:hint="eastAsia" w:ascii="宋体" w:hAnsi="宋体" w:cs="宋体"/>
                <w:color w:val="auto"/>
                <w:kern w:val="0"/>
                <w:highlight w:val="none"/>
              </w:rPr>
            </w:pPr>
            <w:r>
              <w:rPr>
                <w:rFonts w:hint="eastAsia" w:ascii="宋体" w:hAnsi="宋体" w:cs="宋体"/>
                <w:color w:val="auto"/>
                <w:kern w:val="0"/>
                <w:highlight w:val="none"/>
              </w:rPr>
              <w:t>5分/人</w:t>
            </w:r>
          </w:p>
        </w:tc>
      </w:tr>
      <w:tr w14:paraId="179251A1">
        <w:tblPrEx>
          <w:tblCellMar>
            <w:top w:w="0" w:type="dxa"/>
            <w:left w:w="108" w:type="dxa"/>
            <w:bottom w:w="0" w:type="dxa"/>
            <w:right w:w="108" w:type="dxa"/>
          </w:tblCellMar>
        </w:tblPrEx>
        <w:trPr>
          <w:trHeight w:val="330" w:hRule="atLeast"/>
        </w:trPr>
        <w:tc>
          <w:tcPr>
            <w:tcW w:w="463" w:type="pct"/>
            <w:vMerge w:val="continue"/>
            <w:tcBorders>
              <w:left w:val="single" w:color="auto" w:sz="4" w:space="0"/>
              <w:right w:val="single" w:color="auto" w:sz="4" w:space="0"/>
            </w:tcBorders>
            <w:shd w:val="clear" w:color="000000" w:fill="FFFFFF"/>
            <w:vAlign w:val="center"/>
          </w:tcPr>
          <w:p w14:paraId="714CE9F8">
            <w:pPr>
              <w:pageBreakBefore w:val="0"/>
              <w:widowControl/>
              <w:kinsoku/>
              <w:wordWrap/>
              <w:overflowPunct/>
              <w:autoSpaceDE/>
              <w:autoSpaceDN/>
              <w:bidi w:val="0"/>
              <w:spacing w:beforeAutospacing="0" w:afterAutospacing="0" w:line="360" w:lineRule="auto"/>
              <w:jc w:val="center"/>
              <w:rPr>
                <w:rFonts w:hint="eastAsia" w:ascii="宋体" w:hAnsi="宋体" w:cs="宋体"/>
                <w:color w:val="auto"/>
                <w:kern w:val="0"/>
                <w:sz w:val="24"/>
                <w:highlight w:val="none"/>
              </w:rPr>
            </w:pPr>
          </w:p>
        </w:tc>
        <w:tc>
          <w:tcPr>
            <w:tcW w:w="455" w:type="pct"/>
            <w:tcBorders>
              <w:top w:val="nil"/>
              <w:left w:val="nil"/>
              <w:bottom w:val="single" w:color="auto" w:sz="4" w:space="0"/>
              <w:right w:val="single" w:color="auto" w:sz="4" w:space="0"/>
            </w:tcBorders>
            <w:shd w:val="clear" w:color="000000" w:fill="FFFFFF"/>
            <w:vAlign w:val="center"/>
          </w:tcPr>
          <w:p w14:paraId="722EAA4F">
            <w:pPr>
              <w:pageBreakBefore w:val="0"/>
              <w:widowControl/>
              <w:kinsoku/>
              <w:wordWrap/>
              <w:overflowPunct/>
              <w:autoSpaceDE/>
              <w:autoSpaceDN/>
              <w:bidi w:val="0"/>
              <w:spacing w:beforeAutospacing="0" w:afterAutospacing="0" w:line="360" w:lineRule="auto"/>
              <w:jc w:val="left"/>
              <w:rPr>
                <w:rFonts w:hint="eastAsia" w:ascii="宋体" w:hAnsi="宋体" w:cs="宋体"/>
                <w:color w:val="auto"/>
                <w:kern w:val="0"/>
                <w:sz w:val="24"/>
                <w:highlight w:val="none"/>
              </w:rPr>
            </w:pPr>
            <w:r>
              <w:rPr>
                <w:rFonts w:hint="eastAsia" w:ascii="宋体" w:hAnsi="宋体" w:cs="宋体"/>
                <w:color w:val="auto"/>
                <w:kern w:val="0"/>
                <w:sz w:val="24"/>
                <w:highlight w:val="none"/>
              </w:rPr>
              <w:t>人员素质</w:t>
            </w:r>
          </w:p>
        </w:tc>
        <w:tc>
          <w:tcPr>
            <w:tcW w:w="378" w:type="pct"/>
            <w:tcBorders>
              <w:top w:val="single" w:color="auto" w:sz="4" w:space="0"/>
              <w:left w:val="nil"/>
              <w:bottom w:val="single" w:color="auto" w:sz="4" w:space="0"/>
              <w:right w:val="single" w:color="auto" w:sz="4" w:space="0"/>
            </w:tcBorders>
            <w:shd w:val="clear" w:color="000000" w:fill="FFFFFF"/>
            <w:vAlign w:val="center"/>
          </w:tcPr>
          <w:p w14:paraId="625A8B9D">
            <w:pPr>
              <w:pageBreakBefore w:val="0"/>
              <w:widowControl/>
              <w:kinsoku/>
              <w:wordWrap/>
              <w:overflowPunct/>
              <w:autoSpaceDE/>
              <w:autoSpaceDN/>
              <w:bidi w:val="0"/>
              <w:spacing w:beforeAutospacing="0" w:afterAutospacing="0" w:line="360" w:lineRule="auto"/>
              <w:jc w:val="left"/>
              <w:rPr>
                <w:rFonts w:hint="eastAsia" w:ascii="宋体" w:hAnsi="宋体" w:cs="宋体"/>
                <w:color w:val="auto"/>
                <w:kern w:val="0"/>
                <w:sz w:val="22"/>
                <w:highlight w:val="none"/>
              </w:rPr>
            </w:pPr>
            <w:r>
              <w:rPr>
                <w:rFonts w:hint="eastAsia" w:ascii="宋体" w:hAnsi="宋体" w:cs="宋体"/>
                <w:color w:val="auto"/>
                <w:kern w:val="0"/>
                <w:sz w:val="22"/>
                <w:highlight w:val="none"/>
              </w:rPr>
              <w:t>1.3</w:t>
            </w:r>
          </w:p>
        </w:tc>
        <w:tc>
          <w:tcPr>
            <w:tcW w:w="1888" w:type="pct"/>
            <w:tcBorders>
              <w:top w:val="nil"/>
              <w:left w:val="single" w:color="auto" w:sz="4" w:space="0"/>
              <w:bottom w:val="single" w:color="auto" w:sz="4" w:space="0"/>
              <w:right w:val="nil"/>
            </w:tcBorders>
            <w:shd w:val="clear" w:color="000000" w:fill="FFFFFF"/>
            <w:vAlign w:val="center"/>
          </w:tcPr>
          <w:p w14:paraId="544FFF47">
            <w:pPr>
              <w:pageBreakBefore w:val="0"/>
              <w:widowControl/>
              <w:kinsoku/>
              <w:wordWrap/>
              <w:overflowPunct/>
              <w:autoSpaceDE/>
              <w:autoSpaceDN/>
              <w:bidi w:val="0"/>
              <w:spacing w:beforeAutospacing="0" w:afterAutospacing="0" w:line="360" w:lineRule="auto"/>
              <w:jc w:val="left"/>
              <w:rPr>
                <w:rFonts w:hint="eastAsia" w:ascii="宋体" w:hAnsi="宋体" w:cs="宋体"/>
                <w:color w:val="auto"/>
                <w:kern w:val="0"/>
                <w:sz w:val="22"/>
                <w:highlight w:val="none"/>
              </w:rPr>
            </w:pPr>
            <w:r>
              <w:rPr>
                <w:rFonts w:hint="eastAsia" w:ascii="宋体" w:hAnsi="宋体" w:cs="宋体"/>
                <w:color w:val="auto"/>
                <w:kern w:val="0"/>
                <w:sz w:val="22"/>
                <w:highlight w:val="none"/>
              </w:rPr>
              <w:t>团队安全服务人员（团队）累计发现高中危风险数（人工渗透测试漏洞，人工基线核查）少于30个的</w:t>
            </w:r>
          </w:p>
        </w:tc>
        <w:tc>
          <w:tcPr>
            <w:tcW w:w="1134" w:type="pct"/>
            <w:tcBorders>
              <w:top w:val="nil"/>
              <w:left w:val="single" w:color="auto" w:sz="4" w:space="0"/>
              <w:bottom w:val="single" w:color="auto" w:sz="4" w:space="0"/>
              <w:right w:val="single" w:color="auto" w:sz="4" w:space="0"/>
            </w:tcBorders>
            <w:shd w:val="clear" w:color="000000" w:fill="FFFFFF"/>
          </w:tcPr>
          <w:p w14:paraId="0DC7DE8D">
            <w:pPr>
              <w:pageBreakBefore w:val="0"/>
              <w:widowControl/>
              <w:kinsoku/>
              <w:wordWrap/>
              <w:overflowPunct/>
              <w:autoSpaceDE/>
              <w:autoSpaceDN/>
              <w:bidi w:val="0"/>
              <w:spacing w:beforeAutospacing="0" w:afterAutospacing="0" w:line="360" w:lineRule="auto"/>
              <w:jc w:val="left"/>
              <w:rPr>
                <w:rFonts w:hint="eastAsia" w:ascii="宋体" w:hAnsi="宋体" w:cs="宋体"/>
                <w:color w:val="auto"/>
                <w:kern w:val="0"/>
                <w:highlight w:val="none"/>
              </w:rPr>
            </w:pPr>
          </w:p>
        </w:tc>
        <w:tc>
          <w:tcPr>
            <w:tcW w:w="680" w:type="pct"/>
            <w:tcBorders>
              <w:top w:val="nil"/>
              <w:left w:val="single" w:color="auto" w:sz="4" w:space="0"/>
              <w:bottom w:val="single" w:color="auto" w:sz="4" w:space="0"/>
              <w:right w:val="single" w:color="auto" w:sz="4" w:space="0"/>
            </w:tcBorders>
            <w:shd w:val="clear" w:color="000000" w:fill="FFFFFF"/>
            <w:vAlign w:val="center"/>
          </w:tcPr>
          <w:p w14:paraId="4A3719A4">
            <w:pPr>
              <w:pageBreakBefore w:val="0"/>
              <w:widowControl/>
              <w:kinsoku/>
              <w:wordWrap/>
              <w:overflowPunct/>
              <w:autoSpaceDE/>
              <w:autoSpaceDN/>
              <w:bidi w:val="0"/>
              <w:spacing w:beforeAutospacing="0" w:afterAutospacing="0" w:line="360" w:lineRule="auto"/>
              <w:jc w:val="center"/>
              <w:rPr>
                <w:rFonts w:hint="eastAsia" w:ascii="宋体" w:hAnsi="宋体" w:cs="宋体"/>
                <w:color w:val="auto"/>
                <w:kern w:val="0"/>
                <w:highlight w:val="none"/>
              </w:rPr>
            </w:pPr>
            <w:r>
              <w:rPr>
                <w:rFonts w:hint="eastAsia" w:ascii="宋体" w:hAnsi="宋体" w:cs="宋体"/>
                <w:color w:val="auto"/>
                <w:kern w:val="0"/>
                <w:highlight w:val="none"/>
              </w:rPr>
              <w:t>-30分</w:t>
            </w:r>
          </w:p>
        </w:tc>
      </w:tr>
      <w:tr w14:paraId="633432A3">
        <w:tblPrEx>
          <w:tblCellMar>
            <w:top w:w="0" w:type="dxa"/>
            <w:left w:w="108" w:type="dxa"/>
            <w:bottom w:w="0" w:type="dxa"/>
            <w:right w:w="108" w:type="dxa"/>
          </w:tblCellMar>
        </w:tblPrEx>
        <w:trPr>
          <w:trHeight w:val="330" w:hRule="atLeast"/>
        </w:trPr>
        <w:tc>
          <w:tcPr>
            <w:tcW w:w="463" w:type="pct"/>
            <w:vMerge w:val="continue"/>
            <w:tcBorders>
              <w:left w:val="single" w:color="auto" w:sz="4" w:space="0"/>
              <w:right w:val="single" w:color="auto" w:sz="4" w:space="0"/>
            </w:tcBorders>
            <w:shd w:val="clear" w:color="000000" w:fill="FFFFFF"/>
            <w:vAlign w:val="center"/>
          </w:tcPr>
          <w:p w14:paraId="3DD53D5B">
            <w:pPr>
              <w:pageBreakBefore w:val="0"/>
              <w:widowControl/>
              <w:kinsoku/>
              <w:wordWrap/>
              <w:overflowPunct/>
              <w:autoSpaceDE/>
              <w:autoSpaceDN/>
              <w:bidi w:val="0"/>
              <w:spacing w:beforeAutospacing="0" w:afterAutospacing="0" w:line="360" w:lineRule="auto"/>
              <w:jc w:val="center"/>
              <w:rPr>
                <w:rFonts w:hint="eastAsia" w:ascii="宋体" w:hAnsi="宋体" w:cs="宋体"/>
                <w:color w:val="auto"/>
                <w:kern w:val="0"/>
                <w:sz w:val="24"/>
                <w:highlight w:val="none"/>
              </w:rPr>
            </w:pPr>
          </w:p>
        </w:tc>
        <w:tc>
          <w:tcPr>
            <w:tcW w:w="455" w:type="pct"/>
            <w:tcBorders>
              <w:top w:val="nil"/>
              <w:left w:val="nil"/>
              <w:bottom w:val="single" w:color="auto" w:sz="4" w:space="0"/>
              <w:right w:val="single" w:color="auto" w:sz="4" w:space="0"/>
            </w:tcBorders>
            <w:shd w:val="clear" w:color="000000" w:fill="FFFFFF"/>
            <w:vAlign w:val="center"/>
          </w:tcPr>
          <w:p w14:paraId="120A47C1">
            <w:pPr>
              <w:pageBreakBefore w:val="0"/>
              <w:widowControl/>
              <w:kinsoku/>
              <w:wordWrap/>
              <w:overflowPunct/>
              <w:autoSpaceDE/>
              <w:autoSpaceDN/>
              <w:bidi w:val="0"/>
              <w:spacing w:beforeAutospacing="0" w:afterAutospacing="0" w:line="360" w:lineRule="auto"/>
              <w:jc w:val="left"/>
              <w:rPr>
                <w:rFonts w:hint="eastAsia" w:ascii="宋体" w:hAnsi="宋体" w:cs="宋体"/>
                <w:color w:val="auto"/>
                <w:kern w:val="0"/>
                <w:sz w:val="24"/>
                <w:highlight w:val="none"/>
              </w:rPr>
            </w:pPr>
            <w:r>
              <w:rPr>
                <w:rFonts w:hint="eastAsia" w:ascii="宋体" w:hAnsi="宋体" w:cs="宋体"/>
                <w:color w:val="auto"/>
                <w:kern w:val="0"/>
                <w:sz w:val="24"/>
                <w:highlight w:val="none"/>
              </w:rPr>
              <w:t>人员出勤</w:t>
            </w:r>
          </w:p>
        </w:tc>
        <w:tc>
          <w:tcPr>
            <w:tcW w:w="378" w:type="pct"/>
            <w:tcBorders>
              <w:top w:val="single" w:color="auto" w:sz="4" w:space="0"/>
              <w:left w:val="nil"/>
              <w:bottom w:val="single" w:color="auto" w:sz="4" w:space="0"/>
              <w:right w:val="single" w:color="auto" w:sz="4" w:space="0"/>
            </w:tcBorders>
            <w:shd w:val="clear" w:color="000000" w:fill="FFFFFF"/>
            <w:vAlign w:val="center"/>
          </w:tcPr>
          <w:p w14:paraId="3CA20450">
            <w:pPr>
              <w:pageBreakBefore w:val="0"/>
              <w:widowControl/>
              <w:kinsoku/>
              <w:wordWrap/>
              <w:overflowPunct/>
              <w:autoSpaceDE/>
              <w:autoSpaceDN/>
              <w:bidi w:val="0"/>
              <w:spacing w:beforeAutospacing="0" w:afterAutospacing="0" w:line="360" w:lineRule="auto"/>
              <w:jc w:val="left"/>
              <w:rPr>
                <w:rFonts w:hint="eastAsia" w:ascii="宋体" w:hAnsi="宋体" w:eastAsia="宋体" w:cs="宋体"/>
                <w:color w:val="auto"/>
                <w:kern w:val="0"/>
                <w:sz w:val="22"/>
                <w:highlight w:val="none"/>
              </w:rPr>
            </w:pPr>
            <w:r>
              <w:rPr>
                <w:rFonts w:hint="eastAsia" w:ascii="宋体" w:hAnsi="宋体" w:cs="宋体"/>
                <w:color w:val="auto"/>
                <w:kern w:val="0"/>
                <w:sz w:val="22"/>
                <w:highlight w:val="none"/>
              </w:rPr>
              <w:t>1.4</w:t>
            </w:r>
          </w:p>
        </w:tc>
        <w:tc>
          <w:tcPr>
            <w:tcW w:w="1888" w:type="pct"/>
            <w:tcBorders>
              <w:top w:val="nil"/>
              <w:left w:val="single" w:color="auto" w:sz="4" w:space="0"/>
              <w:bottom w:val="single" w:color="auto" w:sz="4" w:space="0"/>
              <w:right w:val="nil"/>
            </w:tcBorders>
            <w:shd w:val="clear" w:color="000000" w:fill="FFFFFF"/>
            <w:vAlign w:val="center"/>
          </w:tcPr>
          <w:p w14:paraId="40AE13C3">
            <w:pPr>
              <w:pageBreakBefore w:val="0"/>
              <w:widowControl/>
              <w:kinsoku/>
              <w:wordWrap/>
              <w:overflowPunct/>
              <w:autoSpaceDE/>
              <w:autoSpaceDN/>
              <w:bidi w:val="0"/>
              <w:spacing w:beforeAutospacing="0" w:afterAutospacing="0" w:line="360" w:lineRule="auto"/>
              <w:jc w:val="left"/>
              <w:rPr>
                <w:rFonts w:hint="eastAsia" w:ascii="宋体" w:hAnsi="宋体" w:cs="宋体"/>
                <w:color w:val="auto"/>
                <w:kern w:val="0"/>
                <w:sz w:val="22"/>
                <w:highlight w:val="none"/>
              </w:rPr>
            </w:pPr>
            <w:r>
              <w:rPr>
                <w:rFonts w:hint="eastAsia" w:ascii="宋体" w:hAnsi="宋体" w:cs="宋体"/>
                <w:color w:val="auto"/>
                <w:kern w:val="0"/>
                <w:sz w:val="22"/>
                <w:highlight w:val="none"/>
              </w:rPr>
              <w:t>工作人员在正常工作日按规定出勤，不得迟到、早退、无故旷工。</w:t>
            </w:r>
            <w:r>
              <w:rPr>
                <w:rFonts w:ascii="宋体" w:hAnsi="宋体" w:cs="宋体"/>
                <w:color w:val="auto"/>
                <w:kern w:val="0"/>
                <w:sz w:val="22"/>
                <w:highlight w:val="none"/>
              </w:rPr>
              <w:t>出现</w:t>
            </w:r>
            <w:r>
              <w:rPr>
                <w:rFonts w:hint="eastAsia" w:ascii="宋体" w:hAnsi="宋体" w:cs="宋体"/>
                <w:color w:val="auto"/>
                <w:kern w:val="0"/>
                <w:sz w:val="22"/>
                <w:highlight w:val="none"/>
              </w:rPr>
              <w:t>违反</w:t>
            </w:r>
            <w:r>
              <w:rPr>
                <w:rFonts w:ascii="宋体" w:hAnsi="宋体" w:cs="宋体"/>
                <w:color w:val="auto"/>
                <w:kern w:val="0"/>
                <w:sz w:val="22"/>
                <w:highlight w:val="none"/>
              </w:rPr>
              <w:t>日常规定的行为，按扣分标准进行扣分。</w:t>
            </w:r>
          </w:p>
        </w:tc>
        <w:tc>
          <w:tcPr>
            <w:tcW w:w="1134" w:type="pct"/>
            <w:tcBorders>
              <w:top w:val="nil"/>
              <w:left w:val="single" w:color="auto" w:sz="4" w:space="0"/>
              <w:bottom w:val="single" w:color="auto" w:sz="4" w:space="0"/>
              <w:right w:val="single" w:color="auto" w:sz="4" w:space="0"/>
            </w:tcBorders>
            <w:shd w:val="clear" w:color="000000" w:fill="FFFFFF"/>
          </w:tcPr>
          <w:p w14:paraId="640C9C84">
            <w:pPr>
              <w:pageBreakBefore w:val="0"/>
              <w:widowControl/>
              <w:kinsoku/>
              <w:wordWrap/>
              <w:overflowPunct/>
              <w:autoSpaceDE/>
              <w:autoSpaceDN/>
              <w:bidi w:val="0"/>
              <w:spacing w:beforeAutospacing="0" w:afterAutospacing="0" w:line="360" w:lineRule="auto"/>
              <w:jc w:val="left"/>
              <w:rPr>
                <w:rFonts w:hint="eastAsia" w:ascii="宋体" w:hAnsi="宋体" w:cs="宋体"/>
                <w:color w:val="auto"/>
                <w:kern w:val="0"/>
                <w:highlight w:val="none"/>
              </w:rPr>
            </w:pPr>
            <w:r>
              <w:rPr>
                <w:rFonts w:hint="eastAsia" w:ascii="宋体" w:hAnsi="宋体" w:cs="宋体"/>
                <w:color w:val="auto"/>
                <w:kern w:val="0"/>
                <w:highlight w:val="none"/>
              </w:rPr>
              <w:t>依据本协议要求，参考日常工作签到表。</w:t>
            </w:r>
          </w:p>
        </w:tc>
        <w:tc>
          <w:tcPr>
            <w:tcW w:w="680" w:type="pct"/>
            <w:tcBorders>
              <w:top w:val="nil"/>
              <w:left w:val="single" w:color="auto" w:sz="4" w:space="0"/>
              <w:bottom w:val="single" w:color="auto" w:sz="4" w:space="0"/>
              <w:right w:val="single" w:color="auto" w:sz="4" w:space="0"/>
            </w:tcBorders>
            <w:shd w:val="clear" w:color="000000" w:fill="FFFFFF"/>
            <w:vAlign w:val="center"/>
          </w:tcPr>
          <w:p w14:paraId="0962AEB3">
            <w:pPr>
              <w:pageBreakBefore w:val="0"/>
              <w:widowControl/>
              <w:kinsoku/>
              <w:wordWrap/>
              <w:overflowPunct/>
              <w:autoSpaceDE/>
              <w:autoSpaceDN/>
              <w:bidi w:val="0"/>
              <w:spacing w:beforeAutospacing="0" w:afterAutospacing="0" w:line="360" w:lineRule="auto"/>
              <w:jc w:val="center"/>
              <w:rPr>
                <w:rFonts w:hint="eastAsia" w:ascii="宋体" w:hAnsi="宋体" w:cs="宋体"/>
                <w:color w:val="auto"/>
                <w:kern w:val="0"/>
                <w:highlight w:val="none"/>
              </w:rPr>
            </w:pPr>
            <w:r>
              <w:rPr>
                <w:rFonts w:hint="eastAsia" w:ascii="宋体" w:hAnsi="宋体" w:cs="宋体"/>
                <w:color w:val="auto"/>
                <w:kern w:val="0"/>
                <w:highlight w:val="none"/>
              </w:rPr>
              <w:t>-0.5分/人次</w:t>
            </w:r>
          </w:p>
        </w:tc>
      </w:tr>
      <w:tr w14:paraId="3091C102">
        <w:tblPrEx>
          <w:tblCellMar>
            <w:top w:w="0" w:type="dxa"/>
            <w:left w:w="108" w:type="dxa"/>
            <w:bottom w:w="0" w:type="dxa"/>
            <w:right w:w="108" w:type="dxa"/>
          </w:tblCellMar>
        </w:tblPrEx>
        <w:trPr>
          <w:trHeight w:val="330" w:hRule="atLeast"/>
        </w:trPr>
        <w:tc>
          <w:tcPr>
            <w:tcW w:w="463" w:type="pct"/>
            <w:vMerge w:val="continue"/>
            <w:tcBorders>
              <w:left w:val="single" w:color="auto" w:sz="4" w:space="0"/>
              <w:right w:val="single" w:color="auto" w:sz="4" w:space="0"/>
            </w:tcBorders>
            <w:shd w:val="clear" w:color="000000" w:fill="FFFFFF"/>
            <w:vAlign w:val="center"/>
          </w:tcPr>
          <w:p w14:paraId="158D5101">
            <w:pPr>
              <w:pageBreakBefore w:val="0"/>
              <w:widowControl/>
              <w:kinsoku/>
              <w:wordWrap/>
              <w:overflowPunct/>
              <w:autoSpaceDE/>
              <w:autoSpaceDN/>
              <w:bidi w:val="0"/>
              <w:spacing w:beforeAutospacing="0" w:afterAutospacing="0" w:line="360" w:lineRule="auto"/>
              <w:jc w:val="center"/>
              <w:rPr>
                <w:rFonts w:hint="eastAsia" w:ascii="宋体" w:hAnsi="宋体" w:cs="宋体"/>
                <w:color w:val="auto"/>
                <w:kern w:val="0"/>
                <w:sz w:val="24"/>
                <w:highlight w:val="none"/>
              </w:rPr>
            </w:pPr>
          </w:p>
        </w:tc>
        <w:tc>
          <w:tcPr>
            <w:tcW w:w="455" w:type="pct"/>
            <w:tcBorders>
              <w:top w:val="nil"/>
              <w:left w:val="nil"/>
              <w:bottom w:val="single" w:color="auto" w:sz="4" w:space="0"/>
              <w:right w:val="single" w:color="auto" w:sz="4" w:space="0"/>
            </w:tcBorders>
            <w:shd w:val="clear" w:color="000000" w:fill="FFFFFF"/>
            <w:vAlign w:val="center"/>
          </w:tcPr>
          <w:p w14:paraId="0FC1683B">
            <w:pPr>
              <w:pageBreakBefore w:val="0"/>
              <w:widowControl/>
              <w:kinsoku/>
              <w:wordWrap/>
              <w:overflowPunct/>
              <w:autoSpaceDE/>
              <w:autoSpaceDN/>
              <w:bidi w:val="0"/>
              <w:spacing w:beforeAutospacing="0" w:afterAutospacing="0" w:line="360" w:lineRule="auto"/>
              <w:jc w:val="left"/>
              <w:rPr>
                <w:rFonts w:hint="eastAsia" w:ascii="宋体" w:hAnsi="宋体" w:eastAsia="宋体" w:cs="宋体"/>
                <w:color w:val="auto"/>
                <w:kern w:val="0"/>
                <w:sz w:val="24"/>
                <w:highlight w:val="none"/>
              </w:rPr>
            </w:pPr>
            <w:r>
              <w:rPr>
                <w:rFonts w:hint="eastAsia" w:ascii="宋体" w:hAnsi="宋体" w:cs="宋体"/>
                <w:color w:val="auto"/>
                <w:kern w:val="0"/>
                <w:sz w:val="24"/>
                <w:highlight w:val="none"/>
              </w:rPr>
              <w:t>重要时期人员出勤</w:t>
            </w:r>
          </w:p>
        </w:tc>
        <w:tc>
          <w:tcPr>
            <w:tcW w:w="378" w:type="pct"/>
            <w:tcBorders>
              <w:top w:val="single" w:color="auto" w:sz="4" w:space="0"/>
              <w:left w:val="nil"/>
              <w:bottom w:val="single" w:color="auto" w:sz="4" w:space="0"/>
              <w:right w:val="single" w:color="auto" w:sz="4" w:space="0"/>
            </w:tcBorders>
            <w:shd w:val="clear" w:color="000000" w:fill="FFFFFF"/>
            <w:vAlign w:val="center"/>
          </w:tcPr>
          <w:p w14:paraId="06A82EA1">
            <w:pPr>
              <w:pageBreakBefore w:val="0"/>
              <w:widowControl/>
              <w:kinsoku/>
              <w:wordWrap/>
              <w:overflowPunct/>
              <w:autoSpaceDE/>
              <w:autoSpaceDN/>
              <w:bidi w:val="0"/>
              <w:spacing w:beforeAutospacing="0" w:afterAutospacing="0" w:line="360" w:lineRule="auto"/>
              <w:jc w:val="left"/>
              <w:rPr>
                <w:rFonts w:hint="eastAsia" w:ascii="宋体" w:hAnsi="宋体" w:eastAsia="宋体" w:cs="宋体"/>
                <w:color w:val="auto"/>
                <w:kern w:val="0"/>
                <w:sz w:val="22"/>
                <w:highlight w:val="none"/>
              </w:rPr>
            </w:pPr>
            <w:r>
              <w:rPr>
                <w:rFonts w:hint="eastAsia" w:ascii="宋体" w:hAnsi="宋体" w:cs="宋体"/>
                <w:color w:val="auto"/>
                <w:kern w:val="0"/>
                <w:sz w:val="22"/>
                <w:highlight w:val="none"/>
              </w:rPr>
              <w:t>1.5</w:t>
            </w:r>
          </w:p>
        </w:tc>
        <w:tc>
          <w:tcPr>
            <w:tcW w:w="1888" w:type="pct"/>
            <w:tcBorders>
              <w:top w:val="nil"/>
              <w:left w:val="single" w:color="auto" w:sz="4" w:space="0"/>
              <w:bottom w:val="single" w:color="auto" w:sz="4" w:space="0"/>
              <w:right w:val="nil"/>
            </w:tcBorders>
            <w:shd w:val="clear" w:color="000000" w:fill="FFFFFF"/>
            <w:vAlign w:val="center"/>
          </w:tcPr>
          <w:p w14:paraId="32E3B177">
            <w:pPr>
              <w:pageBreakBefore w:val="0"/>
              <w:widowControl/>
              <w:kinsoku/>
              <w:wordWrap/>
              <w:overflowPunct/>
              <w:autoSpaceDE/>
              <w:autoSpaceDN/>
              <w:bidi w:val="0"/>
              <w:spacing w:beforeAutospacing="0" w:afterAutospacing="0" w:line="360" w:lineRule="auto"/>
              <w:jc w:val="left"/>
              <w:rPr>
                <w:rFonts w:hint="eastAsia" w:ascii="宋体" w:hAnsi="宋体" w:eastAsia="宋体" w:cs="宋体"/>
                <w:color w:val="auto"/>
                <w:kern w:val="0"/>
                <w:sz w:val="22"/>
                <w:highlight w:val="none"/>
              </w:rPr>
            </w:pPr>
            <w:r>
              <w:rPr>
                <w:rFonts w:hint="eastAsia" w:ascii="宋体" w:hAnsi="宋体" w:cs="宋体"/>
                <w:color w:val="auto"/>
                <w:kern w:val="0"/>
                <w:sz w:val="22"/>
                <w:highlight w:val="none"/>
              </w:rPr>
              <w:t>重要保障时期，额外增加人员提供招标范围系统安全</w:t>
            </w:r>
            <w:r>
              <w:rPr>
                <w:rFonts w:ascii="宋体" w:hAnsi="宋体" w:cs="宋体"/>
                <w:color w:val="auto"/>
                <w:kern w:val="0"/>
                <w:sz w:val="22"/>
                <w:highlight w:val="none"/>
              </w:rPr>
              <w:t>保障</w:t>
            </w:r>
            <w:r>
              <w:rPr>
                <w:rFonts w:hint="eastAsia" w:ascii="宋体" w:hAnsi="宋体" w:cs="宋体"/>
                <w:color w:val="auto"/>
                <w:kern w:val="0"/>
                <w:sz w:val="22"/>
                <w:highlight w:val="none"/>
              </w:rPr>
              <w:t>评估，满足要求的，按加分标准</w:t>
            </w:r>
          </w:p>
        </w:tc>
        <w:tc>
          <w:tcPr>
            <w:tcW w:w="1134" w:type="pct"/>
            <w:tcBorders>
              <w:top w:val="nil"/>
              <w:left w:val="single" w:color="auto" w:sz="4" w:space="0"/>
              <w:bottom w:val="single" w:color="auto" w:sz="4" w:space="0"/>
              <w:right w:val="single" w:color="auto" w:sz="4" w:space="0"/>
            </w:tcBorders>
            <w:shd w:val="clear" w:color="000000" w:fill="FFFFFF"/>
          </w:tcPr>
          <w:p w14:paraId="3E93F17B">
            <w:pPr>
              <w:pageBreakBefore w:val="0"/>
              <w:widowControl/>
              <w:kinsoku/>
              <w:wordWrap/>
              <w:overflowPunct/>
              <w:autoSpaceDE/>
              <w:autoSpaceDN/>
              <w:bidi w:val="0"/>
              <w:spacing w:beforeAutospacing="0" w:afterAutospacing="0" w:line="360" w:lineRule="auto"/>
              <w:jc w:val="left"/>
              <w:rPr>
                <w:rFonts w:hint="eastAsia" w:ascii="宋体" w:hAnsi="宋体" w:cs="宋体"/>
                <w:color w:val="auto"/>
                <w:kern w:val="0"/>
                <w:highlight w:val="none"/>
              </w:rPr>
            </w:pPr>
          </w:p>
        </w:tc>
        <w:tc>
          <w:tcPr>
            <w:tcW w:w="680" w:type="pct"/>
            <w:tcBorders>
              <w:top w:val="nil"/>
              <w:left w:val="single" w:color="auto" w:sz="4" w:space="0"/>
              <w:bottom w:val="single" w:color="auto" w:sz="4" w:space="0"/>
              <w:right w:val="single" w:color="auto" w:sz="4" w:space="0"/>
            </w:tcBorders>
            <w:shd w:val="clear" w:color="000000" w:fill="FFFFFF"/>
            <w:vAlign w:val="center"/>
          </w:tcPr>
          <w:p w14:paraId="0AD063F4">
            <w:pPr>
              <w:pageBreakBefore w:val="0"/>
              <w:widowControl/>
              <w:kinsoku/>
              <w:wordWrap/>
              <w:overflowPunct/>
              <w:autoSpaceDE/>
              <w:autoSpaceDN/>
              <w:bidi w:val="0"/>
              <w:spacing w:beforeAutospacing="0" w:afterAutospacing="0" w:line="360" w:lineRule="auto"/>
              <w:jc w:val="center"/>
              <w:rPr>
                <w:rFonts w:hint="eastAsia" w:ascii="宋体" w:hAnsi="宋体" w:cs="宋体"/>
                <w:color w:val="auto"/>
                <w:kern w:val="0"/>
                <w:highlight w:val="none"/>
              </w:rPr>
            </w:pPr>
            <w:r>
              <w:rPr>
                <w:rFonts w:ascii="宋体" w:hAnsi="宋体" w:cs="宋体"/>
                <w:color w:val="auto"/>
                <w:kern w:val="0"/>
                <w:highlight w:val="none"/>
              </w:rPr>
              <w:t>0.5分/人天</w:t>
            </w:r>
            <w:r>
              <w:rPr>
                <w:rFonts w:hint="eastAsia" w:ascii="宋体" w:hAnsi="宋体" w:cs="宋体"/>
                <w:color w:val="auto"/>
                <w:kern w:val="0"/>
                <w:highlight w:val="none"/>
              </w:rPr>
              <w:t>10分/次</w:t>
            </w:r>
          </w:p>
        </w:tc>
      </w:tr>
      <w:tr w14:paraId="327C2C51">
        <w:tblPrEx>
          <w:tblCellMar>
            <w:top w:w="0" w:type="dxa"/>
            <w:left w:w="108" w:type="dxa"/>
            <w:bottom w:w="0" w:type="dxa"/>
            <w:right w:w="108" w:type="dxa"/>
          </w:tblCellMar>
        </w:tblPrEx>
        <w:trPr>
          <w:trHeight w:val="330" w:hRule="atLeast"/>
        </w:trPr>
        <w:tc>
          <w:tcPr>
            <w:tcW w:w="463" w:type="pct"/>
            <w:vMerge w:val="restart"/>
            <w:tcBorders>
              <w:top w:val="nil"/>
              <w:left w:val="single" w:color="auto" w:sz="4" w:space="0"/>
              <w:right w:val="single" w:color="auto" w:sz="4" w:space="0"/>
            </w:tcBorders>
            <w:shd w:val="clear" w:color="000000" w:fill="FFFFFF"/>
            <w:vAlign w:val="center"/>
          </w:tcPr>
          <w:p w14:paraId="47347398">
            <w:pPr>
              <w:pageBreakBefore w:val="0"/>
              <w:widowControl/>
              <w:kinsoku/>
              <w:wordWrap/>
              <w:overflowPunct/>
              <w:autoSpaceDE/>
              <w:autoSpaceDN/>
              <w:bidi w:val="0"/>
              <w:spacing w:beforeAutospacing="0" w:afterAutospacing="0"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进度及交付物管控</w:t>
            </w:r>
          </w:p>
          <w:p w14:paraId="23FB25FD">
            <w:pPr>
              <w:pageBreakBefore w:val="0"/>
              <w:kinsoku/>
              <w:wordWrap/>
              <w:overflowPunct/>
              <w:autoSpaceDE/>
              <w:autoSpaceDN/>
              <w:bidi w:val="0"/>
              <w:spacing w:beforeAutospacing="0" w:afterAutospacing="0" w:line="360" w:lineRule="auto"/>
              <w:jc w:val="center"/>
              <w:rPr>
                <w:rFonts w:hint="eastAsia" w:ascii="宋体" w:hAnsi="宋体" w:cs="宋体"/>
                <w:color w:val="auto"/>
                <w:kern w:val="0"/>
                <w:sz w:val="24"/>
                <w:highlight w:val="none"/>
              </w:rPr>
            </w:pPr>
          </w:p>
        </w:tc>
        <w:tc>
          <w:tcPr>
            <w:tcW w:w="455" w:type="pct"/>
            <w:tcBorders>
              <w:top w:val="nil"/>
              <w:left w:val="nil"/>
              <w:bottom w:val="single" w:color="auto" w:sz="4" w:space="0"/>
              <w:right w:val="single" w:color="auto" w:sz="4" w:space="0"/>
            </w:tcBorders>
            <w:shd w:val="clear" w:color="000000" w:fill="FFFFFF"/>
            <w:vAlign w:val="center"/>
          </w:tcPr>
          <w:p w14:paraId="0F31D3F9">
            <w:pPr>
              <w:pageBreakBefore w:val="0"/>
              <w:widowControl/>
              <w:kinsoku/>
              <w:wordWrap/>
              <w:overflowPunct/>
              <w:autoSpaceDE/>
              <w:autoSpaceDN/>
              <w:bidi w:val="0"/>
              <w:spacing w:beforeAutospacing="0" w:afterAutospacing="0" w:line="360" w:lineRule="auto"/>
              <w:jc w:val="left"/>
              <w:rPr>
                <w:rFonts w:hint="eastAsia" w:ascii="宋体" w:hAnsi="宋体" w:cs="宋体"/>
                <w:color w:val="auto"/>
                <w:kern w:val="0"/>
                <w:sz w:val="24"/>
                <w:highlight w:val="none"/>
              </w:rPr>
            </w:pPr>
            <w:r>
              <w:rPr>
                <w:rFonts w:hint="eastAsia" w:ascii="宋体" w:hAnsi="宋体" w:cs="宋体"/>
                <w:color w:val="auto"/>
                <w:kern w:val="0"/>
                <w:sz w:val="24"/>
                <w:highlight w:val="none"/>
              </w:rPr>
              <w:t>资金支付材料提交</w:t>
            </w:r>
          </w:p>
        </w:tc>
        <w:tc>
          <w:tcPr>
            <w:tcW w:w="378" w:type="pct"/>
            <w:tcBorders>
              <w:top w:val="single" w:color="auto" w:sz="4" w:space="0"/>
              <w:left w:val="nil"/>
              <w:bottom w:val="single" w:color="auto" w:sz="4" w:space="0"/>
              <w:right w:val="single" w:color="auto" w:sz="4" w:space="0"/>
            </w:tcBorders>
            <w:shd w:val="clear" w:color="000000" w:fill="FFFFFF"/>
            <w:vAlign w:val="center"/>
          </w:tcPr>
          <w:p w14:paraId="348150B7">
            <w:pPr>
              <w:pageBreakBefore w:val="0"/>
              <w:widowControl/>
              <w:kinsoku/>
              <w:wordWrap/>
              <w:overflowPunct/>
              <w:autoSpaceDE/>
              <w:autoSpaceDN/>
              <w:bidi w:val="0"/>
              <w:spacing w:beforeAutospacing="0" w:afterAutospacing="0" w:line="360" w:lineRule="auto"/>
              <w:jc w:val="left"/>
              <w:rPr>
                <w:rFonts w:hint="eastAsia" w:ascii="宋体" w:hAnsi="宋体" w:cs="宋体"/>
                <w:color w:val="auto"/>
                <w:kern w:val="0"/>
                <w:sz w:val="22"/>
                <w:highlight w:val="none"/>
              </w:rPr>
            </w:pPr>
            <w:r>
              <w:rPr>
                <w:rFonts w:hint="eastAsia" w:ascii="宋体" w:hAnsi="宋体" w:cs="宋体"/>
                <w:color w:val="auto"/>
                <w:kern w:val="0"/>
                <w:sz w:val="22"/>
                <w:highlight w:val="none"/>
              </w:rPr>
              <w:t>2.1</w:t>
            </w:r>
          </w:p>
        </w:tc>
        <w:tc>
          <w:tcPr>
            <w:tcW w:w="1888" w:type="pct"/>
            <w:tcBorders>
              <w:top w:val="nil"/>
              <w:left w:val="single" w:color="auto" w:sz="4" w:space="0"/>
              <w:bottom w:val="single" w:color="auto" w:sz="4" w:space="0"/>
              <w:right w:val="nil"/>
            </w:tcBorders>
            <w:shd w:val="clear" w:color="000000" w:fill="FFFFFF"/>
            <w:vAlign w:val="center"/>
          </w:tcPr>
          <w:p w14:paraId="365999D1">
            <w:pPr>
              <w:pageBreakBefore w:val="0"/>
              <w:widowControl/>
              <w:kinsoku/>
              <w:wordWrap/>
              <w:overflowPunct/>
              <w:autoSpaceDE/>
              <w:autoSpaceDN/>
              <w:bidi w:val="0"/>
              <w:spacing w:beforeAutospacing="0" w:afterAutospacing="0" w:line="360" w:lineRule="auto"/>
              <w:jc w:val="left"/>
              <w:rPr>
                <w:rFonts w:hint="eastAsia" w:ascii="宋体" w:hAnsi="宋体" w:cs="宋体"/>
                <w:color w:val="auto"/>
                <w:kern w:val="0"/>
                <w:sz w:val="22"/>
                <w:highlight w:val="none"/>
              </w:rPr>
            </w:pPr>
            <w:r>
              <w:rPr>
                <w:rFonts w:hint="eastAsia" w:ascii="宋体" w:hAnsi="宋体" w:cs="宋体"/>
                <w:color w:val="auto"/>
                <w:kern w:val="0"/>
                <w:sz w:val="22"/>
                <w:highlight w:val="none"/>
              </w:rPr>
              <w:t>对于费用性支付，在支付当月20日前必须将该阶段支付相关凭证提交甲方；对于资本性支付，在支付前一个月20日前必须将该阶段支付相关凭证提交甲方。出现</w:t>
            </w:r>
            <w:r>
              <w:rPr>
                <w:rFonts w:ascii="宋体" w:hAnsi="宋体" w:cs="宋体"/>
                <w:color w:val="auto"/>
                <w:kern w:val="0"/>
                <w:sz w:val="22"/>
                <w:highlight w:val="none"/>
              </w:rPr>
              <w:t>不及时提交的情况，按扣分标准进行扣分。</w:t>
            </w:r>
          </w:p>
        </w:tc>
        <w:tc>
          <w:tcPr>
            <w:tcW w:w="1134" w:type="pct"/>
            <w:tcBorders>
              <w:top w:val="nil"/>
              <w:left w:val="single" w:color="auto" w:sz="4" w:space="0"/>
              <w:bottom w:val="single" w:color="auto" w:sz="4" w:space="0"/>
              <w:right w:val="single" w:color="auto" w:sz="4" w:space="0"/>
            </w:tcBorders>
            <w:shd w:val="clear" w:color="000000" w:fill="FFFFFF"/>
          </w:tcPr>
          <w:p w14:paraId="467CDD1F">
            <w:pPr>
              <w:pageBreakBefore w:val="0"/>
              <w:widowControl/>
              <w:kinsoku/>
              <w:wordWrap/>
              <w:overflowPunct/>
              <w:autoSpaceDE/>
              <w:autoSpaceDN/>
              <w:bidi w:val="0"/>
              <w:spacing w:beforeAutospacing="0" w:afterAutospacing="0" w:line="360" w:lineRule="auto"/>
              <w:jc w:val="left"/>
              <w:rPr>
                <w:rFonts w:hint="eastAsia" w:ascii="宋体" w:hAnsi="宋体" w:cs="宋体"/>
                <w:color w:val="auto"/>
                <w:kern w:val="0"/>
                <w:highlight w:val="none"/>
              </w:rPr>
            </w:pPr>
            <w:r>
              <w:rPr>
                <w:rFonts w:hint="eastAsia" w:ascii="宋体" w:hAnsi="宋体" w:cs="宋体"/>
                <w:color w:val="auto"/>
                <w:kern w:val="0"/>
                <w:sz w:val="22"/>
                <w:highlight w:val="none"/>
              </w:rPr>
              <w:t>甲方出具整改通知书，且乙方没有实质性应答。</w:t>
            </w:r>
          </w:p>
        </w:tc>
        <w:tc>
          <w:tcPr>
            <w:tcW w:w="680" w:type="pct"/>
            <w:tcBorders>
              <w:top w:val="nil"/>
              <w:left w:val="single" w:color="auto" w:sz="4" w:space="0"/>
              <w:bottom w:val="single" w:color="auto" w:sz="4" w:space="0"/>
              <w:right w:val="single" w:color="auto" w:sz="4" w:space="0"/>
            </w:tcBorders>
            <w:shd w:val="clear" w:color="000000" w:fill="FFFFFF"/>
            <w:vAlign w:val="center"/>
          </w:tcPr>
          <w:p w14:paraId="64F2F19A">
            <w:pPr>
              <w:pageBreakBefore w:val="0"/>
              <w:widowControl/>
              <w:kinsoku/>
              <w:wordWrap/>
              <w:overflowPunct/>
              <w:autoSpaceDE/>
              <w:autoSpaceDN/>
              <w:bidi w:val="0"/>
              <w:spacing w:beforeAutospacing="0" w:afterAutospacing="0" w:line="360" w:lineRule="auto"/>
              <w:jc w:val="center"/>
              <w:rPr>
                <w:rFonts w:hint="eastAsia" w:ascii="宋体" w:hAnsi="宋体" w:cs="宋体"/>
                <w:color w:val="auto"/>
                <w:kern w:val="0"/>
                <w:highlight w:val="none"/>
              </w:rPr>
            </w:pPr>
            <w:r>
              <w:rPr>
                <w:rFonts w:hint="eastAsia" w:ascii="宋体" w:hAnsi="宋体" w:cs="宋体"/>
                <w:color w:val="auto"/>
                <w:kern w:val="0"/>
                <w:highlight w:val="none"/>
              </w:rPr>
              <w:t>-2分/次</w:t>
            </w:r>
          </w:p>
        </w:tc>
      </w:tr>
      <w:tr w14:paraId="735B1BF5">
        <w:tblPrEx>
          <w:tblCellMar>
            <w:top w:w="0" w:type="dxa"/>
            <w:left w:w="108" w:type="dxa"/>
            <w:bottom w:w="0" w:type="dxa"/>
            <w:right w:w="108" w:type="dxa"/>
          </w:tblCellMar>
        </w:tblPrEx>
        <w:trPr>
          <w:trHeight w:val="660" w:hRule="atLeast"/>
        </w:trPr>
        <w:tc>
          <w:tcPr>
            <w:tcW w:w="463" w:type="pct"/>
            <w:vMerge w:val="continue"/>
            <w:tcBorders>
              <w:left w:val="single" w:color="auto" w:sz="4" w:space="0"/>
              <w:right w:val="single" w:color="auto" w:sz="4" w:space="0"/>
            </w:tcBorders>
            <w:shd w:val="clear" w:color="000000" w:fill="FFFFFF"/>
            <w:vAlign w:val="center"/>
          </w:tcPr>
          <w:p w14:paraId="706DB56F">
            <w:pPr>
              <w:pageBreakBefore w:val="0"/>
              <w:widowControl/>
              <w:kinsoku/>
              <w:wordWrap/>
              <w:overflowPunct/>
              <w:autoSpaceDE/>
              <w:autoSpaceDN/>
              <w:bidi w:val="0"/>
              <w:spacing w:beforeAutospacing="0" w:afterAutospacing="0" w:line="360" w:lineRule="auto"/>
              <w:jc w:val="center"/>
              <w:rPr>
                <w:rFonts w:hint="eastAsia" w:ascii="宋体" w:hAnsi="宋体" w:cs="宋体"/>
                <w:color w:val="auto"/>
                <w:kern w:val="0"/>
                <w:sz w:val="24"/>
                <w:highlight w:val="none"/>
              </w:rPr>
            </w:pPr>
          </w:p>
        </w:tc>
        <w:tc>
          <w:tcPr>
            <w:tcW w:w="455" w:type="pct"/>
            <w:tcBorders>
              <w:top w:val="nil"/>
              <w:left w:val="nil"/>
              <w:bottom w:val="single" w:color="auto" w:sz="4" w:space="0"/>
              <w:right w:val="single" w:color="auto" w:sz="4" w:space="0"/>
            </w:tcBorders>
            <w:shd w:val="clear" w:color="000000" w:fill="FFFFFF"/>
            <w:vAlign w:val="center"/>
          </w:tcPr>
          <w:p w14:paraId="63E515B0">
            <w:pPr>
              <w:pageBreakBefore w:val="0"/>
              <w:widowControl/>
              <w:kinsoku/>
              <w:wordWrap/>
              <w:overflowPunct/>
              <w:autoSpaceDE/>
              <w:autoSpaceDN/>
              <w:bidi w:val="0"/>
              <w:spacing w:beforeAutospacing="0" w:afterAutospacing="0" w:line="360" w:lineRule="auto"/>
              <w:jc w:val="left"/>
              <w:rPr>
                <w:rFonts w:hint="eastAsia" w:ascii="宋体" w:hAnsi="宋体" w:cs="宋体"/>
                <w:color w:val="auto"/>
                <w:kern w:val="0"/>
                <w:sz w:val="24"/>
                <w:highlight w:val="none"/>
              </w:rPr>
            </w:pPr>
            <w:r>
              <w:rPr>
                <w:rFonts w:hint="eastAsia" w:ascii="宋体" w:hAnsi="宋体" w:cs="宋体"/>
                <w:color w:val="auto"/>
                <w:kern w:val="0"/>
                <w:sz w:val="24"/>
                <w:highlight w:val="none"/>
              </w:rPr>
              <w:t>实施进度与交付物相符</w:t>
            </w:r>
          </w:p>
        </w:tc>
        <w:tc>
          <w:tcPr>
            <w:tcW w:w="378" w:type="pct"/>
            <w:tcBorders>
              <w:top w:val="single" w:color="auto" w:sz="4" w:space="0"/>
              <w:left w:val="nil"/>
              <w:bottom w:val="single" w:color="auto" w:sz="4" w:space="0"/>
              <w:right w:val="single" w:color="auto" w:sz="4" w:space="0"/>
            </w:tcBorders>
            <w:shd w:val="clear" w:color="000000" w:fill="FFFFFF"/>
            <w:vAlign w:val="center"/>
          </w:tcPr>
          <w:p w14:paraId="31C9871F">
            <w:pPr>
              <w:pageBreakBefore w:val="0"/>
              <w:widowControl/>
              <w:kinsoku/>
              <w:wordWrap/>
              <w:overflowPunct/>
              <w:autoSpaceDE/>
              <w:autoSpaceDN/>
              <w:bidi w:val="0"/>
              <w:spacing w:beforeAutospacing="0" w:afterAutospacing="0" w:line="360" w:lineRule="auto"/>
              <w:jc w:val="left"/>
              <w:rPr>
                <w:rFonts w:hint="eastAsia" w:ascii="宋体" w:hAnsi="宋体" w:cs="宋体"/>
                <w:color w:val="auto"/>
                <w:kern w:val="0"/>
                <w:sz w:val="22"/>
                <w:highlight w:val="none"/>
              </w:rPr>
            </w:pPr>
            <w:r>
              <w:rPr>
                <w:rFonts w:hint="eastAsia" w:ascii="宋体" w:hAnsi="宋体" w:cs="宋体"/>
                <w:color w:val="auto"/>
                <w:kern w:val="0"/>
                <w:sz w:val="22"/>
                <w:highlight w:val="none"/>
              </w:rPr>
              <w:t>2.2</w:t>
            </w:r>
          </w:p>
        </w:tc>
        <w:tc>
          <w:tcPr>
            <w:tcW w:w="1888" w:type="pct"/>
            <w:tcBorders>
              <w:top w:val="nil"/>
              <w:left w:val="single" w:color="auto" w:sz="4" w:space="0"/>
              <w:bottom w:val="single" w:color="auto" w:sz="4" w:space="0"/>
              <w:right w:val="nil"/>
            </w:tcBorders>
            <w:shd w:val="clear" w:color="000000" w:fill="FFFFFF"/>
            <w:vAlign w:val="center"/>
          </w:tcPr>
          <w:p w14:paraId="13BCDD7C">
            <w:pPr>
              <w:pageBreakBefore w:val="0"/>
              <w:widowControl/>
              <w:kinsoku/>
              <w:wordWrap/>
              <w:overflowPunct/>
              <w:autoSpaceDE/>
              <w:autoSpaceDN/>
              <w:bidi w:val="0"/>
              <w:spacing w:beforeAutospacing="0" w:afterAutospacing="0" w:line="360" w:lineRule="auto"/>
              <w:jc w:val="left"/>
              <w:rPr>
                <w:rFonts w:hint="eastAsia" w:ascii="宋体" w:hAnsi="宋体" w:cs="宋体"/>
                <w:color w:val="auto"/>
                <w:kern w:val="0"/>
                <w:sz w:val="22"/>
                <w:highlight w:val="none"/>
              </w:rPr>
            </w:pPr>
            <w:r>
              <w:rPr>
                <w:rFonts w:hint="eastAsia" w:ascii="宋体" w:hAnsi="宋体" w:cs="宋体"/>
                <w:color w:val="auto"/>
                <w:kern w:val="0"/>
                <w:sz w:val="22"/>
                <w:highlight w:val="none"/>
              </w:rPr>
              <w:t>按项目里程碑计划提交职责范围内符合甲方质量要求的交付物，乙方应每月提供入网安全评估月报，《入网安全评估报告》。出现提交不及时或者</w:t>
            </w:r>
            <w:r>
              <w:rPr>
                <w:rFonts w:ascii="宋体" w:hAnsi="宋体" w:cs="宋体"/>
                <w:color w:val="auto"/>
                <w:kern w:val="0"/>
                <w:sz w:val="22"/>
                <w:highlight w:val="none"/>
              </w:rPr>
              <w:t>交付物</w:t>
            </w:r>
            <w:r>
              <w:rPr>
                <w:rFonts w:hint="eastAsia" w:ascii="宋体" w:hAnsi="宋体" w:cs="宋体"/>
                <w:color w:val="auto"/>
                <w:kern w:val="0"/>
                <w:sz w:val="22"/>
                <w:highlight w:val="none"/>
              </w:rPr>
              <w:t>质量问题</w:t>
            </w:r>
            <w:r>
              <w:rPr>
                <w:rFonts w:ascii="宋体" w:hAnsi="宋体" w:cs="宋体"/>
                <w:color w:val="auto"/>
                <w:kern w:val="0"/>
                <w:sz w:val="22"/>
                <w:highlight w:val="none"/>
              </w:rPr>
              <w:t>，按扣分标准进行扣分。</w:t>
            </w:r>
          </w:p>
        </w:tc>
        <w:tc>
          <w:tcPr>
            <w:tcW w:w="1134" w:type="pct"/>
            <w:tcBorders>
              <w:top w:val="nil"/>
              <w:left w:val="single" w:color="auto" w:sz="4" w:space="0"/>
              <w:bottom w:val="single" w:color="auto" w:sz="4" w:space="0"/>
              <w:right w:val="single" w:color="auto" w:sz="4" w:space="0"/>
            </w:tcBorders>
            <w:shd w:val="clear" w:color="000000" w:fill="FFFFFF"/>
          </w:tcPr>
          <w:p w14:paraId="5E659296">
            <w:pPr>
              <w:pageBreakBefore w:val="0"/>
              <w:widowControl/>
              <w:kinsoku/>
              <w:wordWrap/>
              <w:overflowPunct/>
              <w:autoSpaceDE/>
              <w:autoSpaceDN/>
              <w:bidi w:val="0"/>
              <w:spacing w:beforeAutospacing="0" w:afterAutospacing="0" w:line="360" w:lineRule="auto"/>
              <w:jc w:val="left"/>
              <w:rPr>
                <w:rFonts w:hint="eastAsia" w:ascii="宋体" w:hAnsi="宋体" w:cs="宋体"/>
                <w:color w:val="auto"/>
                <w:kern w:val="0"/>
                <w:highlight w:val="none"/>
              </w:rPr>
            </w:pPr>
            <w:r>
              <w:rPr>
                <w:rFonts w:hint="eastAsia" w:ascii="宋体" w:hAnsi="宋体" w:cs="宋体"/>
                <w:color w:val="auto"/>
                <w:kern w:val="0"/>
                <w:sz w:val="22"/>
                <w:highlight w:val="none"/>
              </w:rPr>
              <w:t>甲方出具整改通知书，且乙方没有实质性应答。</w:t>
            </w:r>
          </w:p>
        </w:tc>
        <w:tc>
          <w:tcPr>
            <w:tcW w:w="680" w:type="pct"/>
            <w:tcBorders>
              <w:top w:val="nil"/>
              <w:left w:val="single" w:color="auto" w:sz="4" w:space="0"/>
              <w:bottom w:val="single" w:color="auto" w:sz="4" w:space="0"/>
              <w:right w:val="single" w:color="auto" w:sz="4" w:space="0"/>
            </w:tcBorders>
            <w:shd w:val="clear" w:color="000000" w:fill="FFFFFF"/>
            <w:vAlign w:val="center"/>
          </w:tcPr>
          <w:p w14:paraId="5BF89166">
            <w:pPr>
              <w:pageBreakBefore w:val="0"/>
              <w:widowControl/>
              <w:kinsoku/>
              <w:wordWrap/>
              <w:overflowPunct/>
              <w:autoSpaceDE/>
              <w:autoSpaceDN/>
              <w:bidi w:val="0"/>
              <w:spacing w:beforeAutospacing="0" w:afterAutospacing="0" w:line="360" w:lineRule="auto"/>
              <w:jc w:val="center"/>
              <w:rPr>
                <w:rFonts w:hint="eastAsia" w:ascii="宋体" w:hAnsi="宋体" w:cs="宋体"/>
                <w:color w:val="auto"/>
                <w:kern w:val="0"/>
                <w:highlight w:val="none"/>
              </w:rPr>
            </w:pPr>
            <w:r>
              <w:rPr>
                <w:rFonts w:hint="eastAsia" w:ascii="宋体" w:hAnsi="宋体" w:cs="宋体"/>
                <w:color w:val="auto"/>
                <w:kern w:val="0"/>
                <w:highlight w:val="none"/>
              </w:rPr>
              <w:t>-2分/份</w:t>
            </w:r>
          </w:p>
        </w:tc>
      </w:tr>
      <w:tr w14:paraId="01A7C87C">
        <w:tblPrEx>
          <w:tblCellMar>
            <w:top w:w="0" w:type="dxa"/>
            <w:left w:w="108" w:type="dxa"/>
            <w:bottom w:w="0" w:type="dxa"/>
            <w:right w:w="108" w:type="dxa"/>
          </w:tblCellMar>
        </w:tblPrEx>
        <w:trPr>
          <w:trHeight w:val="330" w:hRule="atLeast"/>
        </w:trPr>
        <w:tc>
          <w:tcPr>
            <w:tcW w:w="463" w:type="pct"/>
            <w:vMerge w:val="continue"/>
            <w:tcBorders>
              <w:left w:val="single" w:color="auto" w:sz="4" w:space="0"/>
              <w:right w:val="single" w:color="auto" w:sz="4" w:space="0"/>
            </w:tcBorders>
            <w:vAlign w:val="center"/>
          </w:tcPr>
          <w:p w14:paraId="5E71093E">
            <w:pPr>
              <w:pageBreakBefore w:val="0"/>
              <w:widowControl/>
              <w:kinsoku/>
              <w:wordWrap/>
              <w:overflowPunct/>
              <w:autoSpaceDE/>
              <w:autoSpaceDN/>
              <w:bidi w:val="0"/>
              <w:spacing w:beforeAutospacing="0" w:afterAutospacing="0" w:line="360" w:lineRule="auto"/>
              <w:jc w:val="left"/>
              <w:rPr>
                <w:rFonts w:hint="eastAsia" w:ascii="宋体" w:hAnsi="宋体" w:cs="宋体"/>
                <w:color w:val="auto"/>
                <w:kern w:val="0"/>
                <w:sz w:val="24"/>
                <w:highlight w:val="none"/>
              </w:rPr>
            </w:pPr>
          </w:p>
        </w:tc>
        <w:tc>
          <w:tcPr>
            <w:tcW w:w="455" w:type="pct"/>
            <w:tcBorders>
              <w:top w:val="nil"/>
              <w:left w:val="nil"/>
              <w:bottom w:val="single" w:color="auto" w:sz="4" w:space="0"/>
              <w:right w:val="single" w:color="auto" w:sz="4" w:space="0"/>
            </w:tcBorders>
            <w:shd w:val="clear" w:color="000000" w:fill="FFFFFF"/>
            <w:vAlign w:val="center"/>
          </w:tcPr>
          <w:p w14:paraId="3D1631BB">
            <w:pPr>
              <w:pageBreakBefore w:val="0"/>
              <w:widowControl/>
              <w:kinsoku/>
              <w:wordWrap/>
              <w:overflowPunct/>
              <w:autoSpaceDE/>
              <w:autoSpaceDN/>
              <w:bidi w:val="0"/>
              <w:spacing w:beforeAutospacing="0" w:afterAutospacing="0" w:line="360" w:lineRule="auto"/>
              <w:jc w:val="left"/>
              <w:rPr>
                <w:rFonts w:hint="eastAsia" w:ascii="宋体" w:hAnsi="宋体" w:cs="宋体"/>
                <w:color w:val="auto"/>
                <w:kern w:val="0"/>
                <w:sz w:val="24"/>
                <w:highlight w:val="none"/>
              </w:rPr>
            </w:pPr>
            <w:r>
              <w:rPr>
                <w:rFonts w:hint="eastAsia" w:ascii="宋体" w:hAnsi="宋体" w:cs="宋体"/>
                <w:color w:val="auto"/>
                <w:kern w:val="0"/>
                <w:sz w:val="24"/>
                <w:highlight w:val="none"/>
              </w:rPr>
              <w:t>计划偏差</w:t>
            </w:r>
          </w:p>
        </w:tc>
        <w:tc>
          <w:tcPr>
            <w:tcW w:w="378" w:type="pct"/>
            <w:tcBorders>
              <w:top w:val="single" w:color="auto" w:sz="4" w:space="0"/>
              <w:left w:val="nil"/>
              <w:bottom w:val="single" w:color="auto" w:sz="4" w:space="0"/>
              <w:right w:val="single" w:color="auto" w:sz="4" w:space="0"/>
            </w:tcBorders>
            <w:shd w:val="clear" w:color="000000" w:fill="FFFFFF"/>
            <w:vAlign w:val="center"/>
          </w:tcPr>
          <w:p w14:paraId="7AB1BBED">
            <w:pPr>
              <w:pageBreakBefore w:val="0"/>
              <w:widowControl/>
              <w:kinsoku/>
              <w:wordWrap/>
              <w:overflowPunct/>
              <w:autoSpaceDE/>
              <w:autoSpaceDN/>
              <w:bidi w:val="0"/>
              <w:spacing w:beforeAutospacing="0" w:afterAutospacing="0" w:line="360" w:lineRule="auto"/>
              <w:jc w:val="left"/>
              <w:rPr>
                <w:rFonts w:hint="eastAsia" w:ascii="宋体" w:hAnsi="宋体" w:cs="宋体"/>
                <w:color w:val="auto"/>
                <w:kern w:val="0"/>
                <w:sz w:val="22"/>
                <w:highlight w:val="none"/>
              </w:rPr>
            </w:pPr>
            <w:r>
              <w:rPr>
                <w:rFonts w:hint="eastAsia" w:ascii="宋体" w:hAnsi="宋体" w:cs="宋体"/>
                <w:color w:val="auto"/>
                <w:kern w:val="0"/>
                <w:sz w:val="22"/>
                <w:highlight w:val="none"/>
              </w:rPr>
              <w:t>2.3</w:t>
            </w:r>
          </w:p>
        </w:tc>
        <w:tc>
          <w:tcPr>
            <w:tcW w:w="1888" w:type="pct"/>
            <w:tcBorders>
              <w:top w:val="nil"/>
              <w:left w:val="single" w:color="auto" w:sz="4" w:space="0"/>
              <w:bottom w:val="single" w:color="auto" w:sz="4" w:space="0"/>
              <w:right w:val="nil"/>
            </w:tcBorders>
            <w:shd w:val="clear" w:color="000000" w:fill="FFFFFF"/>
            <w:vAlign w:val="center"/>
          </w:tcPr>
          <w:p w14:paraId="1A4405A4">
            <w:pPr>
              <w:pageBreakBefore w:val="0"/>
              <w:widowControl/>
              <w:kinsoku/>
              <w:wordWrap/>
              <w:overflowPunct/>
              <w:autoSpaceDE/>
              <w:autoSpaceDN/>
              <w:bidi w:val="0"/>
              <w:spacing w:beforeAutospacing="0" w:afterAutospacing="0" w:line="360" w:lineRule="auto"/>
              <w:jc w:val="left"/>
              <w:rPr>
                <w:rFonts w:hint="eastAsia" w:ascii="宋体" w:hAnsi="宋体" w:eastAsia="宋体" w:cs="宋体"/>
                <w:color w:val="auto"/>
                <w:kern w:val="0"/>
                <w:sz w:val="22"/>
                <w:highlight w:val="none"/>
              </w:rPr>
            </w:pPr>
            <w:r>
              <w:rPr>
                <w:rFonts w:hint="eastAsia" w:ascii="宋体" w:hAnsi="宋体" w:cs="宋体"/>
                <w:color w:val="auto"/>
                <w:kern w:val="0"/>
                <w:sz w:val="22"/>
                <w:highlight w:val="none"/>
              </w:rPr>
              <w:t>由于乙方责任导致项目里程碑计划延迟，提交入网安评申请后未及时开展入网安全测评工作，</w:t>
            </w:r>
            <w:r>
              <w:rPr>
                <w:rFonts w:ascii="宋体" w:hAnsi="宋体" w:cs="宋体"/>
                <w:color w:val="auto"/>
                <w:kern w:val="0"/>
                <w:sz w:val="22"/>
                <w:highlight w:val="none"/>
              </w:rPr>
              <w:t>按扣分标准进行扣分。</w:t>
            </w:r>
          </w:p>
        </w:tc>
        <w:tc>
          <w:tcPr>
            <w:tcW w:w="1134" w:type="pct"/>
            <w:tcBorders>
              <w:top w:val="nil"/>
              <w:left w:val="single" w:color="auto" w:sz="4" w:space="0"/>
              <w:bottom w:val="single" w:color="auto" w:sz="4" w:space="0"/>
              <w:right w:val="single" w:color="auto" w:sz="4" w:space="0"/>
            </w:tcBorders>
            <w:shd w:val="clear" w:color="000000" w:fill="FFFFFF"/>
          </w:tcPr>
          <w:p w14:paraId="2CEADBD4">
            <w:pPr>
              <w:pageBreakBefore w:val="0"/>
              <w:widowControl/>
              <w:kinsoku/>
              <w:wordWrap/>
              <w:overflowPunct/>
              <w:autoSpaceDE/>
              <w:autoSpaceDN/>
              <w:bidi w:val="0"/>
              <w:spacing w:beforeAutospacing="0" w:afterAutospacing="0" w:line="360" w:lineRule="auto"/>
              <w:jc w:val="left"/>
              <w:rPr>
                <w:rFonts w:hint="eastAsia" w:ascii="宋体" w:hAnsi="宋体" w:cs="宋体"/>
                <w:color w:val="auto"/>
                <w:kern w:val="0"/>
                <w:highlight w:val="none"/>
              </w:rPr>
            </w:pPr>
            <w:r>
              <w:rPr>
                <w:rFonts w:hint="eastAsia" w:ascii="宋体" w:hAnsi="宋体" w:cs="宋体"/>
                <w:color w:val="auto"/>
                <w:kern w:val="0"/>
                <w:sz w:val="22"/>
                <w:highlight w:val="none"/>
              </w:rPr>
              <w:t>甲方出具整改通知书，且乙方没有实质性应答。</w:t>
            </w:r>
          </w:p>
        </w:tc>
        <w:tc>
          <w:tcPr>
            <w:tcW w:w="680" w:type="pct"/>
            <w:tcBorders>
              <w:top w:val="nil"/>
              <w:left w:val="single" w:color="auto" w:sz="4" w:space="0"/>
              <w:bottom w:val="single" w:color="auto" w:sz="4" w:space="0"/>
              <w:right w:val="single" w:color="auto" w:sz="4" w:space="0"/>
            </w:tcBorders>
            <w:shd w:val="clear" w:color="000000" w:fill="FFFFFF"/>
            <w:vAlign w:val="center"/>
          </w:tcPr>
          <w:p w14:paraId="48C7ED9C">
            <w:pPr>
              <w:pageBreakBefore w:val="0"/>
              <w:widowControl/>
              <w:kinsoku/>
              <w:wordWrap/>
              <w:overflowPunct/>
              <w:autoSpaceDE/>
              <w:autoSpaceDN/>
              <w:bidi w:val="0"/>
              <w:spacing w:beforeAutospacing="0" w:afterAutospacing="0" w:line="360" w:lineRule="auto"/>
              <w:jc w:val="center"/>
              <w:rPr>
                <w:rFonts w:hint="eastAsia" w:ascii="宋体" w:hAnsi="宋体" w:cs="宋体"/>
                <w:color w:val="auto"/>
                <w:kern w:val="0"/>
                <w:highlight w:val="none"/>
              </w:rPr>
            </w:pPr>
            <w:r>
              <w:rPr>
                <w:rFonts w:hint="eastAsia" w:ascii="宋体" w:hAnsi="宋体" w:cs="宋体"/>
                <w:color w:val="auto"/>
                <w:kern w:val="0"/>
                <w:highlight w:val="none"/>
              </w:rPr>
              <w:t>二周内未完成初测：-2.5分/次</w:t>
            </w:r>
            <w:r>
              <w:rPr>
                <w:rFonts w:ascii="宋体" w:hAnsi="宋体" w:cs="宋体"/>
                <w:color w:val="auto"/>
                <w:kern w:val="0"/>
                <w:highlight w:val="none"/>
              </w:rPr>
              <w:t>；</w:t>
            </w:r>
          </w:p>
          <w:p w14:paraId="01178524">
            <w:pPr>
              <w:pageBreakBefore w:val="0"/>
              <w:widowControl/>
              <w:kinsoku/>
              <w:wordWrap/>
              <w:overflowPunct/>
              <w:autoSpaceDE/>
              <w:autoSpaceDN/>
              <w:bidi w:val="0"/>
              <w:spacing w:beforeAutospacing="0" w:afterAutospacing="0" w:line="360" w:lineRule="auto"/>
              <w:jc w:val="center"/>
              <w:rPr>
                <w:rFonts w:hint="eastAsia" w:ascii="宋体" w:hAnsi="宋体" w:cs="宋体"/>
                <w:color w:val="auto"/>
                <w:kern w:val="0"/>
                <w:highlight w:val="none"/>
              </w:rPr>
            </w:pPr>
            <w:r>
              <w:rPr>
                <w:rFonts w:hint="eastAsia" w:ascii="宋体" w:hAnsi="宋体" w:cs="宋体"/>
                <w:color w:val="auto"/>
                <w:kern w:val="0"/>
                <w:highlight w:val="none"/>
              </w:rPr>
              <w:t>一个月内未完成初测：-5分/次</w:t>
            </w:r>
            <w:r>
              <w:rPr>
                <w:rFonts w:ascii="宋体" w:hAnsi="宋体" w:cs="宋体"/>
                <w:color w:val="auto"/>
                <w:kern w:val="0"/>
                <w:highlight w:val="none"/>
              </w:rPr>
              <w:t>；</w:t>
            </w:r>
          </w:p>
        </w:tc>
      </w:tr>
      <w:tr w14:paraId="57A28D21">
        <w:tblPrEx>
          <w:tblCellMar>
            <w:top w:w="0" w:type="dxa"/>
            <w:left w:w="108" w:type="dxa"/>
            <w:bottom w:w="0" w:type="dxa"/>
            <w:right w:w="108" w:type="dxa"/>
          </w:tblCellMar>
        </w:tblPrEx>
        <w:trPr>
          <w:trHeight w:val="660" w:hRule="atLeast"/>
        </w:trPr>
        <w:tc>
          <w:tcPr>
            <w:tcW w:w="463" w:type="pct"/>
            <w:vMerge w:val="continue"/>
            <w:tcBorders>
              <w:left w:val="single" w:color="auto" w:sz="4" w:space="0"/>
              <w:bottom w:val="single" w:color="000000" w:sz="4" w:space="0"/>
              <w:right w:val="single" w:color="auto" w:sz="4" w:space="0"/>
            </w:tcBorders>
            <w:vAlign w:val="center"/>
          </w:tcPr>
          <w:p w14:paraId="2E55FA1A">
            <w:pPr>
              <w:pageBreakBefore w:val="0"/>
              <w:widowControl/>
              <w:kinsoku/>
              <w:wordWrap/>
              <w:overflowPunct/>
              <w:autoSpaceDE/>
              <w:autoSpaceDN/>
              <w:bidi w:val="0"/>
              <w:spacing w:beforeAutospacing="0" w:afterAutospacing="0" w:line="360" w:lineRule="auto"/>
              <w:jc w:val="left"/>
              <w:rPr>
                <w:rFonts w:hint="eastAsia" w:ascii="宋体" w:hAnsi="宋体" w:cs="宋体"/>
                <w:color w:val="auto"/>
                <w:kern w:val="0"/>
                <w:sz w:val="24"/>
                <w:highlight w:val="none"/>
              </w:rPr>
            </w:pPr>
          </w:p>
        </w:tc>
        <w:tc>
          <w:tcPr>
            <w:tcW w:w="455" w:type="pct"/>
            <w:tcBorders>
              <w:top w:val="nil"/>
              <w:left w:val="nil"/>
              <w:bottom w:val="single" w:color="auto" w:sz="4" w:space="0"/>
              <w:right w:val="single" w:color="auto" w:sz="4" w:space="0"/>
            </w:tcBorders>
            <w:shd w:val="clear" w:color="000000" w:fill="FFFFFF"/>
            <w:vAlign w:val="center"/>
          </w:tcPr>
          <w:p w14:paraId="54AD9E6F">
            <w:pPr>
              <w:pageBreakBefore w:val="0"/>
              <w:widowControl/>
              <w:kinsoku/>
              <w:wordWrap/>
              <w:overflowPunct/>
              <w:autoSpaceDE/>
              <w:autoSpaceDN/>
              <w:bidi w:val="0"/>
              <w:spacing w:beforeAutospacing="0" w:afterAutospacing="0" w:line="360" w:lineRule="auto"/>
              <w:jc w:val="left"/>
              <w:rPr>
                <w:rFonts w:hint="eastAsia" w:ascii="宋体" w:hAnsi="宋体" w:cs="宋体"/>
                <w:color w:val="auto"/>
                <w:kern w:val="0"/>
                <w:sz w:val="24"/>
                <w:highlight w:val="none"/>
              </w:rPr>
            </w:pPr>
            <w:r>
              <w:rPr>
                <w:rFonts w:hint="eastAsia" w:ascii="宋体" w:hAnsi="宋体" w:cs="宋体"/>
                <w:color w:val="auto"/>
                <w:kern w:val="0"/>
                <w:sz w:val="24"/>
                <w:highlight w:val="none"/>
              </w:rPr>
              <w:t>项目周期性报告提交</w:t>
            </w:r>
          </w:p>
        </w:tc>
        <w:tc>
          <w:tcPr>
            <w:tcW w:w="378" w:type="pct"/>
            <w:tcBorders>
              <w:top w:val="single" w:color="auto" w:sz="4" w:space="0"/>
              <w:left w:val="nil"/>
              <w:bottom w:val="single" w:color="auto" w:sz="4" w:space="0"/>
              <w:right w:val="single" w:color="auto" w:sz="4" w:space="0"/>
            </w:tcBorders>
            <w:shd w:val="clear" w:color="000000" w:fill="FFFFFF"/>
            <w:vAlign w:val="center"/>
          </w:tcPr>
          <w:p w14:paraId="52EA9277">
            <w:pPr>
              <w:pageBreakBefore w:val="0"/>
              <w:widowControl/>
              <w:kinsoku/>
              <w:wordWrap/>
              <w:overflowPunct/>
              <w:autoSpaceDE/>
              <w:autoSpaceDN/>
              <w:bidi w:val="0"/>
              <w:spacing w:beforeAutospacing="0" w:afterAutospacing="0" w:line="360" w:lineRule="auto"/>
              <w:jc w:val="left"/>
              <w:rPr>
                <w:rFonts w:hint="eastAsia" w:ascii="宋体" w:hAnsi="宋体" w:cs="宋体"/>
                <w:color w:val="auto"/>
                <w:kern w:val="0"/>
                <w:sz w:val="22"/>
                <w:highlight w:val="none"/>
              </w:rPr>
            </w:pPr>
            <w:r>
              <w:rPr>
                <w:rFonts w:hint="eastAsia" w:ascii="宋体" w:hAnsi="宋体" w:cs="宋体"/>
                <w:color w:val="auto"/>
                <w:kern w:val="0"/>
                <w:sz w:val="22"/>
                <w:highlight w:val="none"/>
              </w:rPr>
              <w:t>2.4</w:t>
            </w:r>
          </w:p>
        </w:tc>
        <w:tc>
          <w:tcPr>
            <w:tcW w:w="1888" w:type="pct"/>
            <w:tcBorders>
              <w:top w:val="nil"/>
              <w:left w:val="single" w:color="auto" w:sz="4" w:space="0"/>
              <w:bottom w:val="single" w:color="auto" w:sz="4" w:space="0"/>
              <w:right w:val="nil"/>
            </w:tcBorders>
            <w:shd w:val="clear" w:color="000000" w:fill="FFFFFF"/>
            <w:vAlign w:val="center"/>
          </w:tcPr>
          <w:p w14:paraId="4BAF04FB">
            <w:pPr>
              <w:pageBreakBefore w:val="0"/>
              <w:widowControl/>
              <w:kinsoku/>
              <w:wordWrap/>
              <w:overflowPunct/>
              <w:autoSpaceDE/>
              <w:autoSpaceDN/>
              <w:bidi w:val="0"/>
              <w:spacing w:beforeAutospacing="0" w:afterAutospacing="0" w:line="360" w:lineRule="auto"/>
              <w:jc w:val="left"/>
              <w:rPr>
                <w:rFonts w:hint="eastAsia" w:ascii="宋体" w:hAnsi="宋体" w:cs="宋体"/>
                <w:color w:val="auto"/>
                <w:kern w:val="0"/>
                <w:sz w:val="22"/>
                <w:highlight w:val="none"/>
              </w:rPr>
            </w:pPr>
            <w:r>
              <w:rPr>
                <w:rFonts w:hint="eastAsia" w:ascii="宋体" w:hAnsi="宋体" w:cs="宋体"/>
                <w:color w:val="auto"/>
                <w:kern w:val="0"/>
                <w:sz w:val="22"/>
                <w:highlight w:val="none"/>
              </w:rPr>
              <w:t>按时提交项目月报。出现不</w:t>
            </w:r>
            <w:r>
              <w:rPr>
                <w:rFonts w:ascii="宋体" w:hAnsi="宋体" w:cs="宋体"/>
                <w:color w:val="auto"/>
                <w:kern w:val="0"/>
                <w:sz w:val="22"/>
                <w:highlight w:val="none"/>
              </w:rPr>
              <w:t>按时提交的情况，按扣分标准进行扣分。</w:t>
            </w:r>
          </w:p>
        </w:tc>
        <w:tc>
          <w:tcPr>
            <w:tcW w:w="1134" w:type="pct"/>
            <w:tcBorders>
              <w:top w:val="nil"/>
              <w:left w:val="single" w:color="auto" w:sz="4" w:space="0"/>
              <w:bottom w:val="single" w:color="auto" w:sz="4" w:space="0"/>
              <w:right w:val="single" w:color="auto" w:sz="4" w:space="0"/>
            </w:tcBorders>
            <w:shd w:val="clear" w:color="000000" w:fill="FFFFFF"/>
          </w:tcPr>
          <w:p w14:paraId="38EE76D9">
            <w:pPr>
              <w:pageBreakBefore w:val="0"/>
              <w:widowControl/>
              <w:kinsoku/>
              <w:wordWrap/>
              <w:overflowPunct/>
              <w:autoSpaceDE/>
              <w:autoSpaceDN/>
              <w:bidi w:val="0"/>
              <w:spacing w:beforeAutospacing="0" w:afterAutospacing="0" w:line="360" w:lineRule="auto"/>
              <w:jc w:val="left"/>
              <w:rPr>
                <w:rFonts w:hint="eastAsia" w:ascii="宋体" w:hAnsi="宋体" w:cs="宋体"/>
                <w:color w:val="auto"/>
                <w:kern w:val="0"/>
                <w:highlight w:val="none"/>
              </w:rPr>
            </w:pPr>
            <w:r>
              <w:rPr>
                <w:rFonts w:hint="eastAsia" w:ascii="宋体" w:hAnsi="宋体" w:cs="宋体"/>
                <w:color w:val="auto"/>
                <w:kern w:val="0"/>
                <w:sz w:val="22"/>
                <w:highlight w:val="none"/>
              </w:rPr>
              <w:t>甲方出具整改通知书，且乙方没有实质性应答。</w:t>
            </w:r>
          </w:p>
        </w:tc>
        <w:tc>
          <w:tcPr>
            <w:tcW w:w="680" w:type="pct"/>
            <w:tcBorders>
              <w:top w:val="nil"/>
              <w:left w:val="single" w:color="auto" w:sz="4" w:space="0"/>
              <w:bottom w:val="single" w:color="auto" w:sz="4" w:space="0"/>
              <w:right w:val="single" w:color="auto" w:sz="4" w:space="0"/>
            </w:tcBorders>
            <w:shd w:val="clear" w:color="000000" w:fill="FFFFFF"/>
            <w:vAlign w:val="center"/>
          </w:tcPr>
          <w:p w14:paraId="354483C0">
            <w:pPr>
              <w:pageBreakBefore w:val="0"/>
              <w:widowControl/>
              <w:kinsoku/>
              <w:wordWrap/>
              <w:overflowPunct/>
              <w:autoSpaceDE/>
              <w:autoSpaceDN/>
              <w:bidi w:val="0"/>
              <w:spacing w:beforeAutospacing="0" w:afterAutospacing="0" w:line="360" w:lineRule="auto"/>
              <w:jc w:val="center"/>
              <w:rPr>
                <w:rFonts w:hint="eastAsia" w:ascii="宋体" w:hAnsi="宋体" w:cs="宋体"/>
                <w:color w:val="auto"/>
                <w:kern w:val="0"/>
                <w:highlight w:val="none"/>
              </w:rPr>
            </w:pPr>
            <w:r>
              <w:rPr>
                <w:rFonts w:hint="eastAsia" w:ascii="宋体" w:hAnsi="宋体" w:cs="宋体"/>
                <w:color w:val="auto"/>
                <w:kern w:val="0"/>
                <w:highlight w:val="none"/>
              </w:rPr>
              <w:t>-1分/次</w:t>
            </w:r>
          </w:p>
        </w:tc>
      </w:tr>
      <w:tr w14:paraId="0B638469">
        <w:tblPrEx>
          <w:tblCellMar>
            <w:top w:w="0" w:type="dxa"/>
            <w:left w:w="108" w:type="dxa"/>
            <w:bottom w:w="0" w:type="dxa"/>
            <w:right w:w="108" w:type="dxa"/>
          </w:tblCellMar>
        </w:tblPrEx>
        <w:trPr>
          <w:trHeight w:val="660" w:hRule="atLeast"/>
        </w:trPr>
        <w:tc>
          <w:tcPr>
            <w:tcW w:w="463" w:type="pct"/>
            <w:vMerge w:val="restart"/>
            <w:tcBorders>
              <w:top w:val="nil"/>
              <w:left w:val="single" w:color="auto" w:sz="4" w:space="0"/>
              <w:right w:val="single" w:color="auto" w:sz="4" w:space="0"/>
            </w:tcBorders>
            <w:vAlign w:val="center"/>
          </w:tcPr>
          <w:p w14:paraId="454684ED">
            <w:pPr>
              <w:pageBreakBefore w:val="0"/>
              <w:widowControl/>
              <w:kinsoku/>
              <w:wordWrap/>
              <w:overflowPunct/>
              <w:autoSpaceDE/>
              <w:autoSpaceDN/>
              <w:bidi w:val="0"/>
              <w:spacing w:beforeAutospacing="0" w:afterAutospacing="0" w:line="360" w:lineRule="auto"/>
              <w:jc w:val="center"/>
              <w:rPr>
                <w:rFonts w:hint="eastAsia" w:ascii="宋体" w:hAnsi="宋体" w:cs="宋体"/>
                <w:color w:val="auto"/>
                <w:kern w:val="0"/>
                <w:sz w:val="24"/>
                <w:highlight w:val="none"/>
              </w:rPr>
            </w:pPr>
            <w:r>
              <w:rPr>
                <w:rFonts w:ascii="宋体" w:hAnsi="宋体" w:cs="宋体"/>
                <w:color w:val="auto"/>
                <w:kern w:val="0"/>
                <w:sz w:val="24"/>
                <w:highlight w:val="none"/>
              </w:rPr>
              <w:t>质量管控</w:t>
            </w:r>
          </w:p>
          <w:p w14:paraId="534EA0BA">
            <w:pPr>
              <w:pageBreakBefore w:val="0"/>
              <w:kinsoku/>
              <w:wordWrap/>
              <w:overflowPunct/>
              <w:autoSpaceDE/>
              <w:autoSpaceDN/>
              <w:bidi w:val="0"/>
              <w:spacing w:beforeAutospacing="0" w:afterAutospacing="0" w:line="360" w:lineRule="auto"/>
              <w:jc w:val="center"/>
              <w:rPr>
                <w:rFonts w:hint="eastAsia" w:ascii="宋体" w:hAnsi="宋体" w:eastAsia="宋体" w:cs="宋体"/>
                <w:color w:val="auto"/>
                <w:kern w:val="0"/>
                <w:sz w:val="24"/>
                <w:highlight w:val="none"/>
              </w:rPr>
            </w:pPr>
            <w:r>
              <w:rPr>
                <w:rFonts w:hint="eastAsia" w:ascii="宋体" w:hAnsi="宋体" w:cs="宋体"/>
                <w:color w:val="auto"/>
                <w:kern w:val="0"/>
                <w:sz w:val="24"/>
                <w:highlight w:val="none"/>
              </w:rPr>
              <w:t>工作成效</w:t>
            </w:r>
          </w:p>
        </w:tc>
        <w:tc>
          <w:tcPr>
            <w:tcW w:w="455" w:type="pct"/>
            <w:tcBorders>
              <w:top w:val="nil"/>
              <w:left w:val="nil"/>
              <w:bottom w:val="single" w:color="auto" w:sz="4" w:space="0"/>
              <w:right w:val="single" w:color="auto" w:sz="4" w:space="0"/>
            </w:tcBorders>
            <w:shd w:val="clear" w:color="000000" w:fill="FFFFFF"/>
            <w:vAlign w:val="center"/>
          </w:tcPr>
          <w:p w14:paraId="3E4FA4E1">
            <w:pPr>
              <w:pageBreakBefore w:val="0"/>
              <w:widowControl/>
              <w:kinsoku/>
              <w:wordWrap/>
              <w:overflowPunct/>
              <w:autoSpaceDE/>
              <w:autoSpaceDN/>
              <w:bidi w:val="0"/>
              <w:spacing w:beforeAutospacing="0" w:afterAutospacing="0" w:line="360" w:lineRule="auto"/>
              <w:jc w:val="left"/>
              <w:rPr>
                <w:rFonts w:hint="eastAsia" w:ascii="宋体" w:hAnsi="宋体" w:eastAsia="宋体" w:cs="宋体"/>
                <w:color w:val="auto"/>
                <w:kern w:val="0"/>
                <w:sz w:val="24"/>
                <w:highlight w:val="none"/>
              </w:rPr>
            </w:pPr>
            <w:r>
              <w:rPr>
                <w:rFonts w:hint="eastAsia" w:ascii="宋体" w:hAnsi="宋体" w:cs="宋体"/>
                <w:color w:val="auto"/>
                <w:kern w:val="0"/>
                <w:sz w:val="24"/>
                <w:highlight w:val="none"/>
              </w:rPr>
              <w:t>内部通报</w:t>
            </w:r>
          </w:p>
        </w:tc>
        <w:tc>
          <w:tcPr>
            <w:tcW w:w="378" w:type="pct"/>
            <w:tcBorders>
              <w:top w:val="single" w:color="auto" w:sz="4" w:space="0"/>
              <w:left w:val="nil"/>
              <w:bottom w:val="single" w:color="auto" w:sz="4" w:space="0"/>
              <w:right w:val="single" w:color="auto" w:sz="4" w:space="0"/>
            </w:tcBorders>
            <w:shd w:val="clear" w:color="000000" w:fill="FFFFFF"/>
            <w:vAlign w:val="center"/>
          </w:tcPr>
          <w:p w14:paraId="16E12596">
            <w:pPr>
              <w:pageBreakBefore w:val="0"/>
              <w:widowControl/>
              <w:kinsoku/>
              <w:wordWrap/>
              <w:overflowPunct/>
              <w:autoSpaceDE/>
              <w:autoSpaceDN/>
              <w:bidi w:val="0"/>
              <w:spacing w:beforeAutospacing="0" w:afterAutospacing="0" w:line="360" w:lineRule="auto"/>
              <w:jc w:val="left"/>
              <w:rPr>
                <w:rFonts w:hint="eastAsia" w:ascii="宋体" w:hAnsi="宋体" w:cs="宋体"/>
                <w:color w:val="auto"/>
                <w:kern w:val="0"/>
                <w:sz w:val="22"/>
                <w:highlight w:val="none"/>
              </w:rPr>
            </w:pPr>
            <w:r>
              <w:rPr>
                <w:rFonts w:hint="eastAsia" w:ascii="宋体" w:hAnsi="宋体" w:cs="宋体"/>
                <w:color w:val="auto"/>
                <w:kern w:val="0"/>
                <w:sz w:val="22"/>
                <w:highlight w:val="none"/>
              </w:rPr>
              <w:t>3.1</w:t>
            </w:r>
          </w:p>
        </w:tc>
        <w:tc>
          <w:tcPr>
            <w:tcW w:w="1888" w:type="pct"/>
            <w:tcBorders>
              <w:top w:val="nil"/>
              <w:left w:val="single" w:color="auto" w:sz="4" w:space="0"/>
              <w:bottom w:val="single" w:color="auto" w:sz="4" w:space="0"/>
              <w:right w:val="nil"/>
            </w:tcBorders>
            <w:shd w:val="clear" w:color="000000" w:fill="FFFFFF"/>
            <w:vAlign w:val="center"/>
          </w:tcPr>
          <w:p w14:paraId="7BFA1C91">
            <w:pPr>
              <w:pageBreakBefore w:val="0"/>
              <w:widowControl/>
              <w:kinsoku/>
              <w:wordWrap/>
              <w:overflowPunct/>
              <w:autoSpaceDE/>
              <w:autoSpaceDN/>
              <w:bidi w:val="0"/>
              <w:spacing w:beforeAutospacing="0" w:afterAutospacing="0" w:line="360" w:lineRule="auto"/>
              <w:jc w:val="left"/>
              <w:rPr>
                <w:rFonts w:hint="eastAsia" w:ascii="宋体" w:hAnsi="宋体" w:eastAsia="宋体" w:cs="宋体"/>
                <w:color w:val="auto"/>
                <w:kern w:val="0"/>
                <w:sz w:val="22"/>
                <w:highlight w:val="none"/>
              </w:rPr>
            </w:pPr>
            <w:r>
              <w:rPr>
                <w:rFonts w:hint="eastAsia" w:ascii="宋体" w:hAnsi="宋体" w:cs="宋体"/>
                <w:color w:val="auto"/>
                <w:kern w:val="0"/>
                <w:sz w:val="22"/>
                <w:highlight w:val="none"/>
              </w:rPr>
              <w:t>被广州局内部通报，非投标人主动发现的风险</w:t>
            </w:r>
            <w:r>
              <w:rPr>
                <w:rFonts w:ascii="宋体" w:hAnsi="宋体" w:cs="宋体"/>
                <w:color w:val="auto"/>
                <w:kern w:val="0"/>
                <w:sz w:val="22"/>
                <w:highlight w:val="none"/>
              </w:rPr>
              <w:t>，按扣分标准进行扣分</w:t>
            </w:r>
            <w:r>
              <w:rPr>
                <w:rFonts w:hint="eastAsia" w:ascii="宋体" w:hAnsi="宋体" w:cs="宋体"/>
                <w:color w:val="auto"/>
                <w:kern w:val="0"/>
                <w:sz w:val="22"/>
                <w:highlight w:val="none"/>
              </w:rPr>
              <w:t>。</w:t>
            </w:r>
          </w:p>
        </w:tc>
        <w:tc>
          <w:tcPr>
            <w:tcW w:w="1134" w:type="pct"/>
            <w:tcBorders>
              <w:top w:val="nil"/>
              <w:left w:val="single" w:color="auto" w:sz="4" w:space="0"/>
              <w:bottom w:val="single" w:color="auto" w:sz="4" w:space="0"/>
              <w:right w:val="single" w:color="auto" w:sz="4" w:space="0"/>
            </w:tcBorders>
            <w:shd w:val="clear" w:color="000000" w:fill="FFFFFF"/>
          </w:tcPr>
          <w:p w14:paraId="7C94E746">
            <w:pPr>
              <w:pageBreakBefore w:val="0"/>
              <w:widowControl/>
              <w:kinsoku/>
              <w:wordWrap/>
              <w:overflowPunct/>
              <w:autoSpaceDE/>
              <w:autoSpaceDN/>
              <w:bidi w:val="0"/>
              <w:spacing w:beforeAutospacing="0" w:afterAutospacing="0" w:line="360" w:lineRule="auto"/>
              <w:jc w:val="left"/>
              <w:rPr>
                <w:rFonts w:hint="eastAsia" w:ascii="宋体" w:hAnsi="宋体" w:eastAsia="宋体" w:cs="宋体"/>
                <w:color w:val="auto"/>
                <w:kern w:val="0"/>
                <w:highlight w:val="none"/>
              </w:rPr>
            </w:pPr>
            <w:r>
              <w:rPr>
                <w:rFonts w:hint="eastAsia" w:ascii="宋体" w:hAnsi="宋体" w:cs="宋体"/>
                <w:color w:val="auto"/>
                <w:kern w:val="0"/>
                <w:highlight w:val="none"/>
              </w:rPr>
              <w:t>OA通报</w:t>
            </w:r>
          </w:p>
        </w:tc>
        <w:tc>
          <w:tcPr>
            <w:tcW w:w="680" w:type="pct"/>
            <w:tcBorders>
              <w:top w:val="nil"/>
              <w:left w:val="single" w:color="auto" w:sz="4" w:space="0"/>
              <w:bottom w:val="single" w:color="auto" w:sz="4" w:space="0"/>
              <w:right w:val="single" w:color="auto" w:sz="4" w:space="0"/>
            </w:tcBorders>
            <w:shd w:val="clear" w:color="000000" w:fill="FFFFFF"/>
            <w:vAlign w:val="center"/>
          </w:tcPr>
          <w:p w14:paraId="16C32682">
            <w:pPr>
              <w:pageBreakBefore w:val="0"/>
              <w:widowControl/>
              <w:kinsoku/>
              <w:wordWrap/>
              <w:overflowPunct/>
              <w:autoSpaceDE/>
              <w:autoSpaceDN/>
              <w:bidi w:val="0"/>
              <w:spacing w:beforeAutospacing="0" w:afterAutospacing="0" w:line="360" w:lineRule="auto"/>
              <w:jc w:val="center"/>
              <w:rPr>
                <w:rFonts w:hint="eastAsia" w:ascii="宋体" w:hAnsi="宋体" w:cs="宋体"/>
                <w:color w:val="auto"/>
                <w:kern w:val="0"/>
                <w:highlight w:val="none"/>
              </w:rPr>
            </w:pPr>
            <w:r>
              <w:rPr>
                <w:rFonts w:hint="eastAsia" w:ascii="宋体" w:hAnsi="宋体" w:cs="宋体"/>
                <w:color w:val="auto"/>
                <w:kern w:val="0"/>
                <w:highlight w:val="none"/>
              </w:rPr>
              <w:t>高危风险，-</w:t>
            </w:r>
            <w:r>
              <w:rPr>
                <w:rFonts w:ascii="宋体" w:hAnsi="宋体" w:cs="宋体"/>
                <w:color w:val="auto"/>
                <w:kern w:val="0"/>
                <w:highlight w:val="none"/>
              </w:rPr>
              <w:t>2</w:t>
            </w:r>
            <w:r>
              <w:rPr>
                <w:rFonts w:hint="eastAsia" w:ascii="宋体" w:hAnsi="宋体" w:cs="宋体"/>
                <w:color w:val="auto"/>
                <w:kern w:val="0"/>
                <w:highlight w:val="none"/>
              </w:rPr>
              <w:t>4分/次；中危风险，-</w:t>
            </w:r>
            <w:r>
              <w:rPr>
                <w:rFonts w:ascii="宋体" w:hAnsi="宋体" w:cs="宋体"/>
                <w:color w:val="auto"/>
                <w:kern w:val="0"/>
                <w:highlight w:val="none"/>
              </w:rPr>
              <w:t>1</w:t>
            </w:r>
            <w:r>
              <w:rPr>
                <w:rFonts w:hint="eastAsia" w:ascii="宋体" w:hAnsi="宋体" w:cs="宋体"/>
                <w:color w:val="auto"/>
                <w:kern w:val="0"/>
                <w:highlight w:val="none"/>
              </w:rPr>
              <w:t>2分/次；低危风险，-</w:t>
            </w:r>
            <w:r>
              <w:rPr>
                <w:rFonts w:ascii="宋体" w:hAnsi="宋体" w:cs="宋体"/>
                <w:color w:val="auto"/>
                <w:kern w:val="0"/>
                <w:highlight w:val="none"/>
              </w:rPr>
              <w:t>0.5</w:t>
            </w:r>
            <w:r>
              <w:rPr>
                <w:rFonts w:hint="eastAsia" w:ascii="宋体" w:hAnsi="宋体" w:cs="宋体"/>
                <w:color w:val="auto"/>
                <w:kern w:val="0"/>
                <w:highlight w:val="none"/>
              </w:rPr>
              <w:t>1分/次</w:t>
            </w:r>
          </w:p>
        </w:tc>
      </w:tr>
      <w:tr w14:paraId="0193364B">
        <w:tblPrEx>
          <w:tblCellMar>
            <w:top w:w="0" w:type="dxa"/>
            <w:left w:w="108" w:type="dxa"/>
            <w:bottom w:w="0" w:type="dxa"/>
            <w:right w:w="108" w:type="dxa"/>
          </w:tblCellMar>
        </w:tblPrEx>
        <w:trPr>
          <w:trHeight w:val="660" w:hRule="atLeast"/>
        </w:trPr>
        <w:tc>
          <w:tcPr>
            <w:tcW w:w="463" w:type="pct"/>
            <w:vMerge w:val="continue"/>
            <w:tcBorders>
              <w:left w:val="single" w:color="auto" w:sz="4" w:space="0"/>
              <w:right w:val="single" w:color="auto" w:sz="4" w:space="0"/>
            </w:tcBorders>
            <w:vAlign w:val="center"/>
          </w:tcPr>
          <w:p w14:paraId="28B64E91">
            <w:pPr>
              <w:pageBreakBefore w:val="0"/>
              <w:kinsoku/>
              <w:wordWrap/>
              <w:overflowPunct/>
              <w:autoSpaceDE/>
              <w:autoSpaceDN/>
              <w:bidi w:val="0"/>
              <w:spacing w:beforeAutospacing="0" w:afterAutospacing="0" w:line="360" w:lineRule="auto"/>
              <w:jc w:val="center"/>
              <w:rPr>
                <w:rFonts w:hint="eastAsia" w:ascii="宋体" w:hAnsi="宋体" w:cs="宋体"/>
                <w:color w:val="auto"/>
                <w:kern w:val="0"/>
                <w:sz w:val="24"/>
                <w:highlight w:val="none"/>
              </w:rPr>
            </w:pPr>
          </w:p>
        </w:tc>
        <w:tc>
          <w:tcPr>
            <w:tcW w:w="455" w:type="pct"/>
            <w:tcBorders>
              <w:top w:val="nil"/>
              <w:left w:val="nil"/>
              <w:bottom w:val="single" w:color="auto" w:sz="4" w:space="0"/>
              <w:right w:val="single" w:color="auto" w:sz="4" w:space="0"/>
            </w:tcBorders>
            <w:shd w:val="clear" w:color="000000" w:fill="FFFFFF"/>
            <w:vAlign w:val="center"/>
          </w:tcPr>
          <w:p w14:paraId="6C18101B">
            <w:pPr>
              <w:pageBreakBefore w:val="0"/>
              <w:widowControl/>
              <w:kinsoku/>
              <w:wordWrap/>
              <w:overflowPunct/>
              <w:autoSpaceDE/>
              <w:autoSpaceDN/>
              <w:bidi w:val="0"/>
              <w:spacing w:beforeAutospacing="0" w:afterAutospacing="0" w:line="360" w:lineRule="auto"/>
              <w:jc w:val="left"/>
              <w:rPr>
                <w:rFonts w:hint="eastAsia" w:ascii="宋体" w:hAnsi="宋体" w:cs="宋体"/>
                <w:color w:val="auto"/>
                <w:kern w:val="0"/>
                <w:sz w:val="24"/>
                <w:highlight w:val="none"/>
              </w:rPr>
            </w:pPr>
            <w:r>
              <w:rPr>
                <w:rFonts w:hint="eastAsia" w:ascii="宋体" w:hAnsi="宋体" w:cs="宋体"/>
                <w:color w:val="auto"/>
                <w:kern w:val="0"/>
                <w:sz w:val="24"/>
                <w:highlight w:val="none"/>
              </w:rPr>
              <w:t>内部通报</w:t>
            </w:r>
          </w:p>
        </w:tc>
        <w:tc>
          <w:tcPr>
            <w:tcW w:w="378" w:type="pct"/>
            <w:tcBorders>
              <w:top w:val="single" w:color="auto" w:sz="4" w:space="0"/>
              <w:left w:val="nil"/>
              <w:bottom w:val="single" w:color="auto" w:sz="4" w:space="0"/>
              <w:right w:val="single" w:color="auto" w:sz="4" w:space="0"/>
            </w:tcBorders>
            <w:shd w:val="clear" w:color="000000" w:fill="FFFFFF"/>
            <w:vAlign w:val="center"/>
          </w:tcPr>
          <w:p w14:paraId="2082B15E">
            <w:pPr>
              <w:pageBreakBefore w:val="0"/>
              <w:widowControl/>
              <w:kinsoku/>
              <w:wordWrap/>
              <w:overflowPunct/>
              <w:autoSpaceDE/>
              <w:autoSpaceDN/>
              <w:bidi w:val="0"/>
              <w:spacing w:beforeAutospacing="0" w:afterAutospacing="0" w:line="360" w:lineRule="auto"/>
              <w:jc w:val="left"/>
              <w:rPr>
                <w:rFonts w:hint="eastAsia" w:ascii="宋体" w:hAnsi="宋体" w:cs="宋体"/>
                <w:color w:val="auto"/>
                <w:kern w:val="0"/>
                <w:sz w:val="22"/>
                <w:highlight w:val="none"/>
              </w:rPr>
            </w:pPr>
            <w:r>
              <w:rPr>
                <w:rFonts w:hint="eastAsia" w:ascii="宋体" w:hAnsi="宋体" w:cs="宋体"/>
                <w:color w:val="auto"/>
                <w:kern w:val="0"/>
                <w:sz w:val="22"/>
                <w:highlight w:val="none"/>
              </w:rPr>
              <w:t>3.2</w:t>
            </w:r>
          </w:p>
        </w:tc>
        <w:tc>
          <w:tcPr>
            <w:tcW w:w="1888" w:type="pct"/>
            <w:tcBorders>
              <w:top w:val="nil"/>
              <w:left w:val="single" w:color="auto" w:sz="4" w:space="0"/>
              <w:bottom w:val="single" w:color="auto" w:sz="4" w:space="0"/>
              <w:right w:val="nil"/>
            </w:tcBorders>
            <w:shd w:val="clear" w:color="000000" w:fill="FFFFFF"/>
            <w:vAlign w:val="center"/>
          </w:tcPr>
          <w:p w14:paraId="5EABF43C">
            <w:pPr>
              <w:pageBreakBefore w:val="0"/>
              <w:widowControl/>
              <w:kinsoku/>
              <w:wordWrap/>
              <w:overflowPunct/>
              <w:autoSpaceDE/>
              <w:autoSpaceDN/>
              <w:bidi w:val="0"/>
              <w:spacing w:beforeAutospacing="0" w:afterAutospacing="0" w:line="360" w:lineRule="auto"/>
              <w:jc w:val="left"/>
              <w:rPr>
                <w:rFonts w:hint="eastAsia" w:ascii="宋体" w:hAnsi="宋体" w:cs="宋体"/>
                <w:color w:val="auto"/>
                <w:kern w:val="0"/>
                <w:sz w:val="22"/>
                <w:highlight w:val="none"/>
              </w:rPr>
            </w:pPr>
            <w:r>
              <w:rPr>
                <w:rFonts w:hint="eastAsia" w:ascii="宋体" w:hAnsi="宋体" w:cs="宋体"/>
                <w:color w:val="auto"/>
                <w:kern w:val="0"/>
                <w:sz w:val="22"/>
                <w:highlight w:val="none"/>
              </w:rPr>
              <w:t>被广州局内部通报，非投标人主动发现的，发送主机被控制、页面被篡改等网络安全事件，按扣分标准扣分。</w:t>
            </w:r>
          </w:p>
        </w:tc>
        <w:tc>
          <w:tcPr>
            <w:tcW w:w="1134" w:type="pct"/>
            <w:tcBorders>
              <w:top w:val="nil"/>
              <w:left w:val="single" w:color="auto" w:sz="4" w:space="0"/>
              <w:bottom w:val="single" w:color="auto" w:sz="4" w:space="0"/>
              <w:right w:val="single" w:color="auto" w:sz="4" w:space="0"/>
            </w:tcBorders>
            <w:shd w:val="clear" w:color="000000" w:fill="FFFFFF"/>
          </w:tcPr>
          <w:p w14:paraId="68EA45C9">
            <w:pPr>
              <w:pageBreakBefore w:val="0"/>
              <w:widowControl/>
              <w:kinsoku/>
              <w:wordWrap/>
              <w:overflowPunct/>
              <w:autoSpaceDE/>
              <w:autoSpaceDN/>
              <w:bidi w:val="0"/>
              <w:spacing w:beforeAutospacing="0" w:afterAutospacing="0" w:line="360" w:lineRule="auto"/>
              <w:jc w:val="left"/>
              <w:rPr>
                <w:rFonts w:hint="eastAsia" w:ascii="宋体" w:hAnsi="宋体" w:cs="宋体"/>
                <w:color w:val="auto"/>
                <w:kern w:val="0"/>
                <w:highlight w:val="none"/>
              </w:rPr>
            </w:pPr>
            <w:r>
              <w:rPr>
                <w:rFonts w:hint="eastAsia" w:ascii="宋体" w:hAnsi="宋体" w:cs="宋体"/>
                <w:color w:val="auto"/>
                <w:kern w:val="0"/>
                <w:highlight w:val="none"/>
              </w:rPr>
              <w:t>OA通报</w:t>
            </w:r>
          </w:p>
        </w:tc>
        <w:tc>
          <w:tcPr>
            <w:tcW w:w="680" w:type="pct"/>
            <w:tcBorders>
              <w:top w:val="nil"/>
              <w:left w:val="single" w:color="auto" w:sz="4" w:space="0"/>
              <w:bottom w:val="single" w:color="auto" w:sz="4" w:space="0"/>
              <w:right w:val="single" w:color="auto" w:sz="4" w:space="0"/>
            </w:tcBorders>
            <w:shd w:val="clear" w:color="000000" w:fill="FFFFFF"/>
            <w:vAlign w:val="center"/>
          </w:tcPr>
          <w:p w14:paraId="3D49D0D1">
            <w:pPr>
              <w:pageBreakBefore w:val="0"/>
              <w:widowControl/>
              <w:kinsoku/>
              <w:wordWrap/>
              <w:overflowPunct/>
              <w:autoSpaceDE/>
              <w:autoSpaceDN/>
              <w:bidi w:val="0"/>
              <w:spacing w:beforeAutospacing="0" w:afterAutospacing="0" w:line="360" w:lineRule="auto"/>
              <w:jc w:val="center"/>
              <w:rPr>
                <w:rFonts w:hint="eastAsia" w:ascii="宋体" w:hAnsi="宋体" w:cs="宋体"/>
                <w:color w:val="auto"/>
                <w:kern w:val="0"/>
                <w:highlight w:val="none"/>
              </w:rPr>
            </w:pPr>
            <w:r>
              <w:rPr>
                <w:rFonts w:hint="eastAsia" w:ascii="宋体" w:hAnsi="宋体" w:cs="宋体"/>
                <w:color w:val="auto"/>
                <w:kern w:val="0"/>
                <w:highlight w:val="none"/>
              </w:rPr>
              <w:t>主机被控制、系统被篡改，以管理员身份登陆集权系统的，数据库被拖库，-10分/次；以管理员身份登陆一般业务系统，登陆集权系统的，-5分/次。;</w:t>
            </w:r>
          </w:p>
        </w:tc>
      </w:tr>
      <w:tr w14:paraId="712DADA7">
        <w:tblPrEx>
          <w:tblCellMar>
            <w:top w:w="0" w:type="dxa"/>
            <w:left w:w="108" w:type="dxa"/>
            <w:bottom w:w="0" w:type="dxa"/>
            <w:right w:w="108" w:type="dxa"/>
          </w:tblCellMar>
        </w:tblPrEx>
        <w:trPr>
          <w:trHeight w:val="660" w:hRule="atLeast"/>
        </w:trPr>
        <w:tc>
          <w:tcPr>
            <w:tcW w:w="463" w:type="pct"/>
            <w:vMerge w:val="continue"/>
            <w:tcBorders>
              <w:left w:val="single" w:color="auto" w:sz="4" w:space="0"/>
              <w:right w:val="single" w:color="auto" w:sz="4" w:space="0"/>
            </w:tcBorders>
            <w:vAlign w:val="center"/>
          </w:tcPr>
          <w:p w14:paraId="524FAB69">
            <w:pPr>
              <w:pageBreakBefore w:val="0"/>
              <w:kinsoku/>
              <w:wordWrap/>
              <w:overflowPunct/>
              <w:autoSpaceDE/>
              <w:autoSpaceDN/>
              <w:bidi w:val="0"/>
              <w:spacing w:beforeAutospacing="0" w:afterAutospacing="0" w:line="360" w:lineRule="auto"/>
              <w:jc w:val="center"/>
              <w:rPr>
                <w:rFonts w:hint="eastAsia" w:ascii="宋体" w:hAnsi="宋体" w:cs="宋体"/>
                <w:color w:val="auto"/>
                <w:kern w:val="0"/>
                <w:sz w:val="24"/>
                <w:highlight w:val="none"/>
              </w:rPr>
            </w:pPr>
          </w:p>
        </w:tc>
        <w:tc>
          <w:tcPr>
            <w:tcW w:w="455" w:type="pct"/>
            <w:tcBorders>
              <w:top w:val="nil"/>
              <w:left w:val="nil"/>
              <w:bottom w:val="single" w:color="auto" w:sz="4" w:space="0"/>
              <w:right w:val="single" w:color="auto" w:sz="4" w:space="0"/>
            </w:tcBorders>
            <w:shd w:val="clear" w:color="000000" w:fill="FFFFFF"/>
            <w:vAlign w:val="center"/>
          </w:tcPr>
          <w:p w14:paraId="51558F8E">
            <w:pPr>
              <w:pageBreakBefore w:val="0"/>
              <w:widowControl/>
              <w:kinsoku/>
              <w:wordWrap/>
              <w:overflowPunct/>
              <w:autoSpaceDE/>
              <w:autoSpaceDN/>
              <w:bidi w:val="0"/>
              <w:spacing w:beforeAutospacing="0" w:afterAutospacing="0" w:line="360" w:lineRule="auto"/>
              <w:jc w:val="left"/>
              <w:rPr>
                <w:rFonts w:hint="eastAsia" w:ascii="宋体" w:hAnsi="宋体" w:eastAsia="宋体" w:cs="宋体"/>
                <w:color w:val="auto"/>
                <w:kern w:val="0"/>
                <w:sz w:val="24"/>
                <w:highlight w:val="none"/>
              </w:rPr>
            </w:pPr>
            <w:r>
              <w:rPr>
                <w:rFonts w:hint="eastAsia" w:ascii="宋体" w:hAnsi="宋体" w:cs="宋体"/>
                <w:color w:val="auto"/>
                <w:kern w:val="0"/>
                <w:sz w:val="24"/>
                <w:highlight w:val="none"/>
              </w:rPr>
              <w:t>重要时期通报</w:t>
            </w:r>
          </w:p>
        </w:tc>
        <w:tc>
          <w:tcPr>
            <w:tcW w:w="378" w:type="pct"/>
            <w:tcBorders>
              <w:top w:val="single" w:color="auto" w:sz="4" w:space="0"/>
              <w:left w:val="nil"/>
              <w:bottom w:val="single" w:color="auto" w:sz="4" w:space="0"/>
              <w:right w:val="single" w:color="auto" w:sz="4" w:space="0"/>
            </w:tcBorders>
            <w:shd w:val="clear" w:color="000000" w:fill="FFFFFF"/>
            <w:vAlign w:val="center"/>
          </w:tcPr>
          <w:p w14:paraId="52A7E9F6">
            <w:pPr>
              <w:pageBreakBefore w:val="0"/>
              <w:widowControl/>
              <w:kinsoku/>
              <w:wordWrap/>
              <w:overflowPunct/>
              <w:autoSpaceDE/>
              <w:autoSpaceDN/>
              <w:bidi w:val="0"/>
              <w:spacing w:beforeAutospacing="0" w:afterAutospacing="0" w:line="360" w:lineRule="auto"/>
              <w:jc w:val="left"/>
              <w:rPr>
                <w:rFonts w:hint="eastAsia" w:ascii="宋体" w:hAnsi="宋体" w:eastAsia="宋体" w:cs="宋体"/>
                <w:color w:val="auto"/>
                <w:kern w:val="0"/>
                <w:sz w:val="22"/>
                <w:highlight w:val="none"/>
              </w:rPr>
            </w:pPr>
            <w:r>
              <w:rPr>
                <w:rFonts w:hint="eastAsia" w:ascii="宋体" w:hAnsi="宋体" w:cs="宋体"/>
                <w:color w:val="auto"/>
                <w:kern w:val="0"/>
                <w:sz w:val="22"/>
                <w:highlight w:val="none"/>
              </w:rPr>
              <w:t>3.3</w:t>
            </w:r>
          </w:p>
        </w:tc>
        <w:tc>
          <w:tcPr>
            <w:tcW w:w="1888" w:type="pct"/>
            <w:tcBorders>
              <w:top w:val="nil"/>
              <w:left w:val="single" w:color="auto" w:sz="4" w:space="0"/>
              <w:bottom w:val="single" w:color="auto" w:sz="4" w:space="0"/>
              <w:right w:val="nil"/>
            </w:tcBorders>
            <w:shd w:val="clear" w:color="000000" w:fill="FFFFFF"/>
            <w:vAlign w:val="center"/>
          </w:tcPr>
          <w:p w14:paraId="1532C945">
            <w:pPr>
              <w:pageBreakBefore w:val="0"/>
              <w:widowControl/>
              <w:kinsoku/>
              <w:wordWrap/>
              <w:overflowPunct/>
              <w:autoSpaceDE/>
              <w:autoSpaceDN/>
              <w:bidi w:val="0"/>
              <w:spacing w:beforeAutospacing="0" w:afterAutospacing="0" w:line="360" w:lineRule="auto"/>
              <w:jc w:val="left"/>
              <w:rPr>
                <w:rFonts w:hint="eastAsia" w:ascii="宋体" w:hAnsi="宋体" w:cs="宋体"/>
                <w:color w:val="auto"/>
                <w:kern w:val="0"/>
                <w:sz w:val="22"/>
                <w:highlight w:val="none"/>
              </w:rPr>
            </w:pPr>
            <w:r>
              <w:rPr>
                <w:rFonts w:hint="eastAsia" w:ascii="宋体" w:hAnsi="宋体" w:cs="宋体"/>
                <w:color w:val="auto"/>
                <w:kern w:val="0"/>
                <w:sz w:val="22"/>
                <w:highlight w:val="none"/>
              </w:rPr>
              <w:t>在重要保供电、护网关键值守时期，被发现问题、通报的，</w:t>
            </w:r>
            <w:r>
              <w:rPr>
                <w:rFonts w:ascii="宋体" w:hAnsi="宋体" w:cs="宋体"/>
                <w:color w:val="auto"/>
                <w:kern w:val="0"/>
                <w:sz w:val="22"/>
                <w:highlight w:val="none"/>
              </w:rPr>
              <w:t>按扣分标准进行扣分。</w:t>
            </w:r>
          </w:p>
        </w:tc>
        <w:tc>
          <w:tcPr>
            <w:tcW w:w="1134" w:type="pct"/>
            <w:tcBorders>
              <w:top w:val="nil"/>
              <w:left w:val="single" w:color="auto" w:sz="4" w:space="0"/>
              <w:bottom w:val="single" w:color="auto" w:sz="4" w:space="0"/>
              <w:right w:val="single" w:color="auto" w:sz="4" w:space="0"/>
            </w:tcBorders>
            <w:shd w:val="clear" w:color="000000" w:fill="FFFFFF"/>
          </w:tcPr>
          <w:p w14:paraId="6101B123">
            <w:pPr>
              <w:pageBreakBefore w:val="0"/>
              <w:widowControl/>
              <w:kinsoku/>
              <w:wordWrap/>
              <w:overflowPunct/>
              <w:autoSpaceDE/>
              <w:autoSpaceDN/>
              <w:bidi w:val="0"/>
              <w:spacing w:beforeAutospacing="0" w:afterAutospacing="0" w:line="360" w:lineRule="auto"/>
              <w:jc w:val="left"/>
              <w:rPr>
                <w:rFonts w:hint="eastAsia" w:ascii="宋体" w:hAnsi="宋体" w:cs="宋体"/>
                <w:color w:val="auto"/>
                <w:kern w:val="0"/>
                <w:highlight w:val="none"/>
              </w:rPr>
            </w:pPr>
            <w:r>
              <w:rPr>
                <w:rFonts w:hint="eastAsia" w:ascii="宋体" w:hAnsi="宋体" w:cs="宋体"/>
                <w:color w:val="auto"/>
                <w:kern w:val="0"/>
                <w:highlight w:val="none"/>
              </w:rPr>
              <w:t>OA通报</w:t>
            </w:r>
          </w:p>
        </w:tc>
        <w:tc>
          <w:tcPr>
            <w:tcW w:w="680" w:type="pct"/>
            <w:tcBorders>
              <w:top w:val="nil"/>
              <w:left w:val="single" w:color="auto" w:sz="4" w:space="0"/>
              <w:bottom w:val="single" w:color="auto" w:sz="4" w:space="0"/>
              <w:right w:val="single" w:color="auto" w:sz="4" w:space="0"/>
            </w:tcBorders>
            <w:shd w:val="clear" w:color="000000" w:fill="FFFFFF"/>
            <w:vAlign w:val="center"/>
          </w:tcPr>
          <w:p w14:paraId="04E24D4F">
            <w:pPr>
              <w:pageBreakBefore w:val="0"/>
              <w:widowControl/>
              <w:kinsoku/>
              <w:wordWrap/>
              <w:overflowPunct/>
              <w:autoSpaceDE/>
              <w:autoSpaceDN/>
              <w:bidi w:val="0"/>
              <w:spacing w:beforeAutospacing="0" w:afterAutospacing="0" w:line="360" w:lineRule="auto"/>
              <w:jc w:val="center"/>
              <w:rPr>
                <w:rFonts w:hint="eastAsia" w:ascii="宋体" w:hAnsi="宋体" w:cs="宋体"/>
                <w:color w:val="auto"/>
                <w:kern w:val="0"/>
                <w:highlight w:val="none"/>
              </w:rPr>
            </w:pPr>
            <w:r>
              <w:rPr>
                <w:rFonts w:hint="eastAsia" w:ascii="宋体" w:hAnsi="宋体" w:cs="宋体"/>
                <w:color w:val="auto"/>
                <w:kern w:val="0"/>
                <w:highlight w:val="none"/>
              </w:rPr>
              <w:t>-</w:t>
            </w:r>
            <w:r>
              <w:rPr>
                <w:rFonts w:ascii="宋体" w:hAnsi="宋体" w:cs="宋体"/>
                <w:color w:val="auto"/>
                <w:kern w:val="0"/>
                <w:highlight w:val="none"/>
              </w:rPr>
              <w:t>25</w:t>
            </w:r>
            <w:r>
              <w:rPr>
                <w:rFonts w:hint="eastAsia" w:ascii="宋体" w:hAnsi="宋体" w:cs="宋体"/>
                <w:color w:val="auto"/>
                <w:kern w:val="0"/>
                <w:highlight w:val="none"/>
              </w:rPr>
              <w:t>20分</w:t>
            </w:r>
          </w:p>
        </w:tc>
      </w:tr>
      <w:tr w14:paraId="20C1B0F8">
        <w:tblPrEx>
          <w:tblCellMar>
            <w:top w:w="0" w:type="dxa"/>
            <w:left w:w="108" w:type="dxa"/>
            <w:bottom w:w="0" w:type="dxa"/>
            <w:right w:w="108" w:type="dxa"/>
          </w:tblCellMar>
        </w:tblPrEx>
        <w:trPr>
          <w:trHeight w:val="660" w:hRule="atLeast"/>
        </w:trPr>
        <w:tc>
          <w:tcPr>
            <w:tcW w:w="463" w:type="pct"/>
            <w:vMerge w:val="continue"/>
            <w:tcBorders>
              <w:left w:val="single" w:color="auto" w:sz="4" w:space="0"/>
              <w:right w:val="single" w:color="auto" w:sz="4" w:space="0"/>
            </w:tcBorders>
            <w:vAlign w:val="center"/>
          </w:tcPr>
          <w:p w14:paraId="1F4E6F13">
            <w:pPr>
              <w:pageBreakBefore w:val="0"/>
              <w:kinsoku/>
              <w:wordWrap/>
              <w:overflowPunct/>
              <w:autoSpaceDE/>
              <w:autoSpaceDN/>
              <w:bidi w:val="0"/>
              <w:spacing w:beforeAutospacing="0" w:afterAutospacing="0" w:line="360" w:lineRule="auto"/>
              <w:jc w:val="center"/>
              <w:rPr>
                <w:rFonts w:hint="eastAsia" w:ascii="宋体" w:hAnsi="宋体" w:cs="宋体"/>
                <w:color w:val="auto"/>
                <w:kern w:val="0"/>
                <w:sz w:val="24"/>
                <w:highlight w:val="none"/>
              </w:rPr>
            </w:pPr>
          </w:p>
        </w:tc>
        <w:tc>
          <w:tcPr>
            <w:tcW w:w="455" w:type="pct"/>
            <w:tcBorders>
              <w:top w:val="nil"/>
              <w:left w:val="nil"/>
              <w:bottom w:val="single" w:color="auto" w:sz="4" w:space="0"/>
              <w:right w:val="single" w:color="auto" w:sz="4" w:space="0"/>
            </w:tcBorders>
            <w:shd w:val="clear" w:color="000000" w:fill="FFFFFF"/>
            <w:vAlign w:val="center"/>
          </w:tcPr>
          <w:p w14:paraId="05ABC42B">
            <w:pPr>
              <w:pageBreakBefore w:val="0"/>
              <w:widowControl/>
              <w:kinsoku/>
              <w:wordWrap/>
              <w:overflowPunct/>
              <w:autoSpaceDE/>
              <w:autoSpaceDN/>
              <w:bidi w:val="0"/>
              <w:spacing w:beforeAutospacing="0" w:afterAutospacing="0" w:line="360" w:lineRule="auto"/>
              <w:jc w:val="left"/>
              <w:rPr>
                <w:rFonts w:hint="eastAsia" w:ascii="宋体" w:hAnsi="宋体" w:eastAsia="宋体" w:cs="宋体"/>
                <w:color w:val="auto"/>
                <w:kern w:val="0"/>
                <w:sz w:val="24"/>
                <w:highlight w:val="none"/>
              </w:rPr>
            </w:pPr>
            <w:r>
              <w:rPr>
                <w:rFonts w:hint="eastAsia" w:ascii="宋体" w:hAnsi="宋体" w:cs="宋体"/>
                <w:color w:val="auto"/>
                <w:kern w:val="0"/>
                <w:sz w:val="24"/>
                <w:highlight w:val="none"/>
              </w:rPr>
              <w:t>漏洞发现</w:t>
            </w:r>
          </w:p>
        </w:tc>
        <w:tc>
          <w:tcPr>
            <w:tcW w:w="378" w:type="pct"/>
            <w:tcBorders>
              <w:top w:val="single" w:color="auto" w:sz="4" w:space="0"/>
              <w:left w:val="nil"/>
              <w:bottom w:val="single" w:color="auto" w:sz="4" w:space="0"/>
              <w:right w:val="single" w:color="auto" w:sz="4" w:space="0"/>
            </w:tcBorders>
            <w:shd w:val="clear" w:color="000000" w:fill="FFFFFF"/>
            <w:vAlign w:val="center"/>
          </w:tcPr>
          <w:p w14:paraId="5DB665C6">
            <w:pPr>
              <w:pageBreakBefore w:val="0"/>
              <w:widowControl/>
              <w:kinsoku/>
              <w:wordWrap/>
              <w:overflowPunct/>
              <w:autoSpaceDE/>
              <w:autoSpaceDN/>
              <w:bidi w:val="0"/>
              <w:spacing w:beforeAutospacing="0" w:afterAutospacing="0" w:line="360" w:lineRule="auto"/>
              <w:jc w:val="left"/>
              <w:rPr>
                <w:rFonts w:hint="eastAsia" w:ascii="宋体" w:hAnsi="宋体" w:eastAsia="宋体" w:cs="宋体"/>
                <w:color w:val="auto"/>
                <w:kern w:val="0"/>
                <w:sz w:val="22"/>
                <w:highlight w:val="none"/>
              </w:rPr>
            </w:pPr>
            <w:r>
              <w:rPr>
                <w:rFonts w:hint="eastAsia" w:ascii="宋体" w:hAnsi="宋体" w:cs="宋体"/>
                <w:color w:val="auto"/>
                <w:kern w:val="0"/>
                <w:sz w:val="22"/>
                <w:highlight w:val="none"/>
              </w:rPr>
              <w:t>3.4</w:t>
            </w:r>
          </w:p>
        </w:tc>
        <w:tc>
          <w:tcPr>
            <w:tcW w:w="1888" w:type="pct"/>
            <w:tcBorders>
              <w:top w:val="nil"/>
              <w:left w:val="single" w:color="auto" w:sz="4" w:space="0"/>
              <w:bottom w:val="single" w:color="auto" w:sz="4" w:space="0"/>
              <w:right w:val="nil"/>
            </w:tcBorders>
            <w:shd w:val="clear" w:color="000000" w:fill="FFFFFF"/>
            <w:vAlign w:val="center"/>
          </w:tcPr>
          <w:p w14:paraId="348562FA">
            <w:pPr>
              <w:pageBreakBefore w:val="0"/>
              <w:widowControl/>
              <w:kinsoku/>
              <w:wordWrap/>
              <w:overflowPunct/>
              <w:autoSpaceDE/>
              <w:autoSpaceDN/>
              <w:bidi w:val="0"/>
              <w:spacing w:beforeAutospacing="0" w:afterAutospacing="0" w:line="360" w:lineRule="auto"/>
              <w:jc w:val="left"/>
              <w:rPr>
                <w:rFonts w:hint="eastAsia" w:ascii="宋体" w:hAnsi="宋体" w:eastAsia="宋体" w:cs="宋体"/>
                <w:color w:val="auto"/>
                <w:kern w:val="0"/>
                <w:sz w:val="22"/>
                <w:highlight w:val="none"/>
              </w:rPr>
            </w:pPr>
            <w:r>
              <w:rPr>
                <w:rFonts w:hint="eastAsia" w:ascii="宋体" w:hAnsi="宋体" w:cs="宋体"/>
                <w:color w:val="auto"/>
                <w:kern w:val="0"/>
                <w:sz w:val="22"/>
                <w:highlight w:val="none"/>
              </w:rPr>
              <w:t>主动发现漏洞风险，按加分标准加分。入网安评的，上限20分。</w:t>
            </w:r>
          </w:p>
        </w:tc>
        <w:tc>
          <w:tcPr>
            <w:tcW w:w="1134" w:type="pct"/>
            <w:tcBorders>
              <w:top w:val="nil"/>
              <w:left w:val="single" w:color="auto" w:sz="4" w:space="0"/>
              <w:bottom w:val="single" w:color="auto" w:sz="4" w:space="0"/>
              <w:right w:val="single" w:color="auto" w:sz="4" w:space="0"/>
            </w:tcBorders>
            <w:shd w:val="clear" w:color="000000" w:fill="FFFFFF"/>
          </w:tcPr>
          <w:p w14:paraId="2B2775F9">
            <w:pPr>
              <w:pageBreakBefore w:val="0"/>
              <w:widowControl/>
              <w:kinsoku/>
              <w:wordWrap/>
              <w:overflowPunct/>
              <w:autoSpaceDE/>
              <w:autoSpaceDN/>
              <w:bidi w:val="0"/>
              <w:spacing w:beforeAutospacing="0" w:afterAutospacing="0" w:line="360" w:lineRule="auto"/>
              <w:jc w:val="left"/>
              <w:rPr>
                <w:rFonts w:hint="eastAsia" w:ascii="宋体" w:hAnsi="宋体" w:eastAsia="宋体" w:cs="宋体"/>
                <w:color w:val="auto"/>
                <w:kern w:val="0"/>
                <w:highlight w:val="none"/>
              </w:rPr>
            </w:pPr>
            <w:r>
              <w:rPr>
                <w:rFonts w:hint="eastAsia" w:ascii="宋体" w:hAnsi="宋体" w:cs="宋体"/>
                <w:color w:val="auto"/>
                <w:kern w:val="0"/>
                <w:highlight w:val="none"/>
              </w:rPr>
              <w:t>以乙方出具的测评报告，经第三方单位确认</w:t>
            </w:r>
          </w:p>
        </w:tc>
        <w:tc>
          <w:tcPr>
            <w:tcW w:w="680" w:type="pct"/>
            <w:tcBorders>
              <w:top w:val="nil"/>
              <w:left w:val="single" w:color="auto" w:sz="4" w:space="0"/>
              <w:bottom w:val="single" w:color="auto" w:sz="4" w:space="0"/>
              <w:right w:val="single" w:color="auto" w:sz="4" w:space="0"/>
            </w:tcBorders>
            <w:shd w:val="clear" w:color="000000" w:fill="FFFFFF"/>
            <w:vAlign w:val="center"/>
          </w:tcPr>
          <w:p w14:paraId="3E94712A">
            <w:pPr>
              <w:pageBreakBefore w:val="0"/>
              <w:widowControl/>
              <w:kinsoku/>
              <w:wordWrap/>
              <w:overflowPunct/>
              <w:autoSpaceDE/>
              <w:autoSpaceDN/>
              <w:bidi w:val="0"/>
              <w:spacing w:beforeAutospacing="0" w:afterAutospacing="0" w:line="360" w:lineRule="auto"/>
              <w:jc w:val="center"/>
              <w:rPr>
                <w:rFonts w:hint="eastAsia" w:ascii="宋体" w:hAnsi="宋体" w:eastAsia="宋体" w:cs="宋体"/>
                <w:color w:val="auto"/>
                <w:kern w:val="0"/>
                <w:highlight w:val="none"/>
              </w:rPr>
            </w:pPr>
            <w:r>
              <w:rPr>
                <w:rFonts w:hint="eastAsia" w:ascii="宋体" w:hAnsi="宋体" w:cs="宋体"/>
                <w:color w:val="auto"/>
                <w:kern w:val="0"/>
                <w:highlight w:val="none"/>
              </w:rPr>
              <w:t>高风险问题经第三方确认，加2分/个；每发现中风险问题经第三方确认，加1分/个；每发现低风险问题经第三方确认，加0.5分/个。相同类型风险问题累计可加至上限</w:t>
            </w:r>
            <w:r>
              <w:rPr>
                <w:rFonts w:ascii="宋体" w:hAnsi="宋体" w:cs="宋体"/>
                <w:color w:val="auto"/>
                <w:kern w:val="0"/>
                <w:highlight w:val="none"/>
              </w:rPr>
              <w:t>10</w:t>
            </w:r>
            <w:r>
              <w:rPr>
                <w:rFonts w:hint="eastAsia" w:ascii="宋体" w:hAnsi="宋体" w:cs="宋体"/>
                <w:color w:val="auto"/>
                <w:kern w:val="0"/>
                <w:highlight w:val="none"/>
              </w:rPr>
              <w:t>5分/类。招标范围系统，上限10分；招标范围系统所在网络环境，不设加分上限</w:t>
            </w:r>
          </w:p>
        </w:tc>
      </w:tr>
      <w:tr w14:paraId="2539A0DB">
        <w:tblPrEx>
          <w:tblCellMar>
            <w:top w:w="0" w:type="dxa"/>
            <w:left w:w="108" w:type="dxa"/>
            <w:bottom w:w="0" w:type="dxa"/>
            <w:right w:w="108" w:type="dxa"/>
          </w:tblCellMar>
        </w:tblPrEx>
        <w:trPr>
          <w:trHeight w:val="660" w:hRule="atLeast"/>
        </w:trPr>
        <w:tc>
          <w:tcPr>
            <w:tcW w:w="463" w:type="pct"/>
            <w:vMerge w:val="continue"/>
            <w:tcBorders>
              <w:left w:val="single" w:color="auto" w:sz="4" w:space="0"/>
              <w:right w:val="single" w:color="auto" w:sz="4" w:space="0"/>
            </w:tcBorders>
            <w:vAlign w:val="center"/>
          </w:tcPr>
          <w:p w14:paraId="73C6A7FB">
            <w:pPr>
              <w:pageBreakBefore w:val="0"/>
              <w:kinsoku/>
              <w:wordWrap/>
              <w:overflowPunct/>
              <w:autoSpaceDE/>
              <w:autoSpaceDN/>
              <w:bidi w:val="0"/>
              <w:spacing w:beforeAutospacing="0" w:afterAutospacing="0" w:line="360" w:lineRule="auto"/>
              <w:jc w:val="center"/>
              <w:rPr>
                <w:rFonts w:hint="eastAsia" w:ascii="宋体" w:hAnsi="宋体" w:cs="宋体"/>
                <w:color w:val="auto"/>
                <w:kern w:val="0"/>
                <w:sz w:val="24"/>
                <w:highlight w:val="none"/>
              </w:rPr>
            </w:pPr>
          </w:p>
        </w:tc>
        <w:tc>
          <w:tcPr>
            <w:tcW w:w="455" w:type="pct"/>
            <w:tcBorders>
              <w:top w:val="nil"/>
              <w:left w:val="nil"/>
              <w:bottom w:val="single" w:color="auto" w:sz="4" w:space="0"/>
              <w:right w:val="single" w:color="auto" w:sz="4" w:space="0"/>
            </w:tcBorders>
            <w:shd w:val="clear" w:color="000000" w:fill="FFFFFF"/>
            <w:vAlign w:val="center"/>
          </w:tcPr>
          <w:p w14:paraId="4D6058B2">
            <w:pPr>
              <w:pageBreakBefore w:val="0"/>
              <w:widowControl/>
              <w:kinsoku/>
              <w:wordWrap/>
              <w:overflowPunct/>
              <w:autoSpaceDE/>
              <w:autoSpaceDN/>
              <w:bidi w:val="0"/>
              <w:spacing w:beforeAutospacing="0" w:afterAutospacing="0" w:line="360" w:lineRule="auto"/>
              <w:jc w:val="left"/>
              <w:rPr>
                <w:rFonts w:hint="eastAsia" w:ascii="宋体" w:hAnsi="宋体" w:eastAsia="宋体" w:cs="宋体"/>
                <w:color w:val="auto"/>
                <w:kern w:val="0"/>
                <w:sz w:val="24"/>
                <w:highlight w:val="none"/>
              </w:rPr>
            </w:pPr>
            <w:r>
              <w:rPr>
                <w:rFonts w:hint="eastAsia" w:ascii="宋体" w:hAnsi="宋体" w:cs="宋体"/>
                <w:color w:val="auto"/>
                <w:kern w:val="0"/>
                <w:sz w:val="24"/>
                <w:highlight w:val="none"/>
              </w:rPr>
              <w:t>风险发现</w:t>
            </w:r>
          </w:p>
        </w:tc>
        <w:tc>
          <w:tcPr>
            <w:tcW w:w="378" w:type="pct"/>
            <w:tcBorders>
              <w:top w:val="single" w:color="auto" w:sz="4" w:space="0"/>
              <w:left w:val="nil"/>
              <w:bottom w:val="single" w:color="auto" w:sz="4" w:space="0"/>
              <w:right w:val="single" w:color="auto" w:sz="4" w:space="0"/>
            </w:tcBorders>
            <w:shd w:val="clear" w:color="000000" w:fill="FFFFFF"/>
            <w:vAlign w:val="center"/>
          </w:tcPr>
          <w:p w14:paraId="73572107">
            <w:pPr>
              <w:pageBreakBefore w:val="0"/>
              <w:widowControl/>
              <w:kinsoku/>
              <w:wordWrap/>
              <w:overflowPunct/>
              <w:autoSpaceDE/>
              <w:autoSpaceDN/>
              <w:bidi w:val="0"/>
              <w:spacing w:beforeAutospacing="0" w:afterAutospacing="0" w:line="360" w:lineRule="auto"/>
              <w:jc w:val="left"/>
              <w:rPr>
                <w:rFonts w:hint="eastAsia" w:ascii="宋体" w:hAnsi="宋体" w:eastAsia="宋体" w:cs="宋体"/>
                <w:color w:val="auto"/>
                <w:kern w:val="0"/>
                <w:sz w:val="22"/>
                <w:highlight w:val="none"/>
              </w:rPr>
            </w:pPr>
            <w:r>
              <w:rPr>
                <w:rFonts w:hint="eastAsia" w:ascii="宋体" w:hAnsi="宋体" w:cs="宋体"/>
                <w:color w:val="auto"/>
                <w:kern w:val="0"/>
                <w:sz w:val="22"/>
                <w:highlight w:val="none"/>
              </w:rPr>
              <w:t>3.5</w:t>
            </w:r>
          </w:p>
        </w:tc>
        <w:tc>
          <w:tcPr>
            <w:tcW w:w="1888" w:type="pct"/>
            <w:tcBorders>
              <w:top w:val="nil"/>
              <w:left w:val="single" w:color="auto" w:sz="4" w:space="0"/>
              <w:bottom w:val="single" w:color="auto" w:sz="4" w:space="0"/>
              <w:right w:val="nil"/>
            </w:tcBorders>
            <w:shd w:val="clear" w:color="000000" w:fill="FFFFFF"/>
            <w:vAlign w:val="center"/>
          </w:tcPr>
          <w:p w14:paraId="3CC103B2">
            <w:pPr>
              <w:pageBreakBefore w:val="0"/>
              <w:widowControl/>
              <w:kinsoku/>
              <w:wordWrap/>
              <w:overflowPunct/>
              <w:autoSpaceDE/>
              <w:autoSpaceDN/>
              <w:bidi w:val="0"/>
              <w:spacing w:beforeAutospacing="0" w:afterAutospacing="0" w:line="360" w:lineRule="auto"/>
              <w:jc w:val="left"/>
              <w:rPr>
                <w:rFonts w:hint="eastAsia" w:ascii="宋体" w:hAnsi="宋体" w:cs="宋体"/>
                <w:color w:val="auto"/>
                <w:kern w:val="0"/>
                <w:sz w:val="22"/>
                <w:highlight w:val="none"/>
              </w:rPr>
            </w:pPr>
            <w:r>
              <w:rPr>
                <w:rFonts w:hint="eastAsia" w:ascii="宋体" w:hAnsi="宋体" w:cs="宋体"/>
                <w:color w:val="auto"/>
                <w:kern w:val="0"/>
                <w:sz w:val="22"/>
                <w:highlight w:val="none"/>
              </w:rPr>
              <w:t>主动发现招标范围系统所在网络环境漏洞风险，按加分标准加分。</w:t>
            </w:r>
          </w:p>
        </w:tc>
        <w:tc>
          <w:tcPr>
            <w:tcW w:w="1134" w:type="pct"/>
            <w:tcBorders>
              <w:top w:val="nil"/>
              <w:left w:val="single" w:color="auto" w:sz="4" w:space="0"/>
              <w:bottom w:val="single" w:color="auto" w:sz="4" w:space="0"/>
              <w:right w:val="single" w:color="auto" w:sz="4" w:space="0"/>
            </w:tcBorders>
            <w:shd w:val="clear" w:color="000000" w:fill="FFFFFF"/>
          </w:tcPr>
          <w:p w14:paraId="2CD55E23">
            <w:pPr>
              <w:pageBreakBefore w:val="0"/>
              <w:widowControl/>
              <w:kinsoku/>
              <w:wordWrap/>
              <w:overflowPunct/>
              <w:autoSpaceDE/>
              <w:autoSpaceDN/>
              <w:bidi w:val="0"/>
              <w:spacing w:beforeAutospacing="0" w:afterAutospacing="0" w:line="360" w:lineRule="auto"/>
              <w:jc w:val="left"/>
              <w:rPr>
                <w:rFonts w:hint="eastAsia" w:ascii="宋体" w:hAnsi="宋体" w:cs="宋体"/>
                <w:color w:val="auto"/>
                <w:kern w:val="0"/>
                <w:highlight w:val="none"/>
              </w:rPr>
            </w:pPr>
            <w:r>
              <w:rPr>
                <w:rFonts w:hint="eastAsia" w:ascii="宋体" w:hAnsi="宋体" w:cs="宋体"/>
                <w:color w:val="auto"/>
                <w:kern w:val="0"/>
                <w:highlight w:val="none"/>
              </w:rPr>
              <w:t>以乙方出具的测评报告，经第三方单位确认</w:t>
            </w:r>
          </w:p>
        </w:tc>
        <w:tc>
          <w:tcPr>
            <w:tcW w:w="680" w:type="pct"/>
            <w:tcBorders>
              <w:top w:val="nil"/>
              <w:left w:val="single" w:color="auto" w:sz="4" w:space="0"/>
              <w:bottom w:val="single" w:color="auto" w:sz="4" w:space="0"/>
              <w:right w:val="single" w:color="auto" w:sz="4" w:space="0"/>
            </w:tcBorders>
            <w:shd w:val="clear" w:color="000000" w:fill="FFFFFF"/>
            <w:vAlign w:val="center"/>
          </w:tcPr>
          <w:p w14:paraId="695163D0">
            <w:pPr>
              <w:pageBreakBefore w:val="0"/>
              <w:widowControl/>
              <w:kinsoku/>
              <w:wordWrap/>
              <w:overflowPunct/>
              <w:autoSpaceDE/>
              <w:autoSpaceDN/>
              <w:bidi w:val="0"/>
              <w:spacing w:beforeAutospacing="0" w:afterAutospacing="0" w:line="360" w:lineRule="auto"/>
              <w:jc w:val="center"/>
              <w:rPr>
                <w:rFonts w:hint="eastAsia" w:ascii="宋体" w:hAnsi="宋体" w:eastAsia="宋体" w:cs="宋体"/>
                <w:color w:val="auto"/>
                <w:kern w:val="0"/>
                <w:highlight w:val="none"/>
              </w:rPr>
            </w:pPr>
            <w:r>
              <w:rPr>
                <w:rFonts w:hint="eastAsia" w:ascii="宋体" w:hAnsi="宋体" w:cs="宋体"/>
                <w:color w:val="auto"/>
                <w:kern w:val="0"/>
                <w:highlight w:val="none"/>
              </w:rPr>
              <w:t>控制主机，篡改业务系统，以管理员身份登录集权类系统（4A、堡垒机、G01、AD域控等），数据库可整体拖库，每个系统得10分；以管理员身份登录一般业务系统，登录集权类系统，每个系统得5分。</w:t>
            </w:r>
          </w:p>
        </w:tc>
      </w:tr>
      <w:tr w14:paraId="6D1BF500">
        <w:tblPrEx>
          <w:tblCellMar>
            <w:top w:w="0" w:type="dxa"/>
            <w:left w:w="108" w:type="dxa"/>
            <w:bottom w:w="0" w:type="dxa"/>
            <w:right w:w="108" w:type="dxa"/>
          </w:tblCellMar>
        </w:tblPrEx>
        <w:trPr>
          <w:trHeight w:val="660" w:hRule="atLeast"/>
        </w:trPr>
        <w:tc>
          <w:tcPr>
            <w:tcW w:w="463" w:type="pct"/>
            <w:vMerge w:val="continue"/>
            <w:tcBorders>
              <w:left w:val="single" w:color="auto" w:sz="4" w:space="0"/>
              <w:right w:val="single" w:color="auto" w:sz="4" w:space="0"/>
            </w:tcBorders>
            <w:vAlign w:val="center"/>
          </w:tcPr>
          <w:p w14:paraId="2B998F4D">
            <w:pPr>
              <w:pageBreakBefore w:val="0"/>
              <w:kinsoku/>
              <w:wordWrap/>
              <w:overflowPunct/>
              <w:autoSpaceDE/>
              <w:autoSpaceDN/>
              <w:bidi w:val="0"/>
              <w:spacing w:beforeAutospacing="0" w:afterAutospacing="0" w:line="360" w:lineRule="auto"/>
              <w:jc w:val="center"/>
              <w:rPr>
                <w:rFonts w:hint="eastAsia" w:ascii="宋体" w:hAnsi="宋体" w:cs="宋体"/>
                <w:color w:val="auto"/>
                <w:kern w:val="0"/>
                <w:sz w:val="24"/>
                <w:highlight w:val="none"/>
              </w:rPr>
            </w:pPr>
          </w:p>
        </w:tc>
        <w:tc>
          <w:tcPr>
            <w:tcW w:w="455" w:type="pct"/>
            <w:tcBorders>
              <w:top w:val="nil"/>
              <w:left w:val="nil"/>
              <w:bottom w:val="single" w:color="auto" w:sz="4" w:space="0"/>
              <w:right w:val="single" w:color="auto" w:sz="4" w:space="0"/>
            </w:tcBorders>
            <w:shd w:val="clear" w:color="000000" w:fill="FFFFFF"/>
            <w:vAlign w:val="center"/>
          </w:tcPr>
          <w:p w14:paraId="39A7E05C">
            <w:pPr>
              <w:pageBreakBefore w:val="0"/>
              <w:widowControl/>
              <w:kinsoku/>
              <w:wordWrap/>
              <w:overflowPunct/>
              <w:autoSpaceDE/>
              <w:autoSpaceDN/>
              <w:bidi w:val="0"/>
              <w:spacing w:beforeAutospacing="0" w:afterAutospacing="0" w:line="360" w:lineRule="auto"/>
              <w:jc w:val="left"/>
              <w:rPr>
                <w:rFonts w:hint="eastAsia" w:ascii="宋体" w:hAnsi="宋体" w:eastAsia="宋体" w:cs="宋体"/>
                <w:color w:val="auto"/>
                <w:kern w:val="0"/>
                <w:sz w:val="24"/>
                <w:highlight w:val="none"/>
              </w:rPr>
            </w:pPr>
            <w:r>
              <w:rPr>
                <w:rFonts w:hint="eastAsia" w:ascii="宋体" w:hAnsi="宋体" w:cs="宋体"/>
                <w:color w:val="auto"/>
                <w:kern w:val="0"/>
                <w:sz w:val="24"/>
                <w:highlight w:val="none"/>
              </w:rPr>
              <w:t>重保加固提升及合理化建议</w:t>
            </w:r>
          </w:p>
        </w:tc>
        <w:tc>
          <w:tcPr>
            <w:tcW w:w="378" w:type="pct"/>
            <w:tcBorders>
              <w:top w:val="single" w:color="auto" w:sz="4" w:space="0"/>
              <w:left w:val="nil"/>
              <w:bottom w:val="single" w:color="auto" w:sz="4" w:space="0"/>
              <w:right w:val="single" w:color="auto" w:sz="4" w:space="0"/>
            </w:tcBorders>
            <w:shd w:val="clear" w:color="000000" w:fill="FFFFFF"/>
            <w:vAlign w:val="center"/>
          </w:tcPr>
          <w:p w14:paraId="6F80723A">
            <w:pPr>
              <w:pageBreakBefore w:val="0"/>
              <w:widowControl/>
              <w:kinsoku/>
              <w:wordWrap/>
              <w:overflowPunct/>
              <w:autoSpaceDE/>
              <w:autoSpaceDN/>
              <w:bidi w:val="0"/>
              <w:spacing w:beforeAutospacing="0" w:afterAutospacing="0" w:line="360" w:lineRule="auto"/>
              <w:jc w:val="left"/>
              <w:rPr>
                <w:rFonts w:hint="eastAsia" w:ascii="宋体" w:hAnsi="宋体" w:eastAsia="宋体" w:cs="宋体"/>
                <w:color w:val="auto"/>
                <w:kern w:val="0"/>
                <w:sz w:val="22"/>
                <w:highlight w:val="none"/>
              </w:rPr>
            </w:pPr>
            <w:r>
              <w:rPr>
                <w:rFonts w:hint="eastAsia" w:ascii="宋体" w:hAnsi="宋体" w:cs="宋体"/>
                <w:color w:val="auto"/>
                <w:kern w:val="0"/>
                <w:sz w:val="22"/>
                <w:highlight w:val="none"/>
              </w:rPr>
              <w:t>3.6</w:t>
            </w:r>
          </w:p>
        </w:tc>
        <w:tc>
          <w:tcPr>
            <w:tcW w:w="1888" w:type="pct"/>
            <w:tcBorders>
              <w:top w:val="nil"/>
              <w:left w:val="single" w:color="auto" w:sz="4" w:space="0"/>
              <w:bottom w:val="single" w:color="auto" w:sz="4" w:space="0"/>
              <w:right w:val="nil"/>
            </w:tcBorders>
            <w:shd w:val="clear" w:color="000000" w:fill="FFFFFF"/>
            <w:vAlign w:val="center"/>
          </w:tcPr>
          <w:p w14:paraId="1486AD27">
            <w:pPr>
              <w:pageBreakBefore w:val="0"/>
              <w:widowControl/>
              <w:kinsoku/>
              <w:wordWrap/>
              <w:overflowPunct/>
              <w:autoSpaceDE/>
              <w:autoSpaceDN/>
              <w:bidi w:val="0"/>
              <w:spacing w:beforeAutospacing="0" w:afterAutospacing="0" w:line="360" w:lineRule="auto"/>
              <w:jc w:val="left"/>
              <w:rPr>
                <w:rFonts w:hint="eastAsia" w:ascii="宋体" w:hAnsi="宋体" w:cs="宋体"/>
                <w:color w:val="auto"/>
                <w:kern w:val="0"/>
                <w:sz w:val="22"/>
                <w:highlight w:val="none"/>
              </w:rPr>
            </w:pPr>
            <w:r>
              <w:rPr>
                <w:rFonts w:hint="eastAsia" w:ascii="宋体" w:hAnsi="宋体" w:cs="宋体"/>
                <w:color w:val="auto"/>
                <w:kern w:val="0"/>
                <w:sz w:val="22"/>
                <w:highlight w:val="none"/>
              </w:rPr>
              <w:t>提出加固整改建议被呗招标方采纳，并协助招标方实施落地，按加分标准加分。加固建议包括但不限于：蜜罐实施、防火墙策略整体调优、入侵监测类设备误报整体调优等整体性加固措施。</w:t>
            </w:r>
          </w:p>
          <w:p w14:paraId="1051F72E">
            <w:pPr>
              <w:pageBreakBefore w:val="0"/>
              <w:widowControl/>
              <w:kinsoku/>
              <w:wordWrap/>
              <w:overflowPunct/>
              <w:autoSpaceDE/>
              <w:autoSpaceDN/>
              <w:bidi w:val="0"/>
              <w:spacing w:beforeAutospacing="0" w:afterAutospacing="0" w:line="360" w:lineRule="auto"/>
              <w:jc w:val="left"/>
              <w:rPr>
                <w:rFonts w:hint="eastAsia" w:ascii="宋体" w:hAnsi="宋体" w:eastAsia="宋体" w:cs="宋体"/>
                <w:color w:val="auto"/>
                <w:kern w:val="0"/>
                <w:sz w:val="22"/>
                <w:highlight w:val="none"/>
              </w:rPr>
            </w:pPr>
          </w:p>
        </w:tc>
        <w:tc>
          <w:tcPr>
            <w:tcW w:w="1134" w:type="pct"/>
            <w:tcBorders>
              <w:top w:val="nil"/>
              <w:left w:val="single" w:color="auto" w:sz="4" w:space="0"/>
              <w:bottom w:val="single" w:color="auto" w:sz="4" w:space="0"/>
              <w:right w:val="single" w:color="auto" w:sz="4" w:space="0"/>
            </w:tcBorders>
            <w:shd w:val="clear" w:color="000000" w:fill="FFFFFF"/>
          </w:tcPr>
          <w:p w14:paraId="6768FDB9">
            <w:pPr>
              <w:pageBreakBefore w:val="0"/>
              <w:widowControl/>
              <w:kinsoku/>
              <w:wordWrap/>
              <w:overflowPunct/>
              <w:autoSpaceDE/>
              <w:autoSpaceDN/>
              <w:bidi w:val="0"/>
              <w:spacing w:beforeAutospacing="0" w:afterAutospacing="0" w:line="360" w:lineRule="auto"/>
              <w:jc w:val="left"/>
              <w:rPr>
                <w:rFonts w:hint="eastAsia" w:ascii="宋体" w:hAnsi="宋体" w:eastAsia="宋体" w:cs="宋体"/>
                <w:color w:val="auto"/>
                <w:kern w:val="0"/>
                <w:highlight w:val="none"/>
              </w:rPr>
            </w:pPr>
            <w:r>
              <w:rPr>
                <w:rFonts w:hint="eastAsia" w:ascii="宋体" w:hAnsi="宋体" w:cs="宋体"/>
                <w:color w:val="auto"/>
                <w:kern w:val="0"/>
                <w:highlight w:val="none"/>
              </w:rPr>
              <w:t>以乙方出具的加固报告，经第三方单位确认</w:t>
            </w:r>
          </w:p>
        </w:tc>
        <w:tc>
          <w:tcPr>
            <w:tcW w:w="680" w:type="pct"/>
            <w:tcBorders>
              <w:top w:val="nil"/>
              <w:left w:val="single" w:color="auto" w:sz="4" w:space="0"/>
              <w:bottom w:val="single" w:color="auto" w:sz="4" w:space="0"/>
              <w:right w:val="single" w:color="auto" w:sz="4" w:space="0"/>
            </w:tcBorders>
            <w:shd w:val="clear" w:color="000000" w:fill="FFFFFF"/>
            <w:vAlign w:val="center"/>
          </w:tcPr>
          <w:p w14:paraId="08F078CC">
            <w:pPr>
              <w:pageBreakBefore w:val="0"/>
              <w:widowControl/>
              <w:kinsoku/>
              <w:wordWrap/>
              <w:overflowPunct/>
              <w:autoSpaceDE/>
              <w:autoSpaceDN/>
              <w:bidi w:val="0"/>
              <w:spacing w:beforeAutospacing="0" w:afterAutospacing="0" w:line="360" w:lineRule="auto"/>
              <w:jc w:val="center"/>
              <w:rPr>
                <w:rFonts w:hint="eastAsia" w:ascii="宋体" w:hAnsi="宋体" w:eastAsia="宋体" w:cs="宋体"/>
                <w:color w:val="auto"/>
                <w:kern w:val="0"/>
                <w:highlight w:val="none"/>
              </w:rPr>
            </w:pPr>
            <w:r>
              <w:rPr>
                <w:rFonts w:hint="eastAsia" w:ascii="宋体" w:hAnsi="宋体" w:cs="宋体"/>
                <w:color w:val="auto"/>
                <w:kern w:val="0"/>
                <w:highlight w:val="none"/>
              </w:rPr>
              <w:t>10/次</w:t>
            </w:r>
          </w:p>
        </w:tc>
      </w:tr>
      <w:tr w14:paraId="5EE0A04A">
        <w:tblPrEx>
          <w:tblCellMar>
            <w:top w:w="0" w:type="dxa"/>
            <w:left w:w="108" w:type="dxa"/>
            <w:bottom w:w="0" w:type="dxa"/>
            <w:right w:w="108" w:type="dxa"/>
          </w:tblCellMar>
        </w:tblPrEx>
        <w:trPr>
          <w:trHeight w:val="330" w:hRule="atLeast"/>
        </w:trPr>
        <w:tc>
          <w:tcPr>
            <w:tcW w:w="463" w:type="pct"/>
            <w:vMerge w:val="continue"/>
            <w:tcBorders>
              <w:left w:val="single" w:color="auto" w:sz="4" w:space="0"/>
              <w:right w:val="single" w:color="auto" w:sz="4" w:space="0"/>
            </w:tcBorders>
            <w:vAlign w:val="center"/>
          </w:tcPr>
          <w:p w14:paraId="5165010E">
            <w:pPr>
              <w:pageBreakBefore w:val="0"/>
              <w:widowControl/>
              <w:kinsoku/>
              <w:wordWrap/>
              <w:overflowPunct/>
              <w:autoSpaceDE/>
              <w:autoSpaceDN/>
              <w:bidi w:val="0"/>
              <w:spacing w:beforeAutospacing="0" w:afterAutospacing="0" w:line="360" w:lineRule="auto"/>
              <w:jc w:val="left"/>
              <w:rPr>
                <w:rFonts w:hint="eastAsia" w:ascii="宋体" w:hAnsi="宋体" w:cs="宋体"/>
                <w:color w:val="auto"/>
                <w:kern w:val="0"/>
                <w:sz w:val="24"/>
                <w:highlight w:val="none"/>
              </w:rPr>
            </w:pPr>
          </w:p>
        </w:tc>
        <w:tc>
          <w:tcPr>
            <w:tcW w:w="455" w:type="pct"/>
            <w:tcBorders>
              <w:top w:val="nil"/>
              <w:left w:val="nil"/>
              <w:bottom w:val="single" w:color="auto" w:sz="4" w:space="0"/>
              <w:right w:val="single" w:color="auto" w:sz="4" w:space="0"/>
            </w:tcBorders>
            <w:shd w:val="clear" w:color="000000" w:fill="FFFFFF"/>
            <w:vAlign w:val="center"/>
          </w:tcPr>
          <w:p w14:paraId="4F69E461">
            <w:pPr>
              <w:pageBreakBefore w:val="0"/>
              <w:widowControl/>
              <w:kinsoku/>
              <w:wordWrap/>
              <w:overflowPunct/>
              <w:autoSpaceDE/>
              <w:autoSpaceDN/>
              <w:bidi w:val="0"/>
              <w:spacing w:beforeAutospacing="0" w:afterAutospacing="0" w:line="360" w:lineRule="auto"/>
              <w:jc w:val="left"/>
              <w:rPr>
                <w:rFonts w:hint="eastAsia" w:ascii="宋体" w:hAnsi="宋体" w:eastAsia="宋体" w:cs="宋体"/>
                <w:color w:val="auto"/>
                <w:kern w:val="0"/>
                <w:sz w:val="24"/>
                <w:highlight w:val="none"/>
              </w:rPr>
            </w:pPr>
            <w:r>
              <w:rPr>
                <w:rFonts w:hint="eastAsia" w:ascii="宋体" w:hAnsi="宋体" w:cs="宋体"/>
                <w:color w:val="auto"/>
                <w:kern w:val="0"/>
                <w:sz w:val="24"/>
                <w:highlight w:val="none"/>
              </w:rPr>
              <w:t>“三同步”管控</w:t>
            </w:r>
          </w:p>
        </w:tc>
        <w:tc>
          <w:tcPr>
            <w:tcW w:w="378" w:type="pct"/>
            <w:tcBorders>
              <w:top w:val="single" w:color="auto" w:sz="4" w:space="0"/>
              <w:left w:val="nil"/>
              <w:bottom w:val="single" w:color="auto" w:sz="4" w:space="0"/>
              <w:right w:val="single" w:color="auto" w:sz="4" w:space="0"/>
            </w:tcBorders>
            <w:shd w:val="clear" w:color="000000" w:fill="FFFFFF"/>
            <w:vAlign w:val="center"/>
          </w:tcPr>
          <w:p w14:paraId="4CE590CB">
            <w:pPr>
              <w:pageBreakBefore w:val="0"/>
              <w:widowControl/>
              <w:kinsoku/>
              <w:wordWrap/>
              <w:overflowPunct/>
              <w:autoSpaceDE/>
              <w:autoSpaceDN/>
              <w:bidi w:val="0"/>
              <w:spacing w:beforeAutospacing="0" w:afterAutospacing="0" w:line="360" w:lineRule="auto"/>
              <w:jc w:val="left"/>
              <w:rPr>
                <w:rFonts w:hint="eastAsia" w:ascii="宋体" w:hAnsi="宋体" w:eastAsia="宋体" w:cs="宋体"/>
                <w:color w:val="auto"/>
                <w:kern w:val="0"/>
                <w:sz w:val="22"/>
                <w:highlight w:val="none"/>
              </w:rPr>
            </w:pPr>
            <w:r>
              <w:rPr>
                <w:rFonts w:hint="eastAsia" w:ascii="宋体" w:hAnsi="宋体" w:cs="宋体"/>
                <w:color w:val="auto"/>
                <w:kern w:val="0"/>
                <w:sz w:val="22"/>
                <w:highlight w:val="none"/>
              </w:rPr>
              <w:t>3.7</w:t>
            </w:r>
          </w:p>
        </w:tc>
        <w:tc>
          <w:tcPr>
            <w:tcW w:w="1888" w:type="pct"/>
            <w:tcBorders>
              <w:top w:val="nil"/>
              <w:left w:val="single" w:color="auto" w:sz="4" w:space="0"/>
              <w:bottom w:val="single" w:color="auto" w:sz="4" w:space="0"/>
              <w:right w:val="nil"/>
            </w:tcBorders>
            <w:shd w:val="clear" w:color="000000" w:fill="FFFFFF"/>
            <w:vAlign w:val="center"/>
          </w:tcPr>
          <w:p w14:paraId="72D7CD6C">
            <w:pPr>
              <w:pageBreakBefore w:val="0"/>
              <w:widowControl/>
              <w:kinsoku/>
              <w:wordWrap/>
              <w:overflowPunct/>
              <w:autoSpaceDE/>
              <w:autoSpaceDN/>
              <w:bidi w:val="0"/>
              <w:spacing w:beforeAutospacing="0" w:afterAutospacing="0" w:line="360" w:lineRule="auto"/>
              <w:jc w:val="left"/>
              <w:rPr>
                <w:rFonts w:hint="eastAsia" w:ascii="宋体" w:hAnsi="宋体" w:eastAsia="宋体" w:cs="宋体"/>
                <w:color w:val="auto"/>
                <w:kern w:val="0"/>
                <w:sz w:val="22"/>
                <w:highlight w:val="none"/>
              </w:rPr>
            </w:pPr>
            <w:r>
              <w:rPr>
                <w:rFonts w:hint="eastAsia" w:ascii="宋体" w:hAnsi="宋体" w:cs="宋体"/>
                <w:color w:val="auto"/>
                <w:kern w:val="0"/>
                <w:sz w:val="22"/>
                <w:highlight w:val="none"/>
              </w:rPr>
              <w:t>协助招标方审核招标范围系统“三同步”技术管控材料，协助招标方准确、按时开展定级备案，按加分标准加分</w:t>
            </w:r>
          </w:p>
        </w:tc>
        <w:tc>
          <w:tcPr>
            <w:tcW w:w="1134" w:type="pct"/>
            <w:tcBorders>
              <w:top w:val="nil"/>
              <w:left w:val="single" w:color="auto" w:sz="4" w:space="0"/>
              <w:bottom w:val="single" w:color="auto" w:sz="4" w:space="0"/>
              <w:right w:val="single" w:color="auto" w:sz="4" w:space="0"/>
            </w:tcBorders>
          </w:tcPr>
          <w:p w14:paraId="0743ABC1">
            <w:pPr>
              <w:pageBreakBefore w:val="0"/>
              <w:widowControl/>
              <w:kinsoku/>
              <w:wordWrap/>
              <w:overflowPunct/>
              <w:autoSpaceDE/>
              <w:autoSpaceDN/>
              <w:bidi w:val="0"/>
              <w:spacing w:beforeAutospacing="0" w:afterAutospacing="0" w:line="360" w:lineRule="auto"/>
              <w:jc w:val="left"/>
              <w:rPr>
                <w:rFonts w:hint="eastAsia" w:ascii="宋体" w:hAnsi="宋体" w:eastAsia="宋体" w:cs="宋体"/>
                <w:color w:val="auto"/>
                <w:kern w:val="0"/>
                <w:highlight w:val="none"/>
              </w:rPr>
            </w:pPr>
            <w:r>
              <w:rPr>
                <w:rFonts w:hint="eastAsia" w:ascii="宋体" w:hAnsi="宋体" w:cs="宋体"/>
                <w:color w:val="auto"/>
                <w:kern w:val="0"/>
                <w:highlight w:val="none"/>
              </w:rPr>
              <w:t>邮件通知</w:t>
            </w:r>
          </w:p>
        </w:tc>
        <w:tc>
          <w:tcPr>
            <w:tcW w:w="680" w:type="pct"/>
            <w:tcBorders>
              <w:top w:val="nil"/>
              <w:left w:val="single" w:color="auto" w:sz="4" w:space="0"/>
              <w:bottom w:val="single" w:color="auto" w:sz="4" w:space="0"/>
              <w:right w:val="single" w:color="auto" w:sz="4" w:space="0"/>
            </w:tcBorders>
            <w:noWrap/>
            <w:vAlign w:val="center"/>
          </w:tcPr>
          <w:p w14:paraId="1D81CEFF">
            <w:pPr>
              <w:pageBreakBefore w:val="0"/>
              <w:widowControl/>
              <w:kinsoku/>
              <w:wordWrap/>
              <w:overflowPunct/>
              <w:autoSpaceDE/>
              <w:autoSpaceDN/>
              <w:bidi w:val="0"/>
              <w:spacing w:beforeAutospacing="0" w:afterAutospacing="0" w:line="360" w:lineRule="auto"/>
              <w:jc w:val="center"/>
              <w:rPr>
                <w:rFonts w:hint="eastAsia" w:ascii="宋体" w:hAnsi="宋体" w:cs="宋体"/>
                <w:color w:val="auto"/>
                <w:kern w:val="0"/>
                <w:highlight w:val="none"/>
              </w:rPr>
            </w:pPr>
            <w:r>
              <w:rPr>
                <w:rFonts w:hint="eastAsia" w:ascii="宋体" w:hAnsi="宋体" w:cs="宋体"/>
                <w:color w:val="auto"/>
                <w:kern w:val="0"/>
                <w:highlight w:val="none"/>
              </w:rPr>
              <w:t>协助招标方审核“三同步”技术管控材料，0.5分/系统；协助招标方准确、按时开展定级备案，0.5分/系统。</w:t>
            </w:r>
          </w:p>
        </w:tc>
      </w:tr>
      <w:tr w14:paraId="5D5BD756">
        <w:tblPrEx>
          <w:tblCellMar>
            <w:top w:w="0" w:type="dxa"/>
            <w:left w:w="108" w:type="dxa"/>
            <w:bottom w:w="0" w:type="dxa"/>
            <w:right w:w="108" w:type="dxa"/>
          </w:tblCellMar>
        </w:tblPrEx>
        <w:trPr>
          <w:trHeight w:val="330" w:hRule="atLeast"/>
        </w:trPr>
        <w:tc>
          <w:tcPr>
            <w:tcW w:w="463" w:type="pct"/>
            <w:vMerge w:val="continue"/>
            <w:tcBorders>
              <w:left w:val="single" w:color="auto" w:sz="4" w:space="0"/>
              <w:right w:val="single" w:color="auto" w:sz="4" w:space="0"/>
            </w:tcBorders>
            <w:vAlign w:val="center"/>
          </w:tcPr>
          <w:p w14:paraId="481301ED">
            <w:pPr>
              <w:pageBreakBefore w:val="0"/>
              <w:widowControl/>
              <w:kinsoku/>
              <w:wordWrap/>
              <w:overflowPunct/>
              <w:autoSpaceDE/>
              <w:autoSpaceDN/>
              <w:bidi w:val="0"/>
              <w:spacing w:beforeAutospacing="0" w:afterAutospacing="0" w:line="360" w:lineRule="auto"/>
              <w:jc w:val="left"/>
              <w:rPr>
                <w:rFonts w:hint="eastAsia" w:ascii="宋体" w:hAnsi="宋体" w:cs="宋体"/>
                <w:color w:val="auto"/>
                <w:kern w:val="0"/>
                <w:sz w:val="24"/>
                <w:highlight w:val="none"/>
              </w:rPr>
            </w:pPr>
          </w:p>
        </w:tc>
        <w:tc>
          <w:tcPr>
            <w:tcW w:w="455" w:type="pct"/>
            <w:tcBorders>
              <w:top w:val="nil"/>
              <w:left w:val="nil"/>
              <w:bottom w:val="single" w:color="auto" w:sz="4" w:space="0"/>
              <w:right w:val="single" w:color="auto" w:sz="4" w:space="0"/>
            </w:tcBorders>
            <w:shd w:val="clear" w:color="000000" w:fill="FFFFFF"/>
            <w:vAlign w:val="center"/>
          </w:tcPr>
          <w:p w14:paraId="7D73E80E">
            <w:pPr>
              <w:pageBreakBefore w:val="0"/>
              <w:widowControl/>
              <w:kinsoku/>
              <w:wordWrap/>
              <w:overflowPunct/>
              <w:autoSpaceDE/>
              <w:autoSpaceDN/>
              <w:bidi w:val="0"/>
              <w:spacing w:beforeAutospacing="0" w:afterAutospacing="0" w:line="360" w:lineRule="auto"/>
              <w:jc w:val="left"/>
              <w:rPr>
                <w:rFonts w:hint="eastAsia" w:ascii="宋体" w:hAnsi="宋体" w:cs="宋体"/>
                <w:color w:val="auto"/>
                <w:kern w:val="0"/>
                <w:sz w:val="24"/>
                <w:highlight w:val="none"/>
              </w:rPr>
            </w:pPr>
            <w:r>
              <w:rPr>
                <w:rFonts w:hint="eastAsia" w:ascii="宋体" w:hAnsi="宋体" w:cs="宋体"/>
                <w:color w:val="auto"/>
                <w:kern w:val="0"/>
                <w:sz w:val="24"/>
                <w:highlight w:val="none"/>
              </w:rPr>
              <w:t>溯源分析</w:t>
            </w:r>
          </w:p>
        </w:tc>
        <w:tc>
          <w:tcPr>
            <w:tcW w:w="378" w:type="pct"/>
            <w:tcBorders>
              <w:top w:val="single" w:color="auto" w:sz="4" w:space="0"/>
              <w:left w:val="nil"/>
              <w:bottom w:val="single" w:color="auto" w:sz="4" w:space="0"/>
              <w:right w:val="single" w:color="auto" w:sz="4" w:space="0"/>
            </w:tcBorders>
            <w:shd w:val="clear" w:color="000000" w:fill="FFFFFF"/>
            <w:vAlign w:val="center"/>
          </w:tcPr>
          <w:p w14:paraId="4C795702">
            <w:pPr>
              <w:pageBreakBefore w:val="0"/>
              <w:widowControl/>
              <w:kinsoku/>
              <w:wordWrap/>
              <w:overflowPunct/>
              <w:autoSpaceDE/>
              <w:autoSpaceDN/>
              <w:bidi w:val="0"/>
              <w:spacing w:beforeAutospacing="0" w:afterAutospacing="0" w:line="360" w:lineRule="auto"/>
              <w:jc w:val="left"/>
              <w:rPr>
                <w:rFonts w:hint="eastAsia" w:ascii="宋体" w:hAnsi="宋体" w:eastAsia="宋体" w:cs="宋体"/>
                <w:color w:val="auto"/>
                <w:kern w:val="0"/>
                <w:sz w:val="22"/>
                <w:highlight w:val="none"/>
              </w:rPr>
            </w:pPr>
            <w:r>
              <w:rPr>
                <w:rFonts w:hint="eastAsia" w:ascii="宋体" w:hAnsi="宋体" w:cs="宋体"/>
                <w:color w:val="auto"/>
                <w:kern w:val="0"/>
                <w:sz w:val="22"/>
                <w:highlight w:val="none"/>
              </w:rPr>
              <w:t>3.8</w:t>
            </w:r>
          </w:p>
        </w:tc>
        <w:tc>
          <w:tcPr>
            <w:tcW w:w="1888" w:type="pct"/>
            <w:tcBorders>
              <w:top w:val="nil"/>
              <w:left w:val="single" w:color="auto" w:sz="4" w:space="0"/>
              <w:bottom w:val="single" w:color="auto" w:sz="4" w:space="0"/>
              <w:right w:val="nil"/>
            </w:tcBorders>
            <w:shd w:val="clear" w:color="000000" w:fill="FFFFFF"/>
            <w:vAlign w:val="center"/>
          </w:tcPr>
          <w:p w14:paraId="4F3F0648">
            <w:pPr>
              <w:pageBreakBefore w:val="0"/>
              <w:widowControl/>
              <w:kinsoku/>
              <w:wordWrap/>
              <w:overflowPunct/>
              <w:autoSpaceDE/>
              <w:autoSpaceDN/>
              <w:bidi w:val="0"/>
              <w:spacing w:beforeAutospacing="0" w:afterAutospacing="0" w:line="360" w:lineRule="auto"/>
              <w:jc w:val="left"/>
              <w:rPr>
                <w:rFonts w:hint="eastAsia" w:ascii="宋体" w:hAnsi="宋体" w:eastAsia="宋体" w:cs="宋体"/>
                <w:color w:val="auto"/>
                <w:kern w:val="0"/>
                <w:sz w:val="22"/>
                <w:highlight w:val="none"/>
              </w:rPr>
            </w:pPr>
            <w:r>
              <w:rPr>
                <w:rFonts w:hint="eastAsia" w:ascii="宋体" w:hAnsi="宋体" w:cs="宋体"/>
                <w:color w:val="auto"/>
                <w:kern w:val="0"/>
                <w:sz w:val="22"/>
                <w:highlight w:val="none"/>
              </w:rPr>
              <w:t>提供对招标范围系统应急响应过程中收集的可疑文件（如病毒、蠕虫、木马）的逆向分析和追踪溯源工作，每出具一份定位到攻击者身份的溯源报告的，按加分标准加分</w:t>
            </w:r>
          </w:p>
        </w:tc>
        <w:tc>
          <w:tcPr>
            <w:tcW w:w="1134" w:type="pct"/>
            <w:tcBorders>
              <w:top w:val="nil"/>
              <w:left w:val="single" w:color="auto" w:sz="4" w:space="0"/>
              <w:bottom w:val="single" w:color="auto" w:sz="4" w:space="0"/>
              <w:right w:val="single" w:color="auto" w:sz="4" w:space="0"/>
            </w:tcBorders>
          </w:tcPr>
          <w:p w14:paraId="665A618D">
            <w:pPr>
              <w:pageBreakBefore w:val="0"/>
              <w:widowControl/>
              <w:kinsoku/>
              <w:wordWrap/>
              <w:overflowPunct/>
              <w:autoSpaceDE/>
              <w:autoSpaceDN/>
              <w:bidi w:val="0"/>
              <w:spacing w:beforeAutospacing="0" w:afterAutospacing="0" w:line="360" w:lineRule="auto"/>
              <w:jc w:val="left"/>
              <w:rPr>
                <w:rFonts w:hint="eastAsia" w:ascii="宋体" w:hAnsi="宋体" w:cs="宋体"/>
                <w:color w:val="auto"/>
                <w:kern w:val="0"/>
                <w:highlight w:val="none"/>
              </w:rPr>
            </w:pPr>
          </w:p>
        </w:tc>
        <w:tc>
          <w:tcPr>
            <w:tcW w:w="680" w:type="pct"/>
            <w:tcBorders>
              <w:top w:val="nil"/>
              <w:left w:val="single" w:color="auto" w:sz="4" w:space="0"/>
              <w:bottom w:val="single" w:color="auto" w:sz="4" w:space="0"/>
              <w:right w:val="single" w:color="auto" w:sz="4" w:space="0"/>
            </w:tcBorders>
            <w:noWrap/>
            <w:vAlign w:val="center"/>
          </w:tcPr>
          <w:p w14:paraId="5959DE7C">
            <w:pPr>
              <w:pageBreakBefore w:val="0"/>
              <w:widowControl/>
              <w:kinsoku/>
              <w:wordWrap/>
              <w:overflowPunct/>
              <w:autoSpaceDE/>
              <w:autoSpaceDN/>
              <w:bidi w:val="0"/>
              <w:spacing w:beforeAutospacing="0" w:afterAutospacing="0" w:line="360" w:lineRule="auto"/>
              <w:jc w:val="center"/>
              <w:rPr>
                <w:rFonts w:hint="eastAsia" w:ascii="宋体" w:hAnsi="宋体" w:eastAsia="宋体" w:cs="宋体"/>
                <w:color w:val="auto"/>
                <w:kern w:val="0"/>
                <w:highlight w:val="none"/>
              </w:rPr>
            </w:pPr>
            <w:r>
              <w:rPr>
                <w:rFonts w:hint="eastAsia" w:ascii="宋体" w:hAnsi="宋体" w:cs="宋体"/>
                <w:color w:val="auto"/>
                <w:kern w:val="0"/>
                <w:sz w:val="22"/>
                <w:highlight w:val="none"/>
              </w:rPr>
              <w:t>5分/次</w:t>
            </w:r>
          </w:p>
        </w:tc>
      </w:tr>
      <w:tr w14:paraId="30EB2F6D">
        <w:tblPrEx>
          <w:tblCellMar>
            <w:top w:w="0" w:type="dxa"/>
            <w:left w:w="108" w:type="dxa"/>
            <w:bottom w:w="0" w:type="dxa"/>
            <w:right w:w="108" w:type="dxa"/>
          </w:tblCellMar>
        </w:tblPrEx>
        <w:trPr>
          <w:trHeight w:val="660" w:hRule="atLeast"/>
        </w:trPr>
        <w:tc>
          <w:tcPr>
            <w:tcW w:w="463" w:type="pct"/>
            <w:vMerge w:val="restart"/>
            <w:tcBorders>
              <w:top w:val="single" w:color="auto" w:sz="4" w:space="0"/>
              <w:left w:val="single" w:color="auto" w:sz="4" w:space="0"/>
              <w:bottom w:val="single" w:color="auto" w:sz="4" w:space="0"/>
              <w:right w:val="single" w:color="auto" w:sz="4" w:space="0"/>
            </w:tcBorders>
            <w:shd w:val="clear" w:color="000000" w:fill="FFFFFF"/>
            <w:vAlign w:val="center"/>
          </w:tcPr>
          <w:p w14:paraId="5B75D4F1">
            <w:pPr>
              <w:pageBreakBefore w:val="0"/>
              <w:widowControl/>
              <w:kinsoku/>
              <w:wordWrap/>
              <w:overflowPunct/>
              <w:autoSpaceDE/>
              <w:autoSpaceDN/>
              <w:bidi w:val="0"/>
              <w:spacing w:beforeAutospacing="0" w:afterAutospacing="0" w:line="360" w:lineRule="auto"/>
              <w:jc w:val="center"/>
              <w:rPr>
                <w:rFonts w:hint="eastAsia" w:ascii="宋体" w:hAnsi="宋体" w:cs="宋体"/>
                <w:color w:val="auto"/>
                <w:kern w:val="0"/>
                <w:sz w:val="24"/>
                <w:highlight w:val="none"/>
              </w:rPr>
            </w:pPr>
            <w:r>
              <w:rPr>
                <w:rFonts w:hint="eastAsia" w:ascii="宋体" w:hAnsi="宋体" w:cs="宋体"/>
                <w:color w:val="auto"/>
                <w:kern w:val="0"/>
                <w:sz w:val="24"/>
                <w:highlight w:val="none"/>
              </w:rPr>
              <w:t>协同管控</w:t>
            </w:r>
          </w:p>
        </w:tc>
        <w:tc>
          <w:tcPr>
            <w:tcW w:w="455" w:type="pct"/>
            <w:tcBorders>
              <w:top w:val="nil"/>
              <w:left w:val="nil"/>
              <w:bottom w:val="single" w:color="auto" w:sz="4" w:space="0"/>
              <w:right w:val="single" w:color="auto" w:sz="4" w:space="0"/>
            </w:tcBorders>
            <w:shd w:val="clear" w:color="000000" w:fill="FFFFFF"/>
            <w:vAlign w:val="center"/>
          </w:tcPr>
          <w:p w14:paraId="32954403">
            <w:pPr>
              <w:pageBreakBefore w:val="0"/>
              <w:widowControl/>
              <w:kinsoku/>
              <w:wordWrap/>
              <w:overflowPunct/>
              <w:autoSpaceDE/>
              <w:autoSpaceDN/>
              <w:bidi w:val="0"/>
              <w:spacing w:beforeAutospacing="0" w:afterAutospacing="0" w:line="360" w:lineRule="auto"/>
              <w:jc w:val="left"/>
              <w:rPr>
                <w:rFonts w:hint="eastAsia" w:ascii="宋体" w:hAnsi="宋体" w:cs="宋体"/>
                <w:color w:val="auto"/>
                <w:kern w:val="0"/>
                <w:sz w:val="24"/>
                <w:highlight w:val="none"/>
              </w:rPr>
            </w:pPr>
            <w:r>
              <w:rPr>
                <w:rFonts w:hint="eastAsia" w:ascii="宋体" w:hAnsi="宋体" w:cs="宋体"/>
                <w:color w:val="auto"/>
                <w:kern w:val="0"/>
                <w:sz w:val="24"/>
                <w:highlight w:val="none"/>
              </w:rPr>
              <w:t>变更审批合规</w:t>
            </w:r>
          </w:p>
        </w:tc>
        <w:tc>
          <w:tcPr>
            <w:tcW w:w="378" w:type="pct"/>
            <w:tcBorders>
              <w:top w:val="single" w:color="auto" w:sz="4" w:space="0"/>
              <w:left w:val="nil"/>
              <w:bottom w:val="single" w:color="auto" w:sz="4" w:space="0"/>
              <w:right w:val="single" w:color="auto" w:sz="4" w:space="0"/>
            </w:tcBorders>
            <w:shd w:val="clear" w:color="000000" w:fill="FFFFFF"/>
            <w:vAlign w:val="center"/>
          </w:tcPr>
          <w:p w14:paraId="211BE748">
            <w:pPr>
              <w:pageBreakBefore w:val="0"/>
              <w:widowControl/>
              <w:kinsoku/>
              <w:wordWrap/>
              <w:overflowPunct/>
              <w:autoSpaceDE/>
              <w:autoSpaceDN/>
              <w:bidi w:val="0"/>
              <w:spacing w:beforeAutospacing="0" w:afterAutospacing="0" w:line="360" w:lineRule="auto"/>
              <w:jc w:val="left"/>
              <w:rPr>
                <w:rFonts w:hint="eastAsia" w:ascii="宋体" w:hAnsi="宋体" w:cs="宋体"/>
                <w:color w:val="auto"/>
                <w:kern w:val="0"/>
                <w:sz w:val="22"/>
                <w:highlight w:val="none"/>
              </w:rPr>
            </w:pPr>
            <w:r>
              <w:rPr>
                <w:rFonts w:hint="eastAsia" w:ascii="宋体" w:hAnsi="宋体" w:cs="宋体"/>
                <w:color w:val="auto"/>
                <w:kern w:val="0"/>
                <w:sz w:val="22"/>
                <w:highlight w:val="none"/>
              </w:rPr>
              <w:t>4.1</w:t>
            </w:r>
          </w:p>
        </w:tc>
        <w:tc>
          <w:tcPr>
            <w:tcW w:w="1888" w:type="pct"/>
            <w:tcBorders>
              <w:top w:val="nil"/>
              <w:left w:val="single" w:color="auto" w:sz="4" w:space="0"/>
              <w:bottom w:val="single" w:color="auto" w:sz="4" w:space="0"/>
              <w:right w:val="nil"/>
            </w:tcBorders>
            <w:shd w:val="clear" w:color="000000" w:fill="FFFFFF"/>
            <w:vAlign w:val="center"/>
          </w:tcPr>
          <w:p w14:paraId="4ED1AFD0">
            <w:pPr>
              <w:pageBreakBefore w:val="0"/>
              <w:widowControl/>
              <w:kinsoku/>
              <w:wordWrap/>
              <w:overflowPunct/>
              <w:autoSpaceDE/>
              <w:autoSpaceDN/>
              <w:bidi w:val="0"/>
              <w:spacing w:beforeAutospacing="0" w:afterAutospacing="0" w:line="360" w:lineRule="auto"/>
              <w:jc w:val="left"/>
              <w:rPr>
                <w:rFonts w:hint="eastAsia" w:ascii="宋体" w:hAnsi="宋体" w:cs="宋体"/>
                <w:color w:val="auto"/>
                <w:kern w:val="0"/>
                <w:sz w:val="22"/>
                <w:highlight w:val="none"/>
              </w:rPr>
            </w:pPr>
            <w:r>
              <w:rPr>
                <w:rFonts w:hint="eastAsia" w:ascii="宋体" w:hAnsi="宋体" w:cs="宋体"/>
                <w:color w:val="auto"/>
                <w:kern w:val="0"/>
                <w:sz w:val="22"/>
                <w:highlight w:val="none"/>
              </w:rPr>
              <w:t>严格按照各项变更审批流程要求完成审批后实施变更</w:t>
            </w:r>
          </w:p>
        </w:tc>
        <w:tc>
          <w:tcPr>
            <w:tcW w:w="1134" w:type="pct"/>
            <w:tcBorders>
              <w:top w:val="nil"/>
              <w:left w:val="single" w:color="auto" w:sz="4" w:space="0"/>
              <w:bottom w:val="single" w:color="auto" w:sz="4" w:space="0"/>
              <w:right w:val="single" w:color="auto" w:sz="4" w:space="0"/>
            </w:tcBorders>
            <w:shd w:val="clear" w:color="000000" w:fill="FFFFFF"/>
          </w:tcPr>
          <w:p w14:paraId="3513FC64">
            <w:pPr>
              <w:pageBreakBefore w:val="0"/>
              <w:widowControl/>
              <w:kinsoku/>
              <w:wordWrap/>
              <w:overflowPunct/>
              <w:autoSpaceDE/>
              <w:autoSpaceDN/>
              <w:bidi w:val="0"/>
              <w:spacing w:beforeAutospacing="0" w:afterAutospacing="0" w:line="360" w:lineRule="auto"/>
              <w:jc w:val="left"/>
              <w:rPr>
                <w:rFonts w:hint="eastAsia" w:ascii="宋体" w:hAnsi="宋体" w:cs="宋体"/>
                <w:color w:val="auto"/>
                <w:kern w:val="0"/>
                <w:highlight w:val="none"/>
              </w:rPr>
            </w:pPr>
            <w:r>
              <w:rPr>
                <w:rFonts w:hint="eastAsia" w:ascii="宋体" w:hAnsi="宋体" w:cs="宋体"/>
                <w:color w:val="auto"/>
                <w:kern w:val="0"/>
                <w:sz w:val="22"/>
                <w:highlight w:val="none"/>
              </w:rPr>
              <w:t>甲方出具整改通知书，且乙方没有实质性应答。</w:t>
            </w:r>
          </w:p>
        </w:tc>
        <w:tc>
          <w:tcPr>
            <w:tcW w:w="680" w:type="pct"/>
            <w:tcBorders>
              <w:top w:val="nil"/>
              <w:left w:val="single" w:color="auto" w:sz="4" w:space="0"/>
              <w:bottom w:val="single" w:color="auto" w:sz="4" w:space="0"/>
              <w:right w:val="single" w:color="auto" w:sz="4" w:space="0"/>
            </w:tcBorders>
            <w:shd w:val="clear" w:color="000000" w:fill="FFFFFF"/>
            <w:vAlign w:val="center"/>
          </w:tcPr>
          <w:p w14:paraId="67D4A0A6">
            <w:pPr>
              <w:pageBreakBefore w:val="0"/>
              <w:widowControl/>
              <w:kinsoku/>
              <w:wordWrap/>
              <w:overflowPunct/>
              <w:autoSpaceDE/>
              <w:autoSpaceDN/>
              <w:bidi w:val="0"/>
              <w:spacing w:beforeAutospacing="0" w:afterAutospacing="0" w:line="360" w:lineRule="auto"/>
              <w:jc w:val="center"/>
              <w:rPr>
                <w:rFonts w:hint="eastAsia" w:ascii="宋体" w:hAnsi="宋体" w:cs="宋体"/>
                <w:color w:val="auto"/>
                <w:kern w:val="0"/>
                <w:highlight w:val="none"/>
              </w:rPr>
            </w:pPr>
            <w:r>
              <w:rPr>
                <w:rFonts w:hint="eastAsia" w:ascii="宋体" w:hAnsi="宋体" w:cs="宋体"/>
                <w:color w:val="auto"/>
                <w:kern w:val="0"/>
                <w:highlight w:val="none"/>
              </w:rPr>
              <w:t>-2分/次</w:t>
            </w:r>
          </w:p>
        </w:tc>
      </w:tr>
      <w:tr w14:paraId="6E228E49">
        <w:tblPrEx>
          <w:tblCellMar>
            <w:top w:w="0" w:type="dxa"/>
            <w:left w:w="108" w:type="dxa"/>
            <w:bottom w:w="0" w:type="dxa"/>
            <w:right w:w="108" w:type="dxa"/>
          </w:tblCellMar>
        </w:tblPrEx>
        <w:trPr>
          <w:trHeight w:val="660" w:hRule="atLeast"/>
        </w:trPr>
        <w:tc>
          <w:tcPr>
            <w:tcW w:w="463" w:type="pct"/>
            <w:vMerge w:val="continue"/>
            <w:tcBorders>
              <w:top w:val="single" w:color="auto" w:sz="4" w:space="0"/>
              <w:left w:val="single" w:color="auto" w:sz="4" w:space="0"/>
              <w:bottom w:val="single" w:color="auto" w:sz="4" w:space="0"/>
              <w:right w:val="single" w:color="auto" w:sz="4" w:space="0"/>
            </w:tcBorders>
            <w:vAlign w:val="center"/>
          </w:tcPr>
          <w:p w14:paraId="62B96B32">
            <w:pPr>
              <w:pageBreakBefore w:val="0"/>
              <w:widowControl/>
              <w:kinsoku/>
              <w:wordWrap/>
              <w:overflowPunct/>
              <w:autoSpaceDE/>
              <w:autoSpaceDN/>
              <w:bidi w:val="0"/>
              <w:spacing w:beforeAutospacing="0" w:afterAutospacing="0" w:line="360" w:lineRule="auto"/>
              <w:jc w:val="left"/>
              <w:rPr>
                <w:rFonts w:hint="eastAsia" w:ascii="宋体" w:hAnsi="宋体" w:cs="宋体"/>
                <w:color w:val="auto"/>
                <w:kern w:val="0"/>
                <w:sz w:val="24"/>
                <w:highlight w:val="none"/>
              </w:rPr>
            </w:pPr>
          </w:p>
        </w:tc>
        <w:tc>
          <w:tcPr>
            <w:tcW w:w="455" w:type="pct"/>
            <w:tcBorders>
              <w:top w:val="single" w:color="auto" w:sz="4" w:space="0"/>
              <w:left w:val="nil"/>
              <w:bottom w:val="single" w:color="auto" w:sz="4" w:space="0"/>
              <w:right w:val="single" w:color="auto" w:sz="4" w:space="0"/>
            </w:tcBorders>
            <w:shd w:val="clear" w:color="000000" w:fill="FFFFFF"/>
            <w:vAlign w:val="center"/>
          </w:tcPr>
          <w:p w14:paraId="36789C02">
            <w:pPr>
              <w:pageBreakBefore w:val="0"/>
              <w:widowControl/>
              <w:kinsoku/>
              <w:wordWrap/>
              <w:overflowPunct/>
              <w:autoSpaceDE/>
              <w:autoSpaceDN/>
              <w:bidi w:val="0"/>
              <w:spacing w:beforeAutospacing="0" w:afterAutospacing="0" w:line="360" w:lineRule="auto"/>
              <w:jc w:val="left"/>
              <w:rPr>
                <w:rFonts w:hint="eastAsia" w:ascii="宋体" w:hAnsi="宋体" w:cs="宋体"/>
                <w:color w:val="auto"/>
                <w:kern w:val="0"/>
                <w:sz w:val="24"/>
                <w:highlight w:val="none"/>
              </w:rPr>
            </w:pPr>
            <w:r>
              <w:rPr>
                <w:rFonts w:hint="eastAsia" w:ascii="宋体" w:hAnsi="宋体" w:cs="宋体"/>
                <w:color w:val="auto"/>
                <w:kern w:val="0"/>
                <w:sz w:val="24"/>
                <w:highlight w:val="none"/>
              </w:rPr>
              <w:t>出席会议</w:t>
            </w:r>
          </w:p>
        </w:tc>
        <w:tc>
          <w:tcPr>
            <w:tcW w:w="378" w:type="pct"/>
            <w:tcBorders>
              <w:top w:val="single" w:color="auto" w:sz="4" w:space="0"/>
              <w:left w:val="nil"/>
              <w:bottom w:val="single" w:color="auto" w:sz="4" w:space="0"/>
              <w:right w:val="single" w:color="auto" w:sz="4" w:space="0"/>
            </w:tcBorders>
            <w:shd w:val="clear" w:color="000000" w:fill="FFFFFF"/>
            <w:vAlign w:val="center"/>
          </w:tcPr>
          <w:p w14:paraId="51BBC60B">
            <w:pPr>
              <w:pageBreakBefore w:val="0"/>
              <w:widowControl/>
              <w:kinsoku/>
              <w:wordWrap/>
              <w:overflowPunct/>
              <w:autoSpaceDE/>
              <w:autoSpaceDN/>
              <w:bidi w:val="0"/>
              <w:spacing w:beforeAutospacing="0" w:afterAutospacing="0" w:line="360" w:lineRule="auto"/>
              <w:jc w:val="left"/>
              <w:rPr>
                <w:rFonts w:hint="eastAsia" w:ascii="宋体" w:hAnsi="宋体" w:cs="宋体"/>
                <w:color w:val="auto"/>
                <w:kern w:val="0"/>
                <w:sz w:val="22"/>
                <w:highlight w:val="none"/>
              </w:rPr>
            </w:pPr>
            <w:r>
              <w:rPr>
                <w:rFonts w:hint="eastAsia" w:ascii="宋体" w:hAnsi="宋体" w:cs="宋体"/>
                <w:color w:val="auto"/>
                <w:kern w:val="0"/>
                <w:sz w:val="22"/>
                <w:highlight w:val="none"/>
              </w:rPr>
              <w:t>4.2</w:t>
            </w:r>
          </w:p>
        </w:tc>
        <w:tc>
          <w:tcPr>
            <w:tcW w:w="1888" w:type="pct"/>
            <w:tcBorders>
              <w:top w:val="single" w:color="auto" w:sz="4" w:space="0"/>
              <w:left w:val="single" w:color="auto" w:sz="4" w:space="0"/>
              <w:bottom w:val="single" w:color="auto" w:sz="4" w:space="0"/>
              <w:right w:val="nil"/>
            </w:tcBorders>
            <w:shd w:val="clear" w:color="000000" w:fill="FFFFFF"/>
            <w:vAlign w:val="center"/>
          </w:tcPr>
          <w:p w14:paraId="42990DBB">
            <w:pPr>
              <w:pageBreakBefore w:val="0"/>
              <w:widowControl/>
              <w:kinsoku/>
              <w:wordWrap/>
              <w:overflowPunct/>
              <w:autoSpaceDE/>
              <w:autoSpaceDN/>
              <w:bidi w:val="0"/>
              <w:spacing w:beforeAutospacing="0" w:afterAutospacing="0" w:line="360" w:lineRule="auto"/>
              <w:jc w:val="left"/>
              <w:rPr>
                <w:rFonts w:hint="eastAsia" w:ascii="宋体" w:hAnsi="宋体" w:cs="宋体"/>
                <w:color w:val="auto"/>
                <w:kern w:val="0"/>
                <w:sz w:val="22"/>
                <w:highlight w:val="none"/>
              </w:rPr>
            </w:pPr>
            <w:r>
              <w:rPr>
                <w:rFonts w:hint="eastAsia" w:ascii="宋体" w:hAnsi="宋体" w:cs="宋体"/>
                <w:color w:val="auto"/>
                <w:kern w:val="0"/>
                <w:sz w:val="22"/>
                <w:highlight w:val="none"/>
              </w:rPr>
              <w:t>准时参加各项与项目相关的会议，如有问题事先应向会议组织者请假并获得同意</w:t>
            </w:r>
          </w:p>
        </w:tc>
        <w:tc>
          <w:tcPr>
            <w:tcW w:w="1134" w:type="pct"/>
            <w:tcBorders>
              <w:top w:val="single" w:color="auto" w:sz="4" w:space="0"/>
              <w:left w:val="single" w:color="auto" w:sz="4" w:space="0"/>
              <w:bottom w:val="single" w:color="auto" w:sz="4" w:space="0"/>
              <w:right w:val="single" w:color="auto" w:sz="4" w:space="0"/>
            </w:tcBorders>
            <w:shd w:val="clear" w:color="000000" w:fill="FFFFFF"/>
          </w:tcPr>
          <w:p w14:paraId="4E8A6CC9">
            <w:pPr>
              <w:pageBreakBefore w:val="0"/>
              <w:widowControl/>
              <w:kinsoku/>
              <w:wordWrap/>
              <w:overflowPunct/>
              <w:autoSpaceDE/>
              <w:autoSpaceDN/>
              <w:bidi w:val="0"/>
              <w:spacing w:beforeAutospacing="0" w:afterAutospacing="0" w:line="360" w:lineRule="auto"/>
              <w:jc w:val="left"/>
              <w:rPr>
                <w:rFonts w:hint="eastAsia" w:ascii="宋体" w:hAnsi="宋体" w:cs="宋体"/>
                <w:color w:val="auto"/>
                <w:kern w:val="0"/>
                <w:highlight w:val="none"/>
              </w:rPr>
            </w:pPr>
            <w:r>
              <w:rPr>
                <w:rFonts w:hint="eastAsia" w:ascii="宋体" w:hAnsi="宋体" w:cs="宋体"/>
                <w:color w:val="auto"/>
                <w:kern w:val="0"/>
                <w:sz w:val="22"/>
                <w:highlight w:val="none"/>
              </w:rPr>
              <w:t>甲方出具整改通知书，且乙方没有实质性应答。</w:t>
            </w:r>
          </w:p>
        </w:tc>
        <w:tc>
          <w:tcPr>
            <w:tcW w:w="680" w:type="pct"/>
            <w:tcBorders>
              <w:top w:val="single" w:color="auto" w:sz="4" w:space="0"/>
              <w:left w:val="single" w:color="auto" w:sz="4" w:space="0"/>
              <w:bottom w:val="single" w:color="auto" w:sz="4" w:space="0"/>
              <w:right w:val="single" w:color="auto" w:sz="4" w:space="0"/>
            </w:tcBorders>
            <w:shd w:val="clear" w:color="000000" w:fill="FFFFFF"/>
            <w:vAlign w:val="center"/>
          </w:tcPr>
          <w:p w14:paraId="2B95642B">
            <w:pPr>
              <w:pageBreakBefore w:val="0"/>
              <w:widowControl/>
              <w:kinsoku/>
              <w:wordWrap/>
              <w:overflowPunct/>
              <w:autoSpaceDE/>
              <w:autoSpaceDN/>
              <w:bidi w:val="0"/>
              <w:spacing w:beforeAutospacing="0" w:afterAutospacing="0" w:line="360" w:lineRule="auto"/>
              <w:jc w:val="center"/>
              <w:rPr>
                <w:rFonts w:hint="eastAsia" w:ascii="宋体" w:hAnsi="宋体" w:cs="宋体"/>
                <w:color w:val="auto"/>
                <w:kern w:val="0"/>
                <w:highlight w:val="none"/>
              </w:rPr>
            </w:pPr>
            <w:r>
              <w:rPr>
                <w:rFonts w:hint="eastAsia" w:ascii="宋体" w:hAnsi="宋体" w:cs="宋体"/>
                <w:color w:val="auto"/>
                <w:kern w:val="0"/>
                <w:highlight w:val="none"/>
              </w:rPr>
              <w:t>-1分/次</w:t>
            </w:r>
          </w:p>
        </w:tc>
      </w:tr>
      <w:tr w14:paraId="6FA36AAF">
        <w:tblPrEx>
          <w:tblCellMar>
            <w:top w:w="0" w:type="dxa"/>
            <w:left w:w="108" w:type="dxa"/>
            <w:bottom w:w="0" w:type="dxa"/>
            <w:right w:w="108" w:type="dxa"/>
          </w:tblCellMar>
        </w:tblPrEx>
        <w:trPr>
          <w:trHeight w:val="660" w:hRule="atLeast"/>
        </w:trPr>
        <w:tc>
          <w:tcPr>
            <w:tcW w:w="463" w:type="pct"/>
            <w:vMerge w:val="restart"/>
            <w:tcBorders>
              <w:top w:val="single" w:color="auto" w:sz="4" w:space="0"/>
              <w:left w:val="single" w:color="auto" w:sz="4" w:space="0"/>
              <w:right w:val="single" w:color="auto" w:sz="4" w:space="0"/>
            </w:tcBorders>
            <w:vAlign w:val="center"/>
          </w:tcPr>
          <w:p w14:paraId="2E761699">
            <w:pPr>
              <w:pageBreakBefore w:val="0"/>
              <w:widowControl/>
              <w:kinsoku/>
              <w:wordWrap/>
              <w:overflowPunct/>
              <w:autoSpaceDE/>
              <w:autoSpaceDN/>
              <w:bidi w:val="0"/>
              <w:spacing w:beforeAutospacing="0" w:afterAutospacing="0" w:line="360" w:lineRule="auto"/>
              <w:jc w:val="left"/>
              <w:rPr>
                <w:rFonts w:hint="eastAsia" w:ascii="宋体" w:hAnsi="宋体" w:cs="宋体"/>
                <w:color w:val="auto"/>
                <w:kern w:val="0"/>
                <w:sz w:val="24"/>
                <w:highlight w:val="none"/>
              </w:rPr>
            </w:pPr>
            <w:r>
              <w:rPr>
                <w:rFonts w:hint="eastAsia" w:ascii="宋体" w:hAnsi="宋体" w:cs="宋体"/>
                <w:color w:val="auto"/>
                <w:kern w:val="0"/>
                <w:sz w:val="24"/>
                <w:highlight w:val="none"/>
              </w:rPr>
              <w:t>奖惩</w:t>
            </w:r>
          </w:p>
        </w:tc>
        <w:tc>
          <w:tcPr>
            <w:tcW w:w="455" w:type="pct"/>
            <w:tcBorders>
              <w:top w:val="single" w:color="auto" w:sz="4" w:space="0"/>
              <w:left w:val="nil"/>
              <w:bottom w:val="single" w:color="auto" w:sz="4" w:space="0"/>
              <w:right w:val="single" w:color="auto" w:sz="4" w:space="0"/>
            </w:tcBorders>
            <w:shd w:val="clear" w:color="000000" w:fill="FFFFFF"/>
            <w:vAlign w:val="center"/>
          </w:tcPr>
          <w:p w14:paraId="2B5C58EF">
            <w:pPr>
              <w:pageBreakBefore w:val="0"/>
              <w:widowControl/>
              <w:kinsoku/>
              <w:wordWrap/>
              <w:overflowPunct/>
              <w:autoSpaceDE/>
              <w:autoSpaceDN/>
              <w:bidi w:val="0"/>
              <w:spacing w:beforeAutospacing="0" w:afterAutospacing="0" w:line="360" w:lineRule="auto"/>
              <w:jc w:val="left"/>
              <w:rPr>
                <w:rFonts w:hint="eastAsia" w:ascii="宋体" w:hAnsi="宋体" w:cs="宋体"/>
                <w:color w:val="auto"/>
                <w:kern w:val="0"/>
                <w:sz w:val="24"/>
                <w:highlight w:val="none"/>
              </w:rPr>
            </w:pPr>
            <w:r>
              <w:rPr>
                <w:rFonts w:hint="eastAsia" w:ascii="宋体" w:hAnsi="宋体" w:cs="宋体"/>
                <w:color w:val="auto"/>
                <w:kern w:val="0"/>
                <w:sz w:val="24"/>
                <w:highlight w:val="none"/>
              </w:rPr>
              <w:t>奖励</w:t>
            </w:r>
          </w:p>
        </w:tc>
        <w:tc>
          <w:tcPr>
            <w:tcW w:w="378" w:type="pct"/>
            <w:tcBorders>
              <w:top w:val="single" w:color="auto" w:sz="4" w:space="0"/>
              <w:left w:val="nil"/>
              <w:bottom w:val="single" w:color="auto" w:sz="4" w:space="0"/>
              <w:right w:val="single" w:color="auto" w:sz="4" w:space="0"/>
            </w:tcBorders>
            <w:shd w:val="clear" w:color="000000" w:fill="FFFFFF"/>
            <w:vAlign w:val="center"/>
          </w:tcPr>
          <w:p w14:paraId="16C43D99">
            <w:pPr>
              <w:pageBreakBefore w:val="0"/>
              <w:widowControl/>
              <w:kinsoku/>
              <w:wordWrap/>
              <w:overflowPunct/>
              <w:autoSpaceDE/>
              <w:autoSpaceDN/>
              <w:bidi w:val="0"/>
              <w:spacing w:beforeAutospacing="0" w:afterAutospacing="0" w:line="360" w:lineRule="auto"/>
              <w:jc w:val="left"/>
              <w:rPr>
                <w:rFonts w:hint="eastAsia" w:ascii="宋体" w:hAnsi="宋体" w:cs="宋体"/>
                <w:color w:val="auto"/>
                <w:kern w:val="0"/>
                <w:sz w:val="24"/>
                <w:highlight w:val="none"/>
              </w:rPr>
            </w:pPr>
            <w:r>
              <w:rPr>
                <w:rFonts w:hint="eastAsia" w:ascii="宋体" w:hAnsi="宋体" w:cs="宋体"/>
                <w:color w:val="auto"/>
                <w:kern w:val="0"/>
                <w:sz w:val="24"/>
                <w:highlight w:val="none"/>
              </w:rPr>
              <w:t>5.1</w:t>
            </w:r>
          </w:p>
        </w:tc>
        <w:tc>
          <w:tcPr>
            <w:tcW w:w="1888" w:type="pct"/>
            <w:tcBorders>
              <w:top w:val="single" w:color="auto" w:sz="4" w:space="0"/>
              <w:left w:val="single" w:color="auto" w:sz="4" w:space="0"/>
              <w:bottom w:val="single" w:color="auto" w:sz="4" w:space="0"/>
              <w:right w:val="nil"/>
            </w:tcBorders>
            <w:shd w:val="clear" w:color="000000" w:fill="FFFFFF"/>
            <w:vAlign w:val="center"/>
          </w:tcPr>
          <w:p w14:paraId="7CB4AEB2">
            <w:pPr>
              <w:pageBreakBefore w:val="0"/>
              <w:widowControl/>
              <w:kinsoku/>
              <w:wordWrap/>
              <w:overflowPunct/>
              <w:autoSpaceDE/>
              <w:autoSpaceDN/>
              <w:bidi w:val="0"/>
              <w:spacing w:beforeAutospacing="0" w:afterAutospacing="0" w:line="360" w:lineRule="auto"/>
              <w:jc w:val="left"/>
              <w:rPr>
                <w:rFonts w:hint="eastAsia" w:ascii="宋体" w:hAnsi="宋体" w:cs="宋体"/>
                <w:color w:val="auto"/>
                <w:kern w:val="0"/>
                <w:sz w:val="22"/>
                <w:highlight w:val="none"/>
              </w:rPr>
            </w:pPr>
            <w:r>
              <w:rPr>
                <w:rFonts w:hint="eastAsia" w:ascii="宋体" w:hAnsi="宋体" w:cs="宋体"/>
                <w:color w:val="auto"/>
                <w:kern w:val="0"/>
                <w:sz w:val="22"/>
                <w:highlight w:val="none"/>
              </w:rPr>
              <w:t>甲方就本合同出具正式的表扬公告、信函等。</w:t>
            </w:r>
          </w:p>
        </w:tc>
        <w:tc>
          <w:tcPr>
            <w:tcW w:w="1134" w:type="pct"/>
            <w:tcBorders>
              <w:top w:val="single" w:color="auto" w:sz="4" w:space="0"/>
              <w:left w:val="single" w:color="auto" w:sz="4" w:space="0"/>
              <w:bottom w:val="single" w:color="auto" w:sz="4" w:space="0"/>
              <w:right w:val="single" w:color="auto" w:sz="4" w:space="0"/>
            </w:tcBorders>
            <w:shd w:val="clear" w:color="000000" w:fill="FFFFFF"/>
          </w:tcPr>
          <w:p w14:paraId="7F6DDD7A">
            <w:pPr>
              <w:pageBreakBefore w:val="0"/>
              <w:widowControl/>
              <w:kinsoku/>
              <w:wordWrap/>
              <w:overflowPunct/>
              <w:autoSpaceDE/>
              <w:autoSpaceDN/>
              <w:bidi w:val="0"/>
              <w:spacing w:beforeAutospacing="0" w:afterAutospacing="0" w:line="360" w:lineRule="auto"/>
              <w:jc w:val="left"/>
              <w:rPr>
                <w:rFonts w:hint="eastAsia" w:ascii="宋体" w:hAnsi="宋体" w:cs="宋体"/>
                <w:color w:val="auto"/>
                <w:kern w:val="0"/>
                <w:sz w:val="22"/>
                <w:highlight w:val="none"/>
              </w:rPr>
            </w:pPr>
            <w:r>
              <w:rPr>
                <w:rFonts w:hint="eastAsia" w:ascii="宋体" w:hAnsi="宋体" w:cs="宋体"/>
                <w:color w:val="auto"/>
                <w:kern w:val="0"/>
                <w:sz w:val="22"/>
                <w:highlight w:val="none"/>
              </w:rPr>
              <w:t>依据甲方出具的表扬表扬公告、信函等</w:t>
            </w:r>
          </w:p>
        </w:tc>
        <w:tc>
          <w:tcPr>
            <w:tcW w:w="680" w:type="pct"/>
            <w:tcBorders>
              <w:top w:val="single" w:color="auto" w:sz="4" w:space="0"/>
              <w:left w:val="single" w:color="auto" w:sz="4" w:space="0"/>
              <w:bottom w:val="single" w:color="auto" w:sz="4" w:space="0"/>
              <w:right w:val="single" w:color="auto" w:sz="4" w:space="0"/>
            </w:tcBorders>
            <w:shd w:val="clear" w:color="000000" w:fill="FFFFFF"/>
            <w:vAlign w:val="center"/>
          </w:tcPr>
          <w:p w14:paraId="35004A6C">
            <w:pPr>
              <w:pageBreakBefore w:val="0"/>
              <w:widowControl/>
              <w:kinsoku/>
              <w:wordWrap/>
              <w:overflowPunct/>
              <w:autoSpaceDE/>
              <w:autoSpaceDN/>
              <w:bidi w:val="0"/>
              <w:spacing w:beforeAutospacing="0" w:afterAutospacing="0" w:line="360" w:lineRule="auto"/>
              <w:jc w:val="center"/>
              <w:rPr>
                <w:rFonts w:hint="eastAsia" w:ascii="宋体" w:hAnsi="宋体" w:cs="宋体"/>
                <w:color w:val="auto"/>
                <w:kern w:val="0"/>
                <w:highlight w:val="none"/>
              </w:rPr>
            </w:pPr>
            <w:r>
              <w:rPr>
                <w:rFonts w:hint="eastAsia" w:ascii="宋体" w:hAnsi="宋体" w:cs="宋体"/>
                <w:color w:val="auto"/>
                <w:kern w:val="0"/>
                <w:highlight w:val="none"/>
              </w:rPr>
              <w:t>加分项：5分/次；累计不超过10分。</w:t>
            </w:r>
          </w:p>
        </w:tc>
      </w:tr>
      <w:tr w14:paraId="6E2CD4FE">
        <w:tblPrEx>
          <w:tblCellMar>
            <w:top w:w="0" w:type="dxa"/>
            <w:left w:w="108" w:type="dxa"/>
            <w:bottom w:w="0" w:type="dxa"/>
            <w:right w:w="108" w:type="dxa"/>
          </w:tblCellMar>
        </w:tblPrEx>
        <w:trPr>
          <w:trHeight w:val="660" w:hRule="atLeast"/>
        </w:trPr>
        <w:tc>
          <w:tcPr>
            <w:tcW w:w="463" w:type="pct"/>
            <w:vMerge w:val="continue"/>
            <w:tcBorders>
              <w:left w:val="single" w:color="auto" w:sz="4" w:space="0"/>
              <w:bottom w:val="single" w:color="auto" w:sz="4" w:space="0"/>
              <w:right w:val="single" w:color="auto" w:sz="4" w:space="0"/>
            </w:tcBorders>
            <w:vAlign w:val="center"/>
          </w:tcPr>
          <w:p w14:paraId="7ED494E7">
            <w:pPr>
              <w:pageBreakBefore w:val="0"/>
              <w:widowControl/>
              <w:kinsoku/>
              <w:wordWrap/>
              <w:overflowPunct/>
              <w:autoSpaceDE/>
              <w:autoSpaceDN/>
              <w:bidi w:val="0"/>
              <w:spacing w:beforeAutospacing="0" w:afterAutospacing="0" w:line="360" w:lineRule="auto"/>
              <w:jc w:val="left"/>
              <w:rPr>
                <w:rFonts w:hint="eastAsia" w:ascii="宋体" w:hAnsi="宋体" w:cs="宋体"/>
                <w:color w:val="auto"/>
                <w:kern w:val="0"/>
                <w:sz w:val="24"/>
                <w:highlight w:val="none"/>
              </w:rPr>
            </w:pPr>
          </w:p>
        </w:tc>
        <w:tc>
          <w:tcPr>
            <w:tcW w:w="455" w:type="pct"/>
            <w:tcBorders>
              <w:top w:val="single" w:color="auto" w:sz="4" w:space="0"/>
              <w:left w:val="nil"/>
              <w:bottom w:val="single" w:color="auto" w:sz="4" w:space="0"/>
              <w:right w:val="single" w:color="auto" w:sz="4" w:space="0"/>
            </w:tcBorders>
            <w:shd w:val="clear" w:color="000000" w:fill="FFFFFF"/>
            <w:vAlign w:val="center"/>
          </w:tcPr>
          <w:p w14:paraId="277277CA">
            <w:pPr>
              <w:pageBreakBefore w:val="0"/>
              <w:widowControl/>
              <w:kinsoku/>
              <w:wordWrap/>
              <w:overflowPunct/>
              <w:autoSpaceDE/>
              <w:autoSpaceDN/>
              <w:bidi w:val="0"/>
              <w:spacing w:beforeAutospacing="0" w:afterAutospacing="0" w:line="360" w:lineRule="auto"/>
              <w:jc w:val="left"/>
              <w:rPr>
                <w:rFonts w:hint="eastAsia" w:ascii="宋体" w:hAnsi="宋体" w:cs="宋体"/>
                <w:color w:val="auto"/>
                <w:kern w:val="0"/>
                <w:sz w:val="24"/>
                <w:highlight w:val="none"/>
              </w:rPr>
            </w:pPr>
            <w:r>
              <w:rPr>
                <w:rFonts w:hint="eastAsia" w:ascii="宋体" w:hAnsi="宋体" w:cs="宋体"/>
                <w:color w:val="auto"/>
                <w:kern w:val="0"/>
                <w:sz w:val="24"/>
                <w:highlight w:val="none"/>
              </w:rPr>
              <w:t>惩罚</w:t>
            </w:r>
          </w:p>
        </w:tc>
        <w:tc>
          <w:tcPr>
            <w:tcW w:w="378" w:type="pct"/>
            <w:tcBorders>
              <w:top w:val="single" w:color="auto" w:sz="4" w:space="0"/>
              <w:left w:val="nil"/>
              <w:bottom w:val="single" w:color="auto" w:sz="4" w:space="0"/>
              <w:right w:val="single" w:color="auto" w:sz="4" w:space="0"/>
            </w:tcBorders>
            <w:shd w:val="clear" w:color="000000" w:fill="FFFFFF"/>
            <w:vAlign w:val="center"/>
          </w:tcPr>
          <w:p w14:paraId="0B37500D">
            <w:pPr>
              <w:pageBreakBefore w:val="0"/>
              <w:widowControl/>
              <w:kinsoku/>
              <w:wordWrap/>
              <w:overflowPunct/>
              <w:autoSpaceDE/>
              <w:autoSpaceDN/>
              <w:bidi w:val="0"/>
              <w:spacing w:beforeAutospacing="0" w:afterAutospacing="0" w:line="360" w:lineRule="auto"/>
              <w:jc w:val="left"/>
              <w:rPr>
                <w:rFonts w:hint="eastAsia" w:ascii="宋体" w:hAnsi="宋体" w:cs="宋体"/>
                <w:color w:val="auto"/>
                <w:kern w:val="0"/>
                <w:sz w:val="22"/>
                <w:highlight w:val="none"/>
              </w:rPr>
            </w:pPr>
            <w:r>
              <w:rPr>
                <w:rFonts w:hint="eastAsia" w:ascii="宋体" w:hAnsi="宋体" w:cs="宋体"/>
                <w:color w:val="auto"/>
                <w:kern w:val="0"/>
                <w:sz w:val="22"/>
                <w:highlight w:val="none"/>
              </w:rPr>
              <w:t>5.2</w:t>
            </w:r>
          </w:p>
        </w:tc>
        <w:tc>
          <w:tcPr>
            <w:tcW w:w="1888" w:type="pct"/>
            <w:tcBorders>
              <w:top w:val="single" w:color="auto" w:sz="4" w:space="0"/>
              <w:left w:val="single" w:color="auto" w:sz="4" w:space="0"/>
              <w:bottom w:val="single" w:color="auto" w:sz="4" w:space="0"/>
              <w:right w:val="nil"/>
            </w:tcBorders>
            <w:shd w:val="clear" w:color="000000" w:fill="FFFFFF"/>
            <w:vAlign w:val="center"/>
          </w:tcPr>
          <w:p w14:paraId="29A56764">
            <w:pPr>
              <w:pageBreakBefore w:val="0"/>
              <w:widowControl/>
              <w:kinsoku/>
              <w:wordWrap/>
              <w:overflowPunct/>
              <w:autoSpaceDE/>
              <w:autoSpaceDN/>
              <w:bidi w:val="0"/>
              <w:spacing w:beforeAutospacing="0" w:afterAutospacing="0" w:line="360" w:lineRule="auto"/>
              <w:jc w:val="left"/>
              <w:rPr>
                <w:rFonts w:hint="eastAsia" w:ascii="宋体" w:hAnsi="宋体" w:cs="宋体"/>
                <w:color w:val="auto"/>
                <w:kern w:val="0"/>
                <w:sz w:val="22"/>
                <w:highlight w:val="none"/>
              </w:rPr>
            </w:pPr>
            <w:r>
              <w:rPr>
                <w:rFonts w:hint="eastAsia" w:ascii="宋体" w:hAnsi="宋体" w:cs="宋体"/>
                <w:color w:val="auto"/>
                <w:kern w:val="0"/>
                <w:sz w:val="22"/>
                <w:highlight w:val="none"/>
              </w:rPr>
              <w:t>上级通报</w:t>
            </w:r>
            <w:r>
              <w:rPr>
                <w:rFonts w:ascii="宋体" w:hAnsi="宋体" w:cs="宋体"/>
                <w:color w:val="auto"/>
                <w:kern w:val="0"/>
                <w:sz w:val="22"/>
                <w:highlight w:val="none"/>
              </w:rPr>
              <w:t>。</w:t>
            </w:r>
          </w:p>
        </w:tc>
        <w:tc>
          <w:tcPr>
            <w:tcW w:w="1134" w:type="pct"/>
            <w:tcBorders>
              <w:top w:val="single" w:color="auto" w:sz="4" w:space="0"/>
              <w:left w:val="single" w:color="auto" w:sz="4" w:space="0"/>
              <w:bottom w:val="single" w:color="auto" w:sz="4" w:space="0"/>
              <w:right w:val="single" w:color="auto" w:sz="4" w:space="0"/>
            </w:tcBorders>
            <w:shd w:val="clear" w:color="000000" w:fill="FFFFFF"/>
          </w:tcPr>
          <w:p w14:paraId="7931E2A4">
            <w:pPr>
              <w:pageBreakBefore w:val="0"/>
              <w:widowControl/>
              <w:kinsoku/>
              <w:wordWrap/>
              <w:overflowPunct/>
              <w:autoSpaceDE/>
              <w:autoSpaceDN/>
              <w:bidi w:val="0"/>
              <w:spacing w:beforeAutospacing="0" w:afterAutospacing="0" w:line="360" w:lineRule="auto"/>
              <w:jc w:val="left"/>
              <w:rPr>
                <w:rFonts w:hint="eastAsia" w:ascii="宋体" w:hAnsi="宋体" w:cs="宋体"/>
                <w:color w:val="auto"/>
                <w:kern w:val="0"/>
                <w:highlight w:val="none"/>
              </w:rPr>
            </w:pPr>
            <w:r>
              <w:rPr>
                <w:rFonts w:hint="eastAsia" w:ascii="宋体" w:hAnsi="宋体" w:cs="宋体"/>
                <w:color w:val="auto"/>
                <w:kern w:val="0"/>
                <w:highlight w:val="none"/>
              </w:rPr>
              <w:t>以南方电网公司、广东电网公司相关发文和考核结果为依据。</w:t>
            </w:r>
          </w:p>
        </w:tc>
        <w:tc>
          <w:tcPr>
            <w:tcW w:w="680" w:type="pct"/>
            <w:tcBorders>
              <w:top w:val="single" w:color="auto" w:sz="4" w:space="0"/>
              <w:left w:val="single" w:color="auto" w:sz="4" w:space="0"/>
              <w:bottom w:val="single" w:color="auto" w:sz="4" w:space="0"/>
              <w:right w:val="single" w:color="auto" w:sz="4" w:space="0"/>
            </w:tcBorders>
            <w:shd w:val="clear" w:color="000000" w:fill="FFFFFF"/>
            <w:vAlign w:val="center"/>
          </w:tcPr>
          <w:p w14:paraId="7B721B0A">
            <w:pPr>
              <w:pageBreakBefore w:val="0"/>
              <w:widowControl/>
              <w:kinsoku/>
              <w:wordWrap/>
              <w:overflowPunct/>
              <w:autoSpaceDE/>
              <w:autoSpaceDN/>
              <w:bidi w:val="0"/>
              <w:spacing w:beforeAutospacing="0" w:afterAutospacing="0" w:line="360" w:lineRule="auto"/>
              <w:jc w:val="center"/>
              <w:rPr>
                <w:rFonts w:hint="eastAsia" w:ascii="宋体" w:hAnsi="宋体" w:cs="宋体"/>
                <w:color w:val="auto"/>
                <w:kern w:val="0"/>
                <w:highlight w:val="none"/>
              </w:rPr>
            </w:pPr>
            <w:r>
              <w:rPr>
                <w:rFonts w:hint="eastAsia" w:ascii="宋体" w:hAnsi="宋体" w:cs="宋体"/>
                <w:color w:val="auto"/>
                <w:kern w:val="0"/>
                <w:highlight w:val="none"/>
              </w:rPr>
              <w:t>若因进度</w:t>
            </w:r>
            <w:r>
              <w:rPr>
                <w:rFonts w:ascii="宋体" w:hAnsi="宋体" w:cs="宋体"/>
                <w:color w:val="auto"/>
                <w:kern w:val="0"/>
                <w:highlight w:val="none"/>
              </w:rPr>
              <w:t>或质量问题，</w:t>
            </w:r>
            <w:r>
              <w:rPr>
                <w:rFonts w:hint="eastAsia" w:ascii="宋体" w:hAnsi="宋体" w:cs="宋体"/>
                <w:color w:val="auto"/>
                <w:kern w:val="0"/>
                <w:highlight w:val="none"/>
              </w:rPr>
              <w:t>导致甲方</w:t>
            </w:r>
            <w:r>
              <w:rPr>
                <w:rFonts w:ascii="宋体" w:hAnsi="宋体" w:cs="宋体"/>
                <w:color w:val="auto"/>
                <w:kern w:val="0"/>
                <w:highlight w:val="none"/>
              </w:rPr>
              <w:t>被</w:t>
            </w:r>
            <w:r>
              <w:rPr>
                <w:rFonts w:hint="eastAsia" w:ascii="宋体" w:hAnsi="宋体" w:cs="宋体"/>
                <w:color w:val="auto"/>
                <w:kern w:val="0"/>
                <w:highlight w:val="none"/>
              </w:rPr>
              <w:t>南方</w:t>
            </w:r>
            <w:r>
              <w:rPr>
                <w:rFonts w:ascii="宋体" w:hAnsi="宋体" w:cs="宋体"/>
                <w:color w:val="auto"/>
                <w:kern w:val="0"/>
                <w:highlight w:val="none"/>
              </w:rPr>
              <w:t>电网通报，</w:t>
            </w:r>
            <w:r>
              <w:rPr>
                <w:rFonts w:hint="eastAsia" w:ascii="宋体" w:hAnsi="宋体" w:cs="宋体"/>
                <w:color w:val="auto"/>
                <w:kern w:val="0"/>
                <w:highlight w:val="none"/>
              </w:rPr>
              <w:t>扣乙方10/次；若最终因此导致甲方被南方</w:t>
            </w:r>
            <w:r>
              <w:rPr>
                <w:rFonts w:ascii="宋体" w:hAnsi="宋体" w:cs="宋体"/>
                <w:color w:val="auto"/>
                <w:kern w:val="0"/>
                <w:highlight w:val="none"/>
              </w:rPr>
              <w:t>电网</w:t>
            </w:r>
            <w:r>
              <w:rPr>
                <w:rFonts w:hint="eastAsia" w:ascii="宋体" w:hAnsi="宋体" w:cs="宋体"/>
                <w:color w:val="auto"/>
                <w:kern w:val="0"/>
                <w:highlight w:val="none"/>
              </w:rPr>
              <w:t>扣分的，追加扣10分。</w:t>
            </w:r>
          </w:p>
        </w:tc>
      </w:tr>
    </w:tbl>
    <w:p w14:paraId="13037AD1">
      <w:pPr>
        <w:pageBreakBefore w:val="0"/>
        <w:kinsoku/>
        <w:wordWrap/>
        <w:overflowPunct/>
        <w:autoSpaceDE/>
        <w:autoSpaceDN/>
        <w:bidi w:val="0"/>
        <w:spacing w:beforeAutospacing="0" w:afterAutospacing="0" w:line="360" w:lineRule="auto"/>
        <w:rPr>
          <w:color w:val="auto"/>
          <w:highlight w:val="none"/>
        </w:rPr>
      </w:pPr>
    </w:p>
    <w:p w14:paraId="5FA2FF68">
      <w:pPr>
        <w:pStyle w:val="4"/>
        <w:pageBreakBefore w:val="0"/>
        <w:kinsoku/>
        <w:wordWrap/>
        <w:overflowPunct/>
        <w:autoSpaceDE/>
        <w:autoSpaceDN/>
        <w:bidi w:val="0"/>
        <w:spacing w:beforeAutospacing="0" w:afterAutospacing="0" w:line="360" w:lineRule="auto"/>
        <w:outlineLvl w:val="0"/>
        <w:rPr>
          <w:rFonts w:hint="eastAsia" w:asciiTheme="minorEastAsia" w:hAnsiTheme="minorEastAsia" w:eastAsiaTheme="minorEastAsia" w:cstheme="minorEastAsia"/>
          <w:b/>
          <w:bCs/>
          <w:color w:val="auto"/>
          <w:highlight w:val="none"/>
        </w:rPr>
      </w:pPr>
      <w:bookmarkStart w:id="141" w:name="_Toc22594"/>
      <w:r>
        <w:rPr>
          <w:rFonts w:hint="eastAsia" w:asciiTheme="minorEastAsia" w:hAnsiTheme="minorEastAsia" w:eastAsiaTheme="minorEastAsia" w:cstheme="minorEastAsia"/>
          <w:b/>
          <w:bCs/>
          <w:color w:val="auto"/>
          <w:highlight w:val="none"/>
        </w:rPr>
        <w:t>主要条款/参数优异性表格响应表</w:t>
      </w:r>
      <w:bookmarkEnd w:id="141"/>
    </w:p>
    <w:p w14:paraId="1DD27FD3">
      <w:pPr>
        <w:pStyle w:val="20"/>
        <w:pageBreakBefore w:val="0"/>
        <w:kinsoku/>
        <w:wordWrap/>
        <w:overflowPunct/>
        <w:autoSpaceDE/>
        <w:autoSpaceDN/>
        <w:bidi w:val="0"/>
        <w:spacing w:beforeAutospacing="0" w:afterAutospacing="0" w:line="360" w:lineRule="auto"/>
        <w:ind w:firstLine="418" w:firstLineChars="166"/>
        <w:rPr>
          <w:rFonts w:hint="eastAsia"/>
          <w:color w:val="auto"/>
          <w:sz w:val="24"/>
          <w:szCs w:val="24"/>
          <w:highlight w:val="none"/>
        </w:rPr>
      </w:pPr>
    </w:p>
    <w:tbl>
      <w:tblPr>
        <w:tblStyle w:val="16"/>
        <w:tblW w:w="9558" w:type="dxa"/>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679"/>
        <w:gridCol w:w="2579"/>
        <w:gridCol w:w="2127"/>
        <w:gridCol w:w="2127"/>
        <w:gridCol w:w="1116"/>
        <w:gridCol w:w="930"/>
      </w:tblGrid>
      <w:tr w14:paraId="318C8A6E">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679" w:type="dxa"/>
            <w:tcBorders>
              <w:top w:val="single" w:color="auto" w:sz="2" w:space="0"/>
              <w:left w:val="single" w:color="auto" w:sz="2" w:space="0"/>
              <w:bottom w:val="single" w:color="auto" w:sz="2" w:space="0"/>
              <w:right w:val="single" w:color="auto" w:sz="2" w:space="0"/>
            </w:tcBorders>
          </w:tcPr>
          <w:p w14:paraId="35312E7B">
            <w:pPr>
              <w:pStyle w:val="26"/>
              <w:pageBreakBefore w:val="0"/>
              <w:kinsoku/>
              <w:wordWrap/>
              <w:overflowPunct/>
              <w:autoSpaceDE/>
              <w:autoSpaceDN/>
              <w:bidi w:val="0"/>
              <w:spacing w:beforeAutospacing="0" w:afterAutospacing="0" w:line="360" w:lineRule="auto"/>
              <w:rPr>
                <w:color w:val="auto"/>
                <w:sz w:val="21"/>
                <w:szCs w:val="21"/>
                <w:highlight w:val="none"/>
              </w:rPr>
            </w:pPr>
            <w:r>
              <w:rPr>
                <w:rFonts w:hint="eastAsia" w:cs="宋体"/>
                <w:color w:val="auto"/>
                <w:sz w:val="21"/>
                <w:szCs w:val="21"/>
                <w:highlight w:val="none"/>
              </w:rPr>
              <w:t>序号</w:t>
            </w:r>
          </w:p>
        </w:tc>
        <w:tc>
          <w:tcPr>
            <w:tcW w:w="2579" w:type="dxa"/>
            <w:tcBorders>
              <w:top w:val="single" w:color="auto" w:sz="2" w:space="0"/>
              <w:left w:val="single" w:color="auto" w:sz="2" w:space="0"/>
              <w:bottom w:val="single" w:color="auto" w:sz="2" w:space="0"/>
              <w:right w:val="single" w:color="auto" w:sz="2" w:space="0"/>
            </w:tcBorders>
          </w:tcPr>
          <w:p w14:paraId="5BDA884B">
            <w:pPr>
              <w:pStyle w:val="26"/>
              <w:pageBreakBefore w:val="0"/>
              <w:kinsoku/>
              <w:wordWrap/>
              <w:overflowPunct/>
              <w:autoSpaceDE/>
              <w:autoSpaceDN/>
              <w:bidi w:val="0"/>
              <w:spacing w:beforeAutospacing="0" w:afterAutospacing="0" w:line="360" w:lineRule="auto"/>
              <w:rPr>
                <w:color w:val="auto"/>
                <w:sz w:val="21"/>
                <w:szCs w:val="21"/>
                <w:highlight w:val="none"/>
              </w:rPr>
            </w:pPr>
            <w:r>
              <w:rPr>
                <w:rFonts w:hint="eastAsia" w:cs="宋体"/>
                <w:color w:val="auto"/>
                <w:sz w:val="21"/>
                <w:szCs w:val="21"/>
                <w:highlight w:val="none"/>
              </w:rPr>
              <w:t>技术规范书的要求</w:t>
            </w:r>
          </w:p>
        </w:tc>
        <w:tc>
          <w:tcPr>
            <w:tcW w:w="2127" w:type="dxa"/>
            <w:tcBorders>
              <w:top w:val="single" w:color="auto" w:sz="2" w:space="0"/>
              <w:left w:val="single" w:color="auto" w:sz="2" w:space="0"/>
              <w:bottom w:val="single" w:color="auto" w:sz="2" w:space="0"/>
              <w:right w:val="single" w:color="auto" w:sz="2" w:space="0"/>
            </w:tcBorders>
          </w:tcPr>
          <w:p w14:paraId="67E9AD3E">
            <w:pPr>
              <w:pStyle w:val="26"/>
              <w:pageBreakBefore w:val="0"/>
              <w:kinsoku/>
              <w:wordWrap/>
              <w:overflowPunct/>
              <w:autoSpaceDE/>
              <w:autoSpaceDN/>
              <w:bidi w:val="0"/>
              <w:spacing w:beforeAutospacing="0" w:afterAutospacing="0" w:line="360" w:lineRule="auto"/>
              <w:rPr>
                <w:rFonts w:hint="eastAsia" w:eastAsia="宋体" w:cs="宋体"/>
                <w:color w:val="auto"/>
                <w:sz w:val="21"/>
                <w:szCs w:val="21"/>
                <w:highlight w:val="none"/>
                <w:lang w:val="en-US" w:eastAsia="zh-CN"/>
              </w:rPr>
            </w:pPr>
            <w:r>
              <w:rPr>
                <w:rFonts w:hint="eastAsia" w:cs="宋体"/>
                <w:color w:val="auto"/>
                <w:sz w:val="21"/>
                <w:szCs w:val="21"/>
                <w:highlight w:val="none"/>
                <w:lang w:val="en-US" w:eastAsia="zh-CN"/>
              </w:rPr>
              <w:t>优于判定标准</w:t>
            </w:r>
          </w:p>
        </w:tc>
        <w:tc>
          <w:tcPr>
            <w:tcW w:w="2127" w:type="dxa"/>
            <w:tcBorders>
              <w:top w:val="single" w:color="auto" w:sz="2" w:space="0"/>
              <w:left w:val="single" w:color="auto" w:sz="2" w:space="0"/>
              <w:bottom w:val="single" w:color="auto" w:sz="2" w:space="0"/>
              <w:right w:val="single" w:color="auto" w:sz="2" w:space="0"/>
            </w:tcBorders>
          </w:tcPr>
          <w:p w14:paraId="40CD77AE">
            <w:pPr>
              <w:pStyle w:val="26"/>
              <w:pageBreakBefore w:val="0"/>
              <w:kinsoku/>
              <w:wordWrap/>
              <w:overflowPunct/>
              <w:autoSpaceDE/>
              <w:autoSpaceDN/>
              <w:bidi w:val="0"/>
              <w:spacing w:beforeAutospacing="0" w:afterAutospacing="0" w:line="360" w:lineRule="auto"/>
              <w:rPr>
                <w:color w:val="auto"/>
                <w:sz w:val="21"/>
                <w:szCs w:val="21"/>
                <w:highlight w:val="none"/>
              </w:rPr>
            </w:pPr>
            <w:r>
              <w:rPr>
                <w:rFonts w:hint="eastAsia" w:cs="宋体"/>
                <w:color w:val="auto"/>
                <w:sz w:val="21"/>
                <w:szCs w:val="21"/>
                <w:highlight w:val="none"/>
              </w:rPr>
              <w:t>投标响应内容</w:t>
            </w:r>
          </w:p>
        </w:tc>
        <w:tc>
          <w:tcPr>
            <w:tcW w:w="1116" w:type="dxa"/>
            <w:tcBorders>
              <w:top w:val="single" w:color="auto" w:sz="2" w:space="0"/>
              <w:left w:val="single" w:color="auto" w:sz="2" w:space="0"/>
              <w:bottom w:val="single" w:color="auto" w:sz="2" w:space="0"/>
              <w:right w:val="single" w:color="auto" w:sz="2" w:space="0"/>
            </w:tcBorders>
          </w:tcPr>
          <w:p w14:paraId="15E4E516">
            <w:pPr>
              <w:pStyle w:val="26"/>
              <w:pageBreakBefore w:val="0"/>
              <w:kinsoku/>
              <w:wordWrap/>
              <w:overflowPunct/>
              <w:autoSpaceDE/>
              <w:autoSpaceDN/>
              <w:bidi w:val="0"/>
              <w:spacing w:beforeAutospacing="0" w:afterAutospacing="0" w:line="360" w:lineRule="auto"/>
              <w:rPr>
                <w:color w:val="auto"/>
                <w:sz w:val="21"/>
                <w:szCs w:val="21"/>
                <w:highlight w:val="none"/>
              </w:rPr>
            </w:pPr>
            <w:r>
              <w:rPr>
                <w:rFonts w:hint="eastAsia" w:cs="宋体"/>
                <w:color w:val="auto"/>
                <w:sz w:val="21"/>
                <w:szCs w:val="21"/>
                <w:highlight w:val="none"/>
              </w:rPr>
              <w:t>证明文件所在位置</w:t>
            </w:r>
          </w:p>
        </w:tc>
        <w:tc>
          <w:tcPr>
            <w:tcW w:w="930" w:type="dxa"/>
            <w:tcBorders>
              <w:top w:val="single" w:color="auto" w:sz="2" w:space="0"/>
              <w:left w:val="single" w:color="auto" w:sz="2" w:space="0"/>
              <w:bottom w:val="single" w:color="auto" w:sz="2" w:space="0"/>
              <w:right w:val="single" w:color="auto" w:sz="2" w:space="0"/>
            </w:tcBorders>
          </w:tcPr>
          <w:p w14:paraId="5862110C">
            <w:pPr>
              <w:pStyle w:val="26"/>
              <w:pageBreakBefore w:val="0"/>
              <w:kinsoku/>
              <w:wordWrap/>
              <w:overflowPunct/>
              <w:autoSpaceDE/>
              <w:autoSpaceDN/>
              <w:bidi w:val="0"/>
              <w:spacing w:beforeAutospacing="0" w:afterAutospacing="0" w:line="360" w:lineRule="auto"/>
              <w:rPr>
                <w:color w:val="auto"/>
                <w:sz w:val="21"/>
                <w:szCs w:val="21"/>
                <w:highlight w:val="none"/>
              </w:rPr>
            </w:pPr>
            <w:r>
              <w:rPr>
                <w:rFonts w:hint="eastAsia" w:cs="宋体"/>
                <w:color w:val="auto"/>
                <w:sz w:val="21"/>
                <w:szCs w:val="21"/>
                <w:highlight w:val="none"/>
              </w:rPr>
              <w:t>是否偏离</w:t>
            </w:r>
          </w:p>
        </w:tc>
      </w:tr>
      <w:tr w14:paraId="44B7E2F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679" w:type="dxa"/>
            <w:tcBorders>
              <w:top w:val="single" w:color="auto" w:sz="2" w:space="0"/>
              <w:left w:val="single" w:color="auto" w:sz="2" w:space="0"/>
              <w:bottom w:val="single" w:color="auto" w:sz="2" w:space="0"/>
              <w:right w:val="single" w:color="auto" w:sz="2" w:space="0"/>
            </w:tcBorders>
          </w:tcPr>
          <w:p w14:paraId="7D5B55BF">
            <w:pPr>
              <w:pStyle w:val="26"/>
              <w:pageBreakBefore w:val="0"/>
              <w:kinsoku/>
              <w:wordWrap/>
              <w:overflowPunct/>
              <w:autoSpaceDE/>
              <w:autoSpaceDN/>
              <w:bidi w:val="0"/>
              <w:spacing w:beforeAutospacing="0" w:afterAutospacing="0" w:line="360" w:lineRule="auto"/>
              <w:rPr>
                <w:color w:val="auto"/>
                <w:sz w:val="21"/>
                <w:szCs w:val="21"/>
                <w:highlight w:val="none"/>
              </w:rPr>
            </w:pPr>
            <w:r>
              <w:rPr>
                <w:color w:val="auto"/>
                <w:sz w:val="21"/>
                <w:szCs w:val="21"/>
                <w:highlight w:val="none"/>
              </w:rPr>
              <w:t>1</w:t>
            </w:r>
          </w:p>
        </w:tc>
        <w:tc>
          <w:tcPr>
            <w:tcW w:w="2579" w:type="dxa"/>
            <w:tcBorders>
              <w:top w:val="single" w:color="auto" w:sz="2" w:space="0"/>
              <w:left w:val="single" w:color="auto" w:sz="2" w:space="0"/>
              <w:bottom w:val="single" w:color="auto" w:sz="2" w:space="0"/>
              <w:right w:val="single" w:color="auto" w:sz="2" w:space="0"/>
            </w:tcBorders>
          </w:tcPr>
          <w:p w14:paraId="515F4C45">
            <w:pPr>
              <w:pStyle w:val="26"/>
              <w:pageBreakBefore w:val="0"/>
              <w:kinsoku/>
              <w:wordWrap/>
              <w:overflowPunct/>
              <w:autoSpaceDE/>
              <w:autoSpaceDN/>
              <w:bidi w:val="0"/>
              <w:spacing w:beforeAutospacing="0" w:afterAutospacing="0" w:line="360" w:lineRule="auto"/>
              <w:rPr>
                <w:rFonts w:hint="eastAsia"/>
                <w:color w:val="auto"/>
                <w:highlight w:val="none"/>
              </w:rPr>
            </w:pPr>
            <w:r>
              <w:rPr>
                <w:rFonts w:hint="eastAsia"/>
                <w:color w:val="auto"/>
                <w:highlight w:val="none"/>
              </w:rPr>
              <w:t>区块链平台对接开发能力评价标准：</w:t>
            </w:r>
          </w:p>
          <w:p w14:paraId="2719EE60">
            <w:pPr>
              <w:pStyle w:val="26"/>
              <w:pageBreakBefore w:val="0"/>
              <w:kinsoku/>
              <w:wordWrap/>
              <w:overflowPunct/>
              <w:autoSpaceDE/>
              <w:autoSpaceDN/>
              <w:bidi w:val="0"/>
              <w:spacing w:beforeAutospacing="0" w:afterAutospacing="0" w:line="360" w:lineRule="auto"/>
              <w:rPr>
                <w:rFonts w:cs="宋体"/>
                <w:color w:val="auto"/>
                <w:sz w:val="21"/>
                <w:szCs w:val="21"/>
                <w:highlight w:val="none"/>
              </w:rPr>
            </w:pPr>
            <w:r>
              <w:rPr>
                <w:rFonts w:hint="eastAsia"/>
                <w:color w:val="auto"/>
                <w:highlight w:val="none"/>
                <w:lang w:val="en-US" w:eastAsia="zh-CN"/>
              </w:rPr>
              <w:t>满足</w:t>
            </w:r>
            <w:r>
              <w:rPr>
                <w:rFonts w:hint="eastAsia"/>
                <w:color w:val="auto"/>
                <w:highlight w:val="none"/>
              </w:rPr>
              <w:t>要求：具备与区块链平台的实际对接开发经验，熟悉相关技术架构、节点部署要求及接口规范。提供上述对接开发经验证明材料的，视为</w:t>
            </w:r>
            <w:r>
              <w:rPr>
                <w:rFonts w:hint="eastAsia"/>
                <w:color w:val="auto"/>
                <w:highlight w:val="none"/>
                <w:lang w:val="en-US" w:eastAsia="zh-CN"/>
              </w:rPr>
              <w:t>满足</w:t>
            </w:r>
            <w:r>
              <w:rPr>
                <w:rFonts w:hint="eastAsia"/>
                <w:color w:val="auto"/>
                <w:highlight w:val="none"/>
              </w:rPr>
              <w:t>基本要求。</w:t>
            </w:r>
          </w:p>
        </w:tc>
        <w:tc>
          <w:tcPr>
            <w:tcW w:w="2127" w:type="dxa"/>
            <w:tcBorders>
              <w:top w:val="single" w:color="auto" w:sz="2" w:space="0"/>
              <w:left w:val="single" w:color="auto" w:sz="2" w:space="0"/>
              <w:bottom w:val="single" w:color="auto" w:sz="2" w:space="0"/>
              <w:right w:val="single" w:color="auto" w:sz="2" w:space="0"/>
            </w:tcBorders>
          </w:tcPr>
          <w:p w14:paraId="0AD3F290">
            <w:pPr>
              <w:pStyle w:val="26"/>
              <w:pageBreakBefore w:val="0"/>
              <w:kinsoku/>
              <w:wordWrap/>
              <w:overflowPunct/>
              <w:autoSpaceDE/>
              <w:autoSpaceDN/>
              <w:bidi w:val="0"/>
              <w:spacing w:beforeAutospacing="0" w:afterAutospacing="0" w:line="360" w:lineRule="auto"/>
              <w:rPr>
                <w:rFonts w:hint="eastAsia"/>
                <w:color w:val="auto"/>
                <w:highlight w:val="none"/>
              </w:rPr>
            </w:pPr>
            <w:r>
              <w:rPr>
                <w:rFonts w:hint="eastAsia"/>
                <w:color w:val="auto"/>
                <w:highlight w:val="none"/>
              </w:rPr>
              <w:t>具备与政务区块链平台的实际对接开发经验，熟悉相关技术架构、节点部署要求及接口规范。提供政务区块链平台对接开发经验证明材料的，视为优于基本要求。</w:t>
            </w:r>
          </w:p>
        </w:tc>
        <w:tc>
          <w:tcPr>
            <w:tcW w:w="2127" w:type="dxa"/>
            <w:tcBorders>
              <w:top w:val="single" w:color="auto" w:sz="2" w:space="0"/>
              <w:left w:val="single" w:color="auto" w:sz="2" w:space="0"/>
              <w:bottom w:val="single" w:color="auto" w:sz="2" w:space="0"/>
              <w:right w:val="single" w:color="auto" w:sz="2" w:space="0"/>
            </w:tcBorders>
          </w:tcPr>
          <w:p w14:paraId="0CD68912">
            <w:pPr>
              <w:pageBreakBefore w:val="0"/>
              <w:kinsoku/>
              <w:wordWrap/>
              <w:overflowPunct/>
              <w:autoSpaceDE/>
              <w:autoSpaceDN/>
              <w:bidi w:val="0"/>
              <w:spacing w:beforeAutospacing="0" w:afterAutospacing="0" w:line="360" w:lineRule="auto"/>
              <w:rPr>
                <w:color w:val="auto"/>
                <w:sz w:val="21"/>
                <w:szCs w:val="21"/>
                <w:highlight w:val="none"/>
              </w:rPr>
            </w:pPr>
          </w:p>
        </w:tc>
        <w:tc>
          <w:tcPr>
            <w:tcW w:w="1116" w:type="dxa"/>
            <w:tcBorders>
              <w:top w:val="single" w:color="auto" w:sz="2" w:space="0"/>
              <w:left w:val="single" w:color="auto" w:sz="2" w:space="0"/>
              <w:bottom w:val="single" w:color="auto" w:sz="2" w:space="0"/>
              <w:right w:val="single" w:color="auto" w:sz="2" w:space="0"/>
            </w:tcBorders>
          </w:tcPr>
          <w:p w14:paraId="57D1EFAC">
            <w:pPr>
              <w:pageBreakBefore w:val="0"/>
              <w:kinsoku/>
              <w:wordWrap/>
              <w:overflowPunct/>
              <w:autoSpaceDE/>
              <w:autoSpaceDN/>
              <w:bidi w:val="0"/>
              <w:spacing w:beforeAutospacing="0" w:afterAutospacing="0" w:line="360" w:lineRule="auto"/>
              <w:rPr>
                <w:color w:val="auto"/>
                <w:sz w:val="21"/>
                <w:szCs w:val="21"/>
                <w:highlight w:val="none"/>
              </w:rPr>
            </w:pPr>
          </w:p>
        </w:tc>
        <w:tc>
          <w:tcPr>
            <w:tcW w:w="930" w:type="dxa"/>
            <w:tcBorders>
              <w:top w:val="single" w:color="auto" w:sz="2" w:space="0"/>
              <w:left w:val="single" w:color="auto" w:sz="2" w:space="0"/>
              <w:bottom w:val="single" w:color="auto" w:sz="2" w:space="0"/>
              <w:right w:val="single" w:color="auto" w:sz="2" w:space="0"/>
            </w:tcBorders>
          </w:tcPr>
          <w:p w14:paraId="348D9297">
            <w:pPr>
              <w:pageBreakBefore w:val="0"/>
              <w:kinsoku/>
              <w:wordWrap/>
              <w:overflowPunct/>
              <w:autoSpaceDE/>
              <w:autoSpaceDN/>
              <w:bidi w:val="0"/>
              <w:spacing w:beforeAutospacing="0" w:afterAutospacing="0" w:line="360" w:lineRule="auto"/>
              <w:rPr>
                <w:color w:val="auto"/>
                <w:sz w:val="21"/>
                <w:szCs w:val="21"/>
                <w:highlight w:val="none"/>
              </w:rPr>
            </w:pPr>
            <w:r>
              <w:rPr>
                <w:rFonts w:hint="eastAsia" w:ascii="Calibri" w:hAnsi="Calibri" w:eastAsia="宋体" w:cs="宋体"/>
                <w:color w:val="auto"/>
                <w:sz w:val="21"/>
                <w:szCs w:val="21"/>
                <w:highlight w:val="none"/>
                <w:lang w:bidi="ar"/>
              </w:rPr>
              <w:t>优于/满足/负偏离</w:t>
            </w:r>
          </w:p>
        </w:tc>
      </w:tr>
      <w:tr w14:paraId="1654D4B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679" w:type="dxa"/>
            <w:tcBorders>
              <w:top w:val="single" w:color="auto" w:sz="2" w:space="0"/>
              <w:left w:val="single" w:color="auto" w:sz="2" w:space="0"/>
              <w:bottom w:val="single" w:color="auto" w:sz="2" w:space="0"/>
              <w:right w:val="single" w:color="auto" w:sz="2" w:space="0"/>
            </w:tcBorders>
          </w:tcPr>
          <w:p w14:paraId="06E295C2">
            <w:pPr>
              <w:pStyle w:val="26"/>
              <w:pageBreakBefore w:val="0"/>
              <w:kinsoku/>
              <w:wordWrap/>
              <w:overflowPunct/>
              <w:autoSpaceDE/>
              <w:autoSpaceDN/>
              <w:bidi w:val="0"/>
              <w:spacing w:beforeAutospacing="0" w:afterAutospacing="0" w:line="360" w:lineRule="auto"/>
              <w:rPr>
                <w:color w:val="auto"/>
                <w:sz w:val="21"/>
                <w:szCs w:val="21"/>
                <w:highlight w:val="none"/>
              </w:rPr>
            </w:pPr>
            <w:r>
              <w:rPr>
                <w:color w:val="auto"/>
                <w:sz w:val="21"/>
                <w:szCs w:val="21"/>
                <w:highlight w:val="none"/>
              </w:rPr>
              <w:t xml:space="preserve"> 2</w:t>
            </w:r>
          </w:p>
        </w:tc>
        <w:tc>
          <w:tcPr>
            <w:tcW w:w="2579" w:type="dxa"/>
            <w:tcBorders>
              <w:top w:val="single" w:color="auto" w:sz="2" w:space="0"/>
              <w:left w:val="single" w:color="auto" w:sz="2" w:space="0"/>
              <w:bottom w:val="single" w:color="auto" w:sz="2" w:space="0"/>
              <w:right w:val="single" w:color="auto" w:sz="2" w:space="0"/>
            </w:tcBorders>
          </w:tcPr>
          <w:p w14:paraId="30690C22">
            <w:pPr>
              <w:pStyle w:val="26"/>
              <w:pageBreakBefore w:val="0"/>
              <w:kinsoku/>
              <w:wordWrap/>
              <w:overflowPunct/>
              <w:autoSpaceDE/>
              <w:autoSpaceDN/>
              <w:bidi w:val="0"/>
              <w:spacing w:beforeAutospacing="0" w:afterAutospacing="0" w:line="360" w:lineRule="auto"/>
              <w:rPr>
                <w:rFonts w:hint="eastAsia" w:cs="宋体"/>
                <w:color w:val="auto"/>
                <w:sz w:val="21"/>
                <w:szCs w:val="21"/>
                <w:highlight w:val="none"/>
              </w:rPr>
            </w:pPr>
            <w:r>
              <w:rPr>
                <w:rFonts w:hint="eastAsia" w:cs="宋体"/>
                <w:color w:val="auto"/>
                <w:sz w:val="21"/>
                <w:szCs w:val="21"/>
                <w:highlight w:val="none"/>
              </w:rPr>
              <w:t>跨机构数据可信接入与链上核验场景项目经验。</w:t>
            </w:r>
          </w:p>
          <w:p w14:paraId="671F203C">
            <w:pPr>
              <w:pStyle w:val="26"/>
              <w:pageBreakBefore w:val="0"/>
              <w:kinsoku/>
              <w:wordWrap/>
              <w:overflowPunct/>
              <w:autoSpaceDE/>
              <w:autoSpaceDN/>
              <w:bidi w:val="0"/>
              <w:spacing w:beforeAutospacing="0" w:afterAutospacing="0" w:line="360" w:lineRule="auto"/>
              <w:rPr>
                <w:rFonts w:cs="宋体"/>
                <w:color w:val="auto"/>
                <w:sz w:val="21"/>
                <w:szCs w:val="21"/>
                <w:highlight w:val="none"/>
              </w:rPr>
            </w:pPr>
            <w:r>
              <w:rPr>
                <w:rFonts w:hint="eastAsia" w:cs="宋体"/>
                <w:color w:val="auto"/>
                <w:sz w:val="21"/>
                <w:szCs w:val="21"/>
                <w:highlight w:val="none"/>
              </w:rPr>
              <w:t>具有</w:t>
            </w:r>
            <w:r>
              <w:rPr>
                <w:rFonts w:hint="eastAsia" w:cs="宋体"/>
                <w:color w:val="auto"/>
                <w:sz w:val="21"/>
                <w:szCs w:val="21"/>
                <w:highlight w:val="none"/>
                <w:lang w:val="en-US" w:eastAsia="zh-CN"/>
              </w:rPr>
              <w:t>上述</w:t>
            </w:r>
            <w:r>
              <w:rPr>
                <w:rFonts w:hint="eastAsia" w:cs="宋体"/>
                <w:color w:val="auto"/>
                <w:sz w:val="21"/>
                <w:szCs w:val="21"/>
                <w:highlight w:val="none"/>
              </w:rPr>
              <w:t>相关实际项目经验，提供至少1个案例证明，视为</w:t>
            </w:r>
            <w:r>
              <w:rPr>
                <w:rFonts w:hint="eastAsia" w:cs="宋体"/>
                <w:color w:val="auto"/>
                <w:sz w:val="21"/>
                <w:szCs w:val="21"/>
                <w:highlight w:val="none"/>
                <w:lang w:val="en-US" w:eastAsia="zh-CN"/>
              </w:rPr>
              <w:t>满足</w:t>
            </w:r>
            <w:r>
              <w:rPr>
                <w:rFonts w:hint="eastAsia" w:cs="宋体"/>
                <w:color w:val="auto"/>
                <w:sz w:val="21"/>
                <w:szCs w:val="21"/>
                <w:highlight w:val="none"/>
              </w:rPr>
              <w:t>基本要求。</w:t>
            </w:r>
          </w:p>
        </w:tc>
        <w:tc>
          <w:tcPr>
            <w:tcW w:w="2127" w:type="dxa"/>
            <w:tcBorders>
              <w:top w:val="single" w:color="auto" w:sz="2" w:space="0"/>
              <w:left w:val="single" w:color="auto" w:sz="2" w:space="0"/>
              <w:bottom w:val="single" w:color="auto" w:sz="2" w:space="0"/>
              <w:right w:val="single" w:color="auto" w:sz="2" w:space="0"/>
            </w:tcBorders>
          </w:tcPr>
          <w:p w14:paraId="14B17076">
            <w:pPr>
              <w:pStyle w:val="26"/>
              <w:pageBreakBefore w:val="0"/>
              <w:kinsoku/>
              <w:wordWrap/>
              <w:overflowPunct/>
              <w:autoSpaceDE/>
              <w:autoSpaceDN/>
              <w:bidi w:val="0"/>
              <w:spacing w:beforeAutospacing="0" w:afterAutospacing="0" w:line="360" w:lineRule="auto"/>
              <w:rPr>
                <w:rFonts w:hint="eastAsia" w:cs="宋体"/>
                <w:color w:val="auto"/>
                <w:sz w:val="21"/>
                <w:szCs w:val="21"/>
                <w:highlight w:val="none"/>
              </w:rPr>
            </w:pPr>
            <w:r>
              <w:rPr>
                <w:rFonts w:hint="eastAsia" w:cs="宋体"/>
                <w:color w:val="auto"/>
                <w:sz w:val="21"/>
                <w:szCs w:val="21"/>
                <w:highlight w:val="none"/>
              </w:rPr>
              <w:t>具备政务</w:t>
            </w:r>
            <w:r>
              <w:rPr>
                <w:rFonts w:hint="eastAsia" w:cs="宋体"/>
                <w:color w:val="auto"/>
                <w:sz w:val="21"/>
                <w:szCs w:val="21"/>
                <w:highlight w:val="none"/>
                <w:lang w:val="en-US" w:eastAsia="zh-CN"/>
              </w:rPr>
              <w:t>领域</w:t>
            </w:r>
            <w:r>
              <w:rPr>
                <w:rFonts w:hint="eastAsia" w:cs="宋体"/>
                <w:color w:val="auto"/>
                <w:sz w:val="21"/>
                <w:szCs w:val="21"/>
                <w:highlight w:val="none"/>
              </w:rPr>
              <w:t>相关实际项目经验，视为优于基本要求。</w:t>
            </w:r>
          </w:p>
        </w:tc>
        <w:tc>
          <w:tcPr>
            <w:tcW w:w="2127" w:type="dxa"/>
            <w:tcBorders>
              <w:top w:val="single" w:color="auto" w:sz="2" w:space="0"/>
              <w:left w:val="single" w:color="auto" w:sz="2" w:space="0"/>
              <w:bottom w:val="single" w:color="auto" w:sz="2" w:space="0"/>
              <w:right w:val="single" w:color="auto" w:sz="2" w:space="0"/>
            </w:tcBorders>
          </w:tcPr>
          <w:p w14:paraId="5EB234DD">
            <w:pPr>
              <w:pageBreakBefore w:val="0"/>
              <w:kinsoku/>
              <w:wordWrap/>
              <w:overflowPunct/>
              <w:autoSpaceDE/>
              <w:autoSpaceDN/>
              <w:bidi w:val="0"/>
              <w:spacing w:beforeAutospacing="0" w:afterAutospacing="0" w:line="360" w:lineRule="auto"/>
              <w:rPr>
                <w:color w:val="auto"/>
                <w:sz w:val="21"/>
                <w:szCs w:val="21"/>
                <w:highlight w:val="none"/>
              </w:rPr>
            </w:pPr>
          </w:p>
        </w:tc>
        <w:tc>
          <w:tcPr>
            <w:tcW w:w="1116" w:type="dxa"/>
            <w:tcBorders>
              <w:top w:val="single" w:color="auto" w:sz="2" w:space="0"/>
              <w:left w:val="single" w:color="auto" w:sz="2" w:space="0"/>
              <w:bottom w:val="single" w:color="auto" w:sz="2" w:space="0"/>
              <w:right w:val="single" w:color="auto" w:sz="2" w:space="0"/>
            </w:tcBorders>
          </w:tcPr>
          <w:p w14:paraId="3F7956DC">
            <w:pPr>
              <w:pageBreakBefore w:val="0"/>
              <w:kinsoku/>
              <w:wordWrap/>
              <w:overflowPunct/>
              <w:autoSpaceDE/>
              <w:autoSpaceDN/>
              <w:bidi w:val="0"/>
              <w:spacing w:beforeAutospacing="0" w:afterAutospacing="0" w:line="360" w:lineRule="auto"/>
              <w:rPr>
                <w:color w:val="auto"/>
                <w:sz w:val="21"/>
                <w:szCs w:val="21"/>
                <w:highlight w:val="none"/>
              </w:rPr>
            </w:pPr>
          </w:p>
        </w:tc>
        <w:tc>
          <w:tcPr>
            <w:tcW w:w="930" w:type="dxa"/>
            <w:tcBorders>
              <w:top w:val="single" w:color="auto" w:sz="2" w:space="0"/>
              <w:left w:val="single" w:color="auto" w:sz="2" w:space="0"/>
              <w:bottom w:val="single" w:color="auto" w:sz="2" w:space="0"/>
              <w:right w:val="single" w:color="auto" w:sz="2" w:space="0"/>
            </w:tcBorders>
          </w:tcPr>
          <w:p w14:paraId="28FCD20F">
            <w:pPr>
              <w:pageBreakBefore w:val="0"/>
              <w:kinsoku/>
              <w:wordWrap/>
              <w:overflowPunct/>
              <w:autoSpaceDE/>
              <w:autoSpaceDN/>
              <w:bidi w:val="0"/>
              <w:spacing w:beforeAutospacing="0" w:afterAutospacing="0" w:line="360" w:lineRule="auto"/>
              <w:rPr>
                <w:color w:val="auto"/>
                <w:sz w:val="21"/>
                <w:szCs w:val="21"/>
                <w:highlight w:val="none"/>
              </w:rPr>
            </w:pPr>
            <w:r>
              <w:rPr>
                <w:rFonts w:hint="eastAsia" w:ascii="Calibri" w:hAnsi="Calibri" w:eastAsia="宋体" w:cs="宋体"/>
                <w:color w:val="auto"/>
                <w:sz w:val="21"/>
                <w:szCs w:val="21"/>
                <w:highlight w:val="none"/>
                <w:lang w:bidi="ar"/>
              </w:rPr>
              <w:t>优于/满足/负偏离</w:t>
            </w:r>
          </w:p>
        </w:tc>
      </w:tr>
      <w:tr w14:paraId="0174EB1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679" w:type="dxa"/>
            <w:tcBorders>
              <w:top w:val="single" w:color="auto" w:sz="2" w:space="0"/>
              <w:left w:val="single" w:color="auto" w:sz="2" w:space="0"/>
              <w:bottom w:val="single" w:color="auto" w:sz="2" w:space="0"/>
              <w:right w:val="single" w:color="auto" w:sz="2" w:space="0"/>
            </w:tcBorders>
          </w:tcPr>
          <w:p w14:paraId="7C64F660">
            <w:pPr>
              <w:pStyle w:val="26"/>
              <w:pageBreakBefore w:val="0"/>
              <w:kinsoku/>
              <w:wordWrap/>
              <w:overflowPunct/>
              <w:autoSpaceDE/>
              <w:autoSpaceDN/>
              <w:bidi w:val="0"/>
              <w:spacing w:beforeAutospacing="0" w:afterAutospacing="0" w:line="360" w:lineRule="auto"/>
              <w:rPr>
                <w:color w:val="auto"/>
                <w:sz w:val="21"/>
                <w:szCs w:val="21"/>
                <w:highlight w:val="none"/>
              </w:rPr>
            </w:pPr>
            <w:r>
              <w:rPr>
                <w:color w:val="auto"/>
                <w:sz w:val="21"/>
                <w:szCs w:val="21"/>
                <w:highlight w:val="none"/>
              </w:rPr>
              <w:t xml:space="preserve"> 3</w:t>
            </w:r>
          </w:p>
        </w:tc>
        <w:tc>
          <w:tcPr>
            <w:tcW w:w="2579" w:type="dxa"/>
            <w:tcBorders>
              <w:top w:val="single" w:color="auto" w:sz="2" w:space="0"/>
              <w:left w:val="single" w:color="auto" w:sz="2" w:space="0"/>
              <w:bottom w:val="single" w:color="auto" w:sz="2" w:space="0"/>
              <w:right w:val="single" w:color="auto" w:sz="2" w:space="0"/>
            </w:tcBorders>
          </w:tcPr>
          <w:p w14:paraId="2A2A00BD">
            <w:pPr>
              <w:pStyle w:val="26"/>
              <w:pageBreakBefore w:val="0"/>
              <w:kinsoku/>
              <w:wordWrap/>
              <w:overflowPunct/>
              <w:autoSpaceDE/>
              <w:autoSpaceDN/>
              <w:bidi w:val="0"/>
              <w:spacing w:beforeAutospacing="0" w:afterAutospacing="0" w:line="360" w:lineRule="auto"/>
              <w:rPr>
                <w:rFonts w:hint="default" w:eastAsia="宋体" w:cs="宋体"/>
                <w:color w:val="auto"/>
                <w:sz w:val="21"/>
                <w:szCs w:val="21"/>
                <w:highlight w:val="none"/>
                <w:lang w:val="en-US" w:eastAsia="zh-CN"/>
              </w:rPr>
            </w:pPr>
            <w:r>
              <w:rPr>
                <w:rFonts w:hint="eastAsia" w:cs="宋体"/>
                <w:color w:val="auto"/>
                <w:sz w:val="21"/>
                <w:szCs w:val="21"/>
                <w:highlight w:val="none"/>
              </w:rPr>
              <w:t>对本项目所引用的区块链相关标准具有深度理解和实施经验</w:t>
            </w:r>
            <w:r>
              <w:rPr>
                <w:rFonts w:hint="eastAsia" w:cs="宋体"/>
                <w:color w:val="auto"/>
                <w:sz w:val="21"/>
                <w:szCs w:val="21"/>
                <w:highlight w:val="none"/>
                <w:lang w:eastAsia="zh-CN"/>
              </w:rPr>
              <w:t>。</w:t>
            </w:r>
            <w:r>
              <w:rPr>
                <w:rFonts w:hint="eastAsia" w:cs="宋体"/>
                <w:color w:val="auto"/>
                <w:sz w:val="21"/>
                <w:szCs w:val="21"/>
                <w:highlight w:val="none"/>
                <w:lang w:val="en-US" w:eastAsia="zh-CN"/>
              </w:rPr>
              <w:t>参与区块链标准制定，视为满足要求。</w:t>
            </w:r>
          </w:p>
        </w:tc>
        <w:tc>
          <w:tcPr>
            <w:tcW w:w="2127" w:type="dxa"/>
            <w:tcBorders>
              <w:top w:val="single" w:color="auto" w:sz="2" w:space="0"/>
              <w:left w:val="single" w:color="auto" w:sz="2" w:space="0"/>
              <w:bottom w:val="single" w:color="auto" w:sz="2" w:space="0"/>
              <w:right w:val="single" w:color="auto" w:sz="2" w:space="0"/>
            </w:tcBorders>
          </w:tcPr>
          <w:p w14:paraId="62B719E5">
            <w:pPr>
              <w:pStyle w:val="26"/>
              <w:pageBreakBefore w:val="0"/>
              <w:kinsoku/>
              <w:wordWrap/>
              <w:overflowPunct/>
              <w:autoSpaceDE/>
              <w:autoSpaceDN/>
              <w:bidi w:val="0"/>
              <w:spacing w:beforeAutospacing="0" w:afterAutospacing="0" w:line="360" w:lineRule="auto"/>
              <w:rPr>
                <w:rFonts w:hint="eastAsia" w:cs="宋体"/>
                <w:color w:val="auto"/>
                <w:sz w:val="21"/>
                <w:szCs w:val="21"/>
                <w:highlight w:val="none"/>
                <w:lang w:val="en-US" w:eastAsia="zh-CN"/>
              </w:rPr>
            </w:pPr>
            <w:r>
              <w:rPr>
                <w:rFonts w:hint="eastAsia" w:cs="宋体"/>
                <w:color w:val="auto"/>
                <w:sz w:val="21"/>
                <w:szCs w:val="21"/>
                <w:highlight w:val="none"/>
                <w:lang w:val="en-US" w:eastAsia="zh-CN"/>
              </w:rPr>
              <w:t>标准起草单位排名前三，视为优于要求。</w:t>
            </w:r>
          </w:p>
        </w:tc>
        <w:tc>
          <w:tcPr>
            <w:tcW w:w="2127" w:type="dxa"/>
            <w:tcBorders>
              <w:top w:val="single" w:color="auto" w:sz="2" w:space="0"/>
              <w:left w:val="single" w:color="auto" w:sz="2" w:space="0"/>
              <w:bottom w:val="single" w:color="auto" w:sz="2" w:space="0"/>
              <w:right w:val="single" w:color="auto" w:sz="2" w:space="0"/>
            </w:tcBorders>
          </w:tcPr>
          <w:p w14:paraId="313D1980">
            <w:pPr>
              <w:pageBreakBefore w:val="0"/>
              <w:kinsoku/>
              <w:wordWrap/>
              <w:overflowPunct/>
              <w:autoSpaceDE/>
              <w:autoSpaceDN/>
              <w:bidi w:val="0"/>
              <w:spacing w:beforeAutospacing="0" w:afterAutospacing="0" w:line="360" w:lineRule="auto"/>
              <w:rPr>
                <w:color w:val="auto"/>
                <w:sz w:val="21"/>
                <w:szCs w:val="21"/>
                <w:highlight w:val="none"/>
              </w:rPr>
            </w:pPr>
          </w:p>
        </w:tc>
        <w:tc>
          <w:tcPr>
            <w:tcW w:w="1116" w:type="dxa"/>
            <w:tcBorders>
              <w:top w:val="single" w:color="auto" w:sz="2" w:space="0"/>
              <w:left w:val="single" w:color="auto" w:sz="2" w:space="0"/>
              <w:bottom w:val="single" w:color="auto" w:sz="2" w:space="0"/>
              <w:right w:val="single" w:color="auto" w:sz="2" w:space="0"/>
            </w:tcBorders>
          </w:tcPr>
          <w:p w14:paraId="03BB7C8D">
            <w:pPr>
              <w:pageBreakBefore w:val="0"/>
              <w:kinsoku/>
              <w:wordWrap/>
              <w:overflowPunct/>
              <w:autoSpaceDE/>
              <w:autoSpaceDN/>
              <w:bidi w:val="0"/>
              <w:spacing w:beforeAutospacing="0" w:afterAutospacing="0" w:line="360" w:lineRule="auto"/>
              <w:rPr>
                <w:color w:val="auto"/>
                <w:sz w:val="21"/>
                <w:szCs w:val="21"/>
                <w:highlight w:val="none"/>
              </w:rPr>
            </w:pPr>
          </w:p>
        </w:tc>
        <w:tc>
          <w:tcPr>
            <w:tcW w:w="930" w:type="dxa"/>
            <w:tcBorders>
              <w:top w:val="single" w:color="auto" w:sz="2" w:space="0"/>
              <w:left w:val="single" w:color="auto" w:sz="2" w:space="0"/>
              <w:bottom w:val="single" w:color="auto" w:sz="2" w:space="0"/>
              <w:right w:val="single" w:color="auto" w:sz="2" w:space="0"/>
            </w:tcBorders>
          </w:tcPr>
          <w:p w14:paraId="5D2BC7AE">
            <w:pPr>
              <w:pageBreakBefore w:val="0"/>
              <w:kinsoku/>
              <w:wordWrap/>
              <w:overflowPunct/>
              <w:autoSpaceDE/>
              <w:autoSpaceDN/>
              <w:bidi w:val="0"/>
              <w:spacing w:beforeAutospacing="0" w:afterAutospacing="0" w:line="360" w:lineRule="auto"/>
              <w:rPr>
                <w:color w:val="auto"/>
                <w:sz w:val="21"/>
                <w:szCs w:val="21"/>
                <w:highlight w:val="none"/>
              </w:rPr>
            </w:pPr>
            <w:r>
              <w:rPr>
                <w:rFonts w:hint="eastAsia" w:ascii="Calibri" w:hAnsi="Calibri" w:eastAsia="宋体" w:cs="宋体"/>
                <w:color w:val="auto"/>
                <w:sz w:val="21"/>
                <w:szCs w:val="21"/>
                <w:highlight w:val="none"/>
                <w:lang w:bidi="ar"/>
              </w:rPr>
              <w:t>优于/满足/负偏离</w:t>
            </w:r>
          </w:p>
        </w:tc>
      </w:tr>
    </w:tbl>
    <w:p w14:paraId="3AE633BF">
      <w:pPr>
        <w:pStyle w:val="20"/>
        <w:pageBreakBefore w:val="0"/>
        <w:kinsoku/>
        <w:wordWrap/>
        <w:overflowPunct/>
        <w:autoSpaceDE/>
        <w:autoSpaceDN/>
        <w:bidi w:val="0"/>
        <w:spacing w:beforeAutospacing="0" w:afterAutospacing="0" w:line="360" w:lineRule="auto"/>
        <w:ind w:firstLine="418" w:firstLineChars="166"/>
        <w:rPr>
          <w:rFonts w:hint="eastAsia"/>
          <w:color w:val="auto"/>
          <w:sz w:val="24"/>
          <w:szCs w:val="24"/>
          <w:highlight w:val="none"/>
        </w:rPr>
      </w:pPr>
    </w:p>
    <w:p w14:paraId="67A14060">
      <w:pPr>
        <w:pStyle w:val="4"/>
        <w:pageBreakBefore w:val="0"/>
        <w:kinsoku/>
        <w:wordWrap/>
        <w:overflowPunct/>
        <w:autoSpaceDE/>
        <w:autoSpaceDN/>
        <w:bidi w:val="0"/>
        <w:spacing w:beforeAutospacing="0" w:afterAutospacing="0" w:line="360" w:lineRule="auto"/>
        <w:outlineLvl w:val="0"/>
        <w:rPr>
          <w:rFonts w:hint="eastAsia" w:asciiTheme="minorEastAsia" w:hAnsiTheme="minorEastAsia" w:eastAsiaTheme="minorEastAsia" w:cstheme="minorEastAsia"/>
          <w:b/>
          <w:bCs/>
          <w:color w:val="auto"/>
          <w:highlight w:val="none"/>
        </w:rPr>
      </w:pPr>
      <w:bookmarkStart w:id="142" w:name="_Toc29374"/>
      <w:r>
        <w:rPr>
          <w:rFonts w:hint="eastAsia" w:asciiTheme="minorEastAsia" w:hAnsiTheme="minorEastAsia" w:eastAsiaTheme="minorEastAsia" w:cstheme="minorEastAsia"/>
          <w:b/>
          <w:bCs/>
          <w:color w:val="auto"/>
          <w:highlight w:val="none"/>
        </w:rPr>
        <w:t>技术条款/技术参数点对点应答表</w:t>
      </w:r>
      <w:bookmarkEnd w:id="142"/>
    </w:p>
    <w:tbl>
      <w:tblPr>
        <w:tblStyle w:val="16"/>
        <w:tblW w:w="8519" w:type="dxa"/>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772"/>
        <w:gridCol w:w="2186"/>
        <w:gridCol w:w="2834"/>
        <w:gridCol w:w="1488"/>
        <w:gridCol w:w="1239"/>
      </w:tblGrid>
      <w:tr w14:paraId="51C9E9C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772" w:type="dxa"/>
            <w:tcBorders>
              <w:top w:val="single" w:color="auto" w:sz="2" w:space="0"/>
              <w:left w:val="single" w:color="auto" w:sz="2" w:space="0"/>
              <w:bottom w:val="single" w:color="auto" w:sz="2" w:space="0"/>
              <w:right w:val="single" w:color="auto" w:sz="2" w:space="0"/>
            </w:tcBorders>
          </w:tcPr>
          <w:p w14:paraId="00CFC34F">
            <w:pPr>
              <w:pStyle w:val="26"/>
              <w:pageBreakBefore w:val="0"/>
              <w:kinsoku/>
              <w:wordWrap/>
              <w:overflowPunct/>
              <w:autoSpaceDE/>
              <w:autoSpaceDN/>
              <w:bidi w:val="0"/>
              <w:spacing w:beforeAutospacing="0" w:afterAutospacing="0" w:line="360" w:lineRule="auto"/>
              <w:rPr>
                <w:color w:val="auto"/>
                <w:sz w:val="21"/>
                <w:szCs w:val="21"/>
                <w:highlight w:val="none"/>
              </w:rPr>
            </w:pPr>
            <w:r>
              <w:rPr>
                <w:rFonts w:hint="eastAsia" w:cs="宋体"/>
                <w:color w:val="auto"/>
                <w:sz w:val="21"/>
                <w:szCs w:val="21"/>
                <w:highlight w:val="none"/>
              </w:rPr>
              <w:t>序号</w:t>
            </w:r>
          </w:p>
        </w:tc>
        <w:tc>
          <w:tcPr>
            <w:tcW w:w="2186" w:type="dxa"/>
            <w:tcBorders>
              <w:top w:val="single" w:color="auto" w:sz="2" w:space="0"/>
              <w:left w:val="single" w:color="auto" w:sz="2" w:space="0"/>
              <w:bottom w:val="single" w:color="auto" w:sz="2" w:space="0"/>
              <w:right w:val="single" w:color="auto" w:sz="2" w:space="0"/>
            </w:tcBorders>
          </w:tcPr>
          <w:p w14:paraId="51B6ABE3">
            <w:pPr>
              <w:pStyle w:val="26"/>
              <w:pageBreakBefore w:val="0"/>
              <w:kinsoku/>
              <w:wordWrap/>
              <w:overflowPunct/>
              <w:autoSpaceDE/>
              <w:autoSpaceDN/>
              <w:bidi w:val="0"/>
              <w:spacing w:beforeAutospacing="0" w:afterAutospacing="0" w:line="360" w:lineRule="auto"/>
              <w:rPr>
                <w:color w:val="auto"/>
                <w:sz w:val="21"/>
                <w:szCs w:val="21"/>
                <w:highlight w:val="none"/>
              </w:rPr>
            </w:pPr>
            <w:r>
              <w:rPr>
                <w:rFonts w:hint="eastAsia" w:cs="宋体"/>
                <w:color w:val="auto"/>
                <w:sz w:val="21"/>
                <w:szCs w:val="21"/>
                <w:highlight w:val="none"/>
              </w:rPr>
              <w:t>技术规范书的要求</w:t>
            </w:r>
          </w:p>
        </w:tc>
        <w:tc>
          <w:tcPr>
            <w:tcW w:w="2834" w:type="dxa"/>
            <w:tcBorders>
              <w:top w:val="single" w:color="auto" w:sz="2" w:space="0"/>
              <w:left w:val="single" w:color="auto" w:sz="2" w:space="0"/>
              <w:bottom w:val="single" w:color="auto" w:sz="2" w:space="0"/>
              <w:right w:val="single" w:color="auto" w:sz="2" w:space="0"/>
            </w:tcBorders>
          </w:tcPr>
          <w:p w14:paraId="6704B1E2">
            <w:pPr>
              <w:pStyle w:val="26"/>
              <w:pageBreakBefore w:val="0"/>
              <w:kinsoku/>
              <w:wordWrap/>
              <w:overflowPunct/>
              <w:autoSpaceDE/>
              <w:autoSpaceDN/>
              <w:bidi w:val="0"/>
              <w:spacing w:beforeAutospacing="0" w:afterAutospacing="0" w:line="360" w:lineRule="auto"/>
              <w:rPr>
                <w:color w:val="auto"/>
                <w:sz w:val="21"/>
                <w:szCs w:val="21"/>
                <w:highlight w:val="none"/>
              </w:rPr>
            </w:pPr>
            <w:r>
              <w:rPr>
                <w:rFonts w:hint="eastAsia" w:cs="宋体"/>
                <w:color w:val="auto"/>
                <w:sz w:val="21"/>
                <w:szCs w:val="21"/>
                <w:highlight w:val="none"/>
              </w:rPr>
              <w:t>投标响应内容</w:t>
            </w:r>
          </w:p>
        </w:tc>
        <w:tc>
          <w:tcPr>
            <w:tcW w:w="1488" w:type="dxa"/>
            <w:tcBorders>
              <w:top w:val="single" w:color="auto" w:sz="2" w:space="0"/>
              <w:left w:val="single" w:color="auto" w:sz="2" w:space="0"/>
              <w:bottom w:val="single" w:color="auto" w:sz="2" w:space="0"/>
              <w:right w:val="single" w:color="auto" w:sz="2" w:space="0"/>
            </w:tcBorders>
          </w:tcPr>
          <w:p w14:paraId="38F8554C">
            <w:pPr>
              <w:pStyle w:val="26"/>
              <w:pageBreakBefore w:val="0"/>
              <w:kinsoku/>
              <w:wordWrap/>
              <w:overflowPunct/>
              <w:autoSpaceDE/>
              <w:autoSpaceDN/>
              <w:bidi w:val="0"/>
              <w:spacing w:beforeAutospacing="0" w:afterAutospacing="0" w:line="360" w:lineRule="auto"/>
              <w:rPr>
                <w:color w:val="auto"/>
                <w:sz w:val="21"/>
                <w:szCs w:val="21"/>
                <w:highlight w:val="none"/>
              </w:rPr>
            </w:pPr>
            <w:r>
              <w:rPr>
                <w:rFonts w:hint="eastAsia" w:cs="宋体"/>
                <w:color w:val="auto"/>
                <w:sz w:val="21"/>
                <w:szCs w:val="21"/>
                <w:highlight w:val="none"/>
              </w:rPr>
              <w:t>证明文件所在位置</w:t>
            </w:r>
          </w:p>
        </w:tc>
        <w:tc>
          <w:tcPr>
            <w:tcW w:w="1239" w:type="dxa"/>
            <w:tcBorders>
              <w:top w:val="single" w:color="auto" w:sz="2" w:space="0"/>
              <w:left w:val="single" w:color="auto" w:sz="2" w:space="0"/>
              <w:bottom w:val="single" w:color="auto" w:sz="2" w:space="0"/>
              <w:right w:val="single" w:color="auto" w:sz="2" w:space="0"/>
            </w:tcBorders>
          </w:tcPr>
          <w:p w14:paraId="55247517">
            <w:pPr>
              <w:pStyle w:val="26"/>
              <w:pageBreakBefore w:val="0"/>
              <w:kinsoku/>
              <w:wordWrap/>
              <w:overflowPunct/>
              <w:autoSpaceDE/>
              <w:autoSpaceDN/>
              <w:bidi w:val="0"/>
              <w:spacing w:beforeAutospacing="0" w:afterAutospacing="0" w:line="360" w:lineRule="auto"/>
              <w:rPr>
                <w:color w:val="auto"/>
                <w:sz w:val="21"/>
                <w:szCs w:val="21"/>
                <w:highlight w:val="none"/>
              </w:rPr>
            </w:pPr>
            <w:r>
              <w:rPr>
                <w:rFonts w:hint="eastAsia" w:cs="宋体"/>
                <w:color w:val="auto"/>
                <w:sz w:val="21"/>
                <w:szCs w:val="21"/>
                <w:highlight w:val="none"/>
              </w:rPr>
              <w:t>是否偏离</w:t>
            </w:r>
          </w:p>
        </w:tc>
      </w:tr>
      <w:tr w14:paraId="49685C3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772" w:type="dxa"/>
            <w:tcBorders>
              <w:top w:val="single" w:color="auto" w:sz="2" w:space="0"/>
              <w:left w:val="single" w:color="auto" w:sz="2" w:space="0"/>
              <w:bottom w:val="single" w:color="auto" w:sz="2" w:space="0"/>
              <w:right w:val="single" w:color="auto" w:sz="2" w:space="0"/>
            </w:tcBorders>
          </w:tcPr>
          <w:p w14:paraId="66171E4A">
            <w:pPr>
              <w:pStyle w:val="26"/>
              <w:pageBreakBefore w:val="0"/>
              <w:kinsoku/>
              <w:wordWrap/>
              <w:overflowPunct/>
              <w:autoSpaceDE/>
              <w:autoSpaceDN/>
              <w:bidi w:val="0"/>
              <w:spacing w:beforeAutospacing="0" w:afterAutospacing="0" w:line="360" w:lineRule="auto"/>
              <w:rPr>
                <w:color w:val="auto"/>
                <w:sz w:val="21"/>
                <w:szCs w:val="21"/>
                <w:highlight w:val="none"/>
              </w:rPr>
            </w:pPr>
            <w:r>
              <w:rPr>
                <w:color w:val="auto"/>
                <w:sz w:val="21"/>
                <w:szCs w:val="21"/>
                <w:highlight w:val="none"/>
              </w:rPr>
              <w:t>1</w:t>
            </w:r>
          </w:p>
        </w:tc>
        <w:tc>
          <w:tcPr>
            <w:tcW w:w="2186" w:type="dxa"/>
            <w:tcBorders>
              <w:top w:val="single" w:color="auto" w:sz="2" w:space="0"/>
              <w:left w:val="single" w:color="auto" w:sz="2" w:space="0"/>
              <w:bottom w:val="single" w:color="auto" w:sz="2" w:space="0"/>
              <w:right w:val="single" w:color="auto" w:sz="2" w:space="0"/>
            </w:tcBorders>
          </w:tcPr>
          <w:p w14:paraId="4CE27EA9">
            <w:pPr>
              <w:pStyle w:val="26"/>
              <w:pageBreakBefore w:val="0"/>
              <w:kinsoku/>
              <w:wordWrap/>
              <w:overflowPunct/>
              <w:autoSpaceDE/>
              <w:autoSpaceDN/>
              <w:bidi w:val="0"/>
              <w:spacing w:beforeAutospacing="0" w:afterAutospacing="0" w:line="360" w:lineRule="auto"/>
              <w:rPr>
                <w:rFonts w:cs="宋体"/>
                <w:color w:val="auto"/>
                <w:sz w:val="21"/>
                <w:szCs w:val="21"/>
                <w:highlight w:val="none"/>
              </w:rPr>
            </w:pPr>
            <w:r>
              <w:rPr>
                <w:rFonts w:hint="eastAsia" w:cs="宋体"/>
                <w:color w:val="auto"/>
                <w:sz w:val="21"/>
                <w:szCs w:val="21"/>
                <w:highlight w:val="none"/>
              </w:rPr>
              <w:t>满足对依据的标准和规范的理解：见1.1</w:t>
            </w:r>
          </w:p>
        </w:tc>
        <w:tc>
          <w:tcPr>
            <w:tcW w:w="2834" w:type="dxa"/>
            <w:tcBorders>
              <w:top w:val="single" w:color="auto" w:sz="2" w:space="0"/>
              <w:left w:val="single" w:color="auto" w:sz="2" w:space="0"/>
              <w:bottom w:val="single" w:color="auto" w:sz="2" w:space="0"/>
              <w:right w:val="single" w:color="auto" w:sz="2" w:space="0"/>
            </w:tcBorders>
          </w:tcPr>
          <w:p w14:paraId="6F2F450B">
            <w:pPr>
              <w:pageBreakBefore w:val="0"/>
              <w:kinsoku/>
              <w:wordWrap/>
              <w:overflowPunct/>
              <w:autoSpaceDE/>
              <w:autoSpaceDN/>
              <w:bidi w:val="0"/>
              <w:spacing w:beforeAutospacing="0" w:afterAutospacing="0" w:line="360" w:lineRule="auto"/>
              <w:rPr>
                <w:color w:val="auto"/>
                <w:sz w:val="21"/>
                <w:szCs w:val="21"/>
                <w:highlight w:val="none"/>
              </w:rPr>
            </w:pPr>
          </w:p>
        </w:tc>
        <w:tc>
          <w:tcPr>
            <w:tcW w:w="1488" w:type="dxa"/>
            <w:tcBorders>
              <w:top w:val="single" w:color="auto" w:sz="2" w:space="0"/>
              <w:left w:val="single" w:color="auto" w:sz="2" w:space="0"/>
              <w:bottom w:val="single" w:color="auto" w:sz="2" w:space="0"/>
              <w:right w:val="single" w:color="auto" w:sz="2" w:space="0"/>
            </w:tcBorders>
          </w:tcPr>
          <w:p w14:paraId="6505D864">
            <w:pPr>
              <w:pageBreakBefore w:val="0"/>
              <w:kinsoku/>
              <w:wordWrap/>
              <w:overflowPunct/>
              <w:autoSpaceDE/>
              <w:autoSpaceDN/>
              <w:bidi w:val="0"/>
              <w:spacing w:beforeAutospacing="0" w:afterAutospacing="0" w:line="360" w:lineRule="auto"/>
              <w:rPr>
                <w:color w:val="auto"/>
                <w:sz w:val="21"/>
                <w:szCs w:val="21"/>
                <w:highlight w:val="none"/>
              </w:rPr>
            </w:pPr>
          </w:p>
        </w:tc>
        <w:tc>
          <w:tcPr>
            <w:tcW w:w="1239" w:type="dxa"/>
            <w:tcBorders>
              <w:top w:val="single" w:color="auto" w:sz="2" w:space="0"/>
              <w:left w:val="single" w:color="auto" w:sz="2" w:space="0"/>
              <w:bottom w:val="single" w:color="auto" w:sz="2" w:space="0"/>
              <w:right w:val="single" w:color="auto" w:sz="2" w:space="0"/>
            </w:tcBorders>
          </w:tcPr>
          <w:p w14:paraId="1BE50354">
            <w:pPr>
              <w:pageBreakBefore w:val="0"/>
              <w:kinsoku/>
              <w:wordWrap/>
              <w:overflowPunct/>
              <w:autoSpaceDE/>
              <w:autoSpaceDN/>
              <w:bidi w:val="0"/>
              <w:spacing w:beforeAutospacing="0" w:afterAutospacing="0" w:line="360" w:lineRule="auto"/>
              <w:rPr>
                <w:color w:val="auto"/>
                <w:sz w:val="21"/>
                <w:szCs w:val="21"/>
                <w:highlight w:val="none"/>
              </w:rPr>
            </w:pPr>
            <w:r>
              <w:rPr>
                <w:rFonts w:hint="eastAsia" w:ascii="Calibri" w:hAnsi="Calibri" w:eastAsia="宋体" w:cs="宋体"/>
                <w:color w:val="auto"/>
                <w:sz w:val="21"/>
                <w:szCs w:val="21"/>
                <w:highlight w:val="none"/>
                <w:lang w:bidi="ar"/>
              </w:rPr>
              <w:t>满足/负偏离</w:t>
            </w:r>
          </w:p>
        </w:tc>
      </w:tr>
      <w:tr w14:paraId="62AC6A3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772" w:type="dxa"/>
            <w:tcBorders>
              <w:top w:val="single" w:color="auto" w:sz="2" w:space="0"/>
              <w:left w:val="single" w:color="auto" w:sz="2" w:space="0"/>
              <w:bottom w:val="single" w:color="auto" w:sz="2" w:space="0"/>
              <w:right w:val="single" w:color="auto" w:sz="2" w:space="0"/>
            </w:tcBorders>
          </w:tcPr>
          <w:p w14:paraId="1F8FF485">
            <w:pPr>
              <w:pStyle w:val="26"/>
              <w:pageBreakBefore w:val="0"/>
              <w:kinsoku/>
              <w:wordWrap/>
              <w:overflowPunct/>
              <w:autoSpaceDE/>
              <w:autoSpaceDN/>
              <w:bidi w:val="0"/>
              <w:spacing w:beforeAutospacing="0" w:afterAutospacing="0" w:line="360" w:lineRule="auto"/>
              <w:rPr>
                <w:color w:val="auto"/>
                <w:sz w:val="21"/>
                <w:szCs w:val="21"/>
                <w:highlight w:val="none"/>
              </w:rPr>
            </w:pPr>
            <w:r>
              <w:rPr>
                <w:rFonts w:hint="eastAsia"/>
                <w:color w:val="auto"/>
                <w:sz w:val="21"/>
                <w:szCs w:val="21"/>
                <w:highlight w:val="none"/>
              </w:rPr>
              <w:t>2</w:t>
            </w:r>
          </w:p>
        </w:tc>
        <w:tc>
          <w:tcPr>
            <w:tcW w:w="2186" w:type="dxa"/>
            <w:tcBorders>
              <w:top w:val="single" w:color="auto" w:sz="2" w:space="0"/>
              <w:left w:val="single" w:color="auto" w:sz="2" w:space="0"/>
              <w:bottom w:val="single" w:color="auto" w:sz="2" w:space="0"/>
              <w:right w:val="single" w:color="auto" w:sz="2" w:space="0"/>
            </w:tcBorders>
          </w:tcPr>
          <w:p w14:paraId="72EAB997">
            <w:pPr>
              <w:pStyle w:val="26"/>
              <w:pageBreakBefore w:val="0"/>
              <w:kinsoku/>
              <w:wordWrap/>
              <w:overflowPunct/>
              <w:autoSpaceDE/>
              <w:autoSpaceDN/>
              <w:bidi w:val="0"/>
              <w:spacing w:beforeAutospacing="0" w:afterAutospacing="0" w:line="360" w:lineRule="auto"/>
              <w:rPr>
                <w:rFonts w:cs="宋体"/>
                <w:color w:val="auto"/>
                <w:sz w:val="21"/>
                <w:szCs w:val="21"/>
                <w:highlight w:val="none"/>
              </w:rPr>
            </w:pPr>
            <w:r>
              <w:rPr>
                <w:rFonts w:hint="eastAsia" w:cs="宋体"/>
                <w:color w:val="auto"/>
                <w:sz w:val="21"/>
                <w:szCs w:val="21"/>
                <w:highlight w:val="none"/>
              </w:rPr>
              <w:t>满足对项目要求的理解：见2.1</w:t>
            </w:r>
          </w:p>
        </w:tc>
        <w:tc>
          <w:tcPr>
            <w:tcW w:w="2834" w:type="dxa"/>
            <w:tcBorders>
              <w:top w:val="single" w:color="auto" w:sz="2" w:space="0"/>
              <w:left w:val="single" w:color="auto" w:sz="2" w:space="0"/>
              <w:bottom w:val="single" w:color="auto" w:sz="2" w:space="0"/>
              <w:right w:val="single" w:color="auto" w:sz="2" w:space="0"/>
            </w:tcBorders>
          </w:tcPr>
          <w:p w14:paraId="62AFA509">
            <w:pPr>
              <w:pageBreakBefore w:val="0"/>
              <w:kinsoku/>
              <w:wordWrap/>
              <w:overflowPunct/>
              <w:autoSpaceDE/>
              <w:autoSpaceDN/>
              <w:bidi w:val="0"/>
              <w:spacing w:beforeAutospacing="0" w:afterAutospacing="0" w:line="360" w:lineRule="auto"/>
              <w:rPr>
                <w:color w:val="auto"/>
                <w:sz w:val="21"/>
                <w:szCs w:val="21"/>
                <w:highlight w:val="none"/>
              </w:rPr>
            </w:pPr>
          </w:p>
        </w:tc>
        <w:tc>
          <w:tcPr>
            <w:tcW w:w="1488" w:type="dxa"/>
            <w:tcBorders>
              <w:top w:val="single" w:color="auto" w:sz="2" w:space="0"/>
              <w:left w:val="single" w:color="auto" w:sz="2" w:space="0"/>
              <w:bottom w:val="single" w:color="auto" w:sz="2" w:space="0"/>
              <w:right w:val="single" w:color="auto" w:sz="2" w:space="0"/>
            </w:tcBorders>
          </w:tcPr>
          <w:p w14:paraId="3E18C81E">
            <w:pPr>
              <w:pageBreakBefore w:val="0"/>
              <w:kinsoku/>
              <w:wordWrap/>
              <w:overflowPunct/>
              <w:autoSpaceDE/>
              <w:autoSpaceDN/>
              <w:bidi w:val="0"/>
              <w:spacing w:beforeAutospacing="0" w:afterAutospacing="0" w:line="360" w:lineRule="auto"/>
              <w:rPr>
                <w:color w:val="auto"/>
                <w:sz w:val="21"/>
                <w:szCs w:val="21"/>
                <w:highlight w:val="none"/>
              </w:rPr>
            </w:pPr>
          </w:p>
        </w:tc>
        <w:tc>
          <w:tcPr>
            <w:tcW w:w="1239" w:type="dxa"/>
            <w:tcBorders>
              <w:top w:val="single" w:color="auto" w:sz="2" w:space="0"/>
              <w:left w:val="single" w:color="auto" w:sz="2" w:space="0"/>
              <w:bottom w:val="single" w:color="auto" w:sz="2" w:space="0"/>
              <w:right w:val="single" w:color="auto" w:sz="2" w:space="0"/>
            </w:tcBorders>
          </w:tcPr>
          <w:p w14:paraId="085B6F11">
            <w:pPr>
              <w:pageBreakBefore w:val="0"/>
              <w:kinsoku/>
              <w:wordWrap/>
              <w:overflowPunct/>
              <w:autoSpaceDE/>
              <w:autoSpaceDN/>
              <w:bidi w:val="0"/>
              <w:spacing w:beforeAutospacing="0" w:afterAutospacing="0" w:line="360" w:lineRule="auto"/>
              <w:rPr>
                <w:color w:val="auto"/>
                <w:sz w:val="21"/>
                <w:szCs w:val="21"/>
                <w:highlight w:val="none"/>
              </w:rPr>
            </w:pPr>
            <w:r>
              <w:rPr>
                <w:rFonts w:hint="eastAsia" w:ascii="Calibri" w:hAnsi="Calibri" w:eastAsia="宋体" w:cs="宋体"/>
                <w:color w:val="auto"/>
                <w:sz w:val="21"/>
                <w:szCs w:val="21"/>
                <w:highlight w:val="none"/>
                <w:lang w:bidi="ar"/>
              </w:rPr>
              <w:t>满足/负偏离</w:t>
            </w:r>
          </w:p>
        </w:tc>
      </w:tr>
      <w:tr w14:paraId="7ABFACA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772" w:type="dxa"/>
            <w:tcBorders>
              <w:top w:val="single" w:color="auto" w:sz="2" w:space="0"/>
              <w:left w:val="single" w:color="auto" w:sz="2" w:space="0"/>
              <w:bottom w:val="single" w:color="auto" w:sz="2" w:space="0"/>
              <w:right w:val="single" w:color="auto" w:sz="2" w:space="0"/>
            </w:tcBorders>
          </w:tcPr>
          <w:p w14:paraId="58A5BC60">
            <w:pPr>
              <w:pStyle w:val="26"/>
              <w:pageBreakBefore w:val="0"/>
              <w:kinsoku/>
              <w:wordWrap/>
              <w:overflowPunct/>
              <w:autoSpaceDE/>
              <w:autoSpaceDN/>
              <w:bidi w:val="0"/>
              <w:spacing w:beforeAutospacing="0" w:afterAutospacing="0" w:line="360" w:lineRule="auto"/>
              <w:rPr>
                <w:color w:val="auto"/>
                <w:sz w:val="21"/>
                <w:szCs w:val="21"/>
                <w:highlight w:val="none"/>
              </w:rPr>
            </w:pPr>
            <w:r>
              <w:rPr>
                <w:rFonts w:hint="eastAsia"/>
                <w:color w:val="auto"/>
                <w:sz w:val="21"/>
                <w:szCs w:val="21"/>
                <w:highlight w:val="none"/>
              </w:rPr>
              <w:t>3</w:t>
            </w:r>
          </w:p>
        </w:tc>
        <w:tc>
          <w:tcPr>
            <w:tcW w:w="2186" w:type="dxa"/>
            <w:tcBorders>
              <w:top w:val="single" w:color="auto" w:sz="2" w:space="0"/>
              <w:left w:val="single" w:color="auto" w:sz="2" w:space="0"/>
              <w:bottom w:val="single" w:color="auto" w:sz="2" w:space="0"/>
              <w:right w:val="single" w:color="auto" w:sz="2" w:space="0"/>
            </w:tcBorders>
          </w:tcPr>
          <w:p w14:paraId="54915884">
            <w:pPr>
              <w:pStyle w:val="26"/>
              <w:pageBreakBefore w:val="0"/>
              <w:kinsoku/>
              <w:wordWrap/>
              <w:overflowPunct/>
              <w:autoSpaceDE/>
              <w:autoSpaceDN/>
              <w:bidi w:val="0"/>
              <w:spacing w:beforeAutospacing="0" w:afterAutospacing="0" w:line="360" w:lineRule="auto"/>
              <w:rPr>
                <w:rFonts w:cs="宋体"/>
                <w:color w:val="auto"/>
                <w:sz w:val="21"/>
                <w:szCs w:val="21"/>
                <w:highlight w:val="none"/>
              </w:rPr>
            </w:pPr>
            <w:r>
              <w:rPr>
                <w:rFonts w:hint="eastAsia" w:cs="宋体"/>
                <w:color w:val="auto"/>
                <w:sz w:val="21"/>
                <w:szCs w:val="21"/>
                <w:highlight w:val="none"/>
              </w:rPr>
              <w:t>满足对项目背景的理解：见2.2</w:t>
            </w:r>
          </w:p>
        </w:tc>
        <w:tc>
          <w:tcPr>
            <w:tcW w:w="2834" w:type="dxa"/>
            <w:tcBorders>
              <w:top w:val="single" w:color="auto" w:sz="2" w:space="0"/>
              <w:left w:val="single" w:color="auto" w:sz="2" w:space="0"/>
              <w:bottom w:val="single" w:color="auto" w:sz="2" w:space="0"/>
              <w:right w:val="single" w:color="auto" w:sz="2" w:space="0"/>
            </w:tcBorders>
          </w:tcPr>
          <w:p w14:paraId="3BCE205E">
            <w:pPr>
              <w:pageBreakBefore w:val="0"/>
              <w:kinsoku/>
              <w:wordWrap/>
              <w:overflowPunct/>
              <w:autoSpaceDE/>
              <w:autoSpaceDN/>
              <w:bidi w:val="0"/>
              <w:spacing w:beforeAutospacing="0" w:afterAutospacing="0" w:line="360" w:lineRule="auto"/>
              <w:rPr>
                <w:color w:val="auto"/>
                <w:sz w:val="21"/>
                <w:szCs w:val="21"/>
                <w:highlight w:val="none"/>
              </w:rPr>
            </w:pPr>
          </w:p>
        </w:tc>
        <w:tc>
          <w:tcPr>
            <w:tcW w:w="1488" w:type="dxa"/>
            <w:tcBorders>
              <w:top w:val="single" w:color="auto" w:sz="2" w:space="0"/>
              <w:left w:val="single" w:color="auto" w:sz="2" w:space="0"/>
              <w:bottom w:val="single" w:color="auto" w:sz="2" w:space="0"/>
              <w:right w:val="single" w:color="auto" w:sz="2" w:space="0"/>
            </w:tcBorders>
          </w:tcPr>
          <w:p w14:paraId="7BE016C3">
            <w:pPr>
              <w:pageBreakBefore w:val="0"/>
              <w:kinsoku/>
              <w:wordWrap/>
              <w:overflowPunct/>
              <w:autoSpaceDE/>
              <w:autoSpaceDN/>
              <w:bidi w:val="0"/>
              <w:spacing w:beforeAutospacing="0" w:afterAutospacing="0" w:line="360" w:lineRule="auto"/>
              <w:rPr>
                <w:color w:val="auto"/>
                <w:sz w:val="21"/>
                <w:szCs w:val="21"/>
                <w:highlight w:val="none"/>
              </w:rPr>
            </w:pPr>
          </w:p>
        </w:tc>
        <w:tc>
          <w:tcPr>
            <w:tcW w:w="1239" w:type="dxa"/>
            <w:tcBorders>
              <w:top w:val="single" w:color="auto" w:sz="2" w:space="0"/>
              <w:left w:val="single" w:color="auto" w:sz="2" w:space="0"/>
              <w:bottom w:val="single" w:color="auto" w:sz="2" w:space="0"/>
              <w:right w:val="single" w:color="auto" w:sz="2" w:space="0"/>
            </w:tcBorders>
          </w:tcPr>
          <w:p w14:paraId="5B1F6734">
            <w:pPr>
              <w:pageBreakBefore w:val="0"/>
              <w:kinsoku/>
              <w:wordWrap/>
              <w:overflowPunct/>
              <w:autoSpaceDE/>
              <w:autoSpaceDN/>
              <w:bidi w:val="0"/>
              <w:spacing w:beforeAutospacing="0" w:afterAutospacing="0" w:line="360" w:lineRule="auto"/>
              <w:rPr>
                <w:color w:val="auto"/>
                <w:sz w:val="21"/>
                <w:szCs w:val="21"/>
                <w:highlight w:val="none"/>
              </w:rPr>
            </w:pPr>
            <w:r>
              <w:rPr>
                <w:rFonts w:hint="eastAsia" w:ascii="Calibri" w:hAnsi="Calibri" w:eastAsia="宋体" w:cs="宋体"/>
                <w:color w:val="auto"/>
                <w:sz w:val="21"/>
                <w:szCs w:val="21"/>
                <w:highlight w:val="none"/>
                <w:lang w:bidi="ar"/>
              </w:rPr>
              <w:t>满足/负偏离</w:t>
            </w:r>
          </w:p>
        </w:tc>
      </w:tr>
      <w:tr w14:paraId="2A47F4A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772" w:type="dxa"/>
            <w:tcBorders>
              <w:top w:val="single" w:color="auto" w:sz="2" w:space="0"/>
              <w:left w:val="single" w:color="auto" w:sz="2" w:space="0"/>
              <w:bottom w:val="single" w:color="auto" w:sz="2" w:space="0"/>
              <w:right w:val="single" w:color="auto" w:sz="2" w:space="0"/>
            </w:tcBorders>
          </w:tcPr>
          <w:p w14:paraId="1A02CE65">
            <w:pPr>
              <w:pStyle w:val="26"/>
              <w:pageBreakBefore w:val="0"/>
              <w:kinsoku/>
              <w:wordWrap/>
              <w:overflowPunct/>
              <w:autoSpaceDE/>
              <w:autoSpaceDN/>
              <w:bidi w:val="0"/>
              <w:spacing w:beforeAutospacing="0" w:afterAutospacing="0" w:line="360" w:lineRule="auto"/>
              <w:rPr>
                <w:color w:val="auto"/>
                <w:sz w:val="21"/>
                <w:szCs w:val="21"/>
                <w:highlight w:val="none"/>
              </w:rPr>
            </w:pPr>
            <w:r>
              <w:rPr>
                <w:rFonts w:hint="eastAsia"/>
                <w:color w:val="auto"/>
                <w:sz w:val="21"/>
                <w:szCs w:val="21"/>
                <w:highlight w:val="none"/>
              </w:rPr>
              <w:t>4</w:t>
            </w:r>
          </w:p>
        </w:tc>
        <w:tc>
          <w:tcPr>
            <w:tcW w:w="2186" w:type="dxa"/>
            <w:tcBorders>
              <w:top w:val="single" w:color="auto" w:sz="2" w:space="0"/>
              <w:left w:val="single" w:color="auto" w:sz="2" w:space="0"/>
              <w:bottom w:val="single" w:color="auto" w:sz="2" w:space="0"/>
              <w:right w:val="single" w:color="auto" w:sz="2" w:space="0"/>
            </w:tcBorders>
          </w:tcPr>
          <w:p w14:paraId="747DCD65">
            <w:pPr>
              <w:pStyle w:val="26"/>
              <w:pageBreakBefore w:val="0"/>
              <w:kinsoku/>
              <w:wordWrap/>
              <w:overflowPunct/>
              <w:autoSpaceDE/>
              <w:autoSpaceDN/>
              <w:bidi w:val="0"/>
              <w:spacing w:beforeAutospacing="0" w:afterAutospacing="0" w:line="360" w:lineRule="auto"/>
              <w:rPr>
                <w:rFonts w:cs="宋体"/>
                <w:color w:val="auto"/>
                <w:sz w:val="21"/>
                <w:szCs w:val="21"/>
                <w:highlight w:val="none"/>
              </w:rPr>
            </w:pPr>
            <w:r>
              <w:rPr>
                <w:rFonts w:hint="eastAsia" w:cs="宋体"/>
                <w:color w:val="auto"/>
                <w:sz w:val="21"/>
                <w:szCs w:val="21"/>
                <w:highlight w:val="none"/>
              </w:rPr>
              <w:t>满足对建设目标的理解：见2.3</w:t>
            </w:r>
          </w:p>
        </w:tc>
        <w:tc>
          <w:tcPr>
            <w:tcW w:w="2834" w:type="dxa"/>
            <w:tcBorders>
              <w:top w:val="single" w:color="auto" w:sz="2" w:space="0"/>
              <w:left w:val="single" w:color="auto" w:sz="2" w:space="0"/>
              <w:bottom w:val="single" w:color="auto" w:sz="2" w:space="0"/>
              <w:right w:val="single" w:color="auto" w:sz="2" w:space="0"/>
            </w:tcBorders>
          </w:tcPr>
          <w:p w14:paraId="4A281DDF">
            <w:pPr>
              <w:pageBreakBefore w:val="0"/>
              <w:kinsoku/>
              <w:wordWrap/>
              <w:overflowPunct/>
              <w:autoSpaceDE/>
              <w:autoSpaceDN/>
              <w:bidi w:val="0"/>
              <w:spacing w:beforeAutospacing="0" w:afterAutospacing="0" w:line="360" w:lineRule="auto"/>
              <w:rPr>
                <w:color w:val="auto"/>
                <w:sz w:val="21"/>
                <w:szCs w:val="21"/>
                <w:highlight w:val="none"/>
              </w:rPr>
            </w:pPr>
          </w:p>
        </w:tc>
        <w:tc>
          <w:tcPr>
            <w:tcW w:w="1488" w:type="dxa"/>
            <w:tcBorders>
              <w:top w:val="single" w:color="auto" w:sz="2" w:space="0"/>
              <w:left w:val="single" w:color="auto" w:sz="2" w:space="0"/>
              <w:bottom w:val="single" w:color="auto" w:sz="2" w:space="0"/>
              <w:right w:val="single" w:color="auto" w:sz="2" w:space="0"/>
            </w:tcBorders>
          </w:tcPr>
          <w:p w14:paraId="2E6648F9">
            <w:pPr>
              <w:pageBreakBefore w:val="0"/>
              <w:kinsoku/>
              <w:wordWrap/>
              <w:overflowPunct/>
              <w:autoSpaceDE/>
              <w:autoSpaceDN/>
              <w:bidi w:val="0"/>
              <w:spacing w:beforeAutospacing="0" w:afterAutospacing="0" w:line="360" w:lineRule="auto"/>
              <w:rPr>
                <w:color w:val="auto"/>
                <w:sz w:val="21"/>
                <w:szCs w:val="21"/>
                <w:highlight w:val="none"/>
              </w:rPr>
            </w:pPr>
          </w:p>
        </w:tc>
        <w:tc>
          <w:tcPr>
            <w:tcW w:w="1239" w:type="dxa"/>
            <w:tcBorders>
              <w:top w:val="single" w:color="auto" w:sz="2" w:space="0"/>
              <w:left w:val="single" w:color="auto" w:sz="2" w:space="0"/>
              <w:bottom w:val="single" w:color="auto" w:sz="2" w:space="0"/>
              <w:right w:val="single" w:color="auto" w:sz="2" w:space="0"/>
            </w:tcBorders>
          </w:tcPr>
          <w:p w14:paraId="2F873AAF">
            <w:pPr>
              <w:pageBreakBefore w:val="0"/>
              <w:kinsoku/>
              <w:wordWrap/>
              <w:overflowPunct/>
              <w:autoSpaceDE/>
              <w:autoSpaceDN/>
              <w:bidi w:val="0"/>
              <w:spacing w:beforeAutospacing="0" w:afterAutospacing="0" w:line="360" w:lineRule="auto"/>
              <w:rPr>
                <w:color w:val="auto"/>
                <w:sz w:val="21"/>
                <w:szCs w:val="21"/>
                <w:highlight w:val="none"/>
              </w:rPr>
            </w:pPr>
            <w:r>
              <w:rPr>
                <w:rFonts w:hint="eastAsia" w:ascii="Calibri" w:hAnsi="Calibri" w:eastAsia="宋体" w:cs="宋体"/>
                <w:color w:val="auto"/>
                <w:sz w:val="21"/>
                <w:szCs w:val="21"/>
                <w:highlight w:val="none"/>
                <w:lang w:bidi="ar"/>
              </w:rPr>
              <w:t>满足/负偏离</w:t>
            </w:r>
          </w:p>
        </w:tc>
      </w:tr>
      <w:tr w14:paraId="7A9D7C2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772" w:type="dxa"/>
            <w:tcBorders>
              <w:top w:val="single" w:color="auto" w:sz="2" w:space="0"/>
              <w:left w:val="single" w:color="auto" w:sz="2" w:space="0"/>
              <w:bottom w:val="single" w:color="auto" w:sz="2" w:space="0"/>
              <w:right w:val="single" w:color="auto" w:sz="2" w:space="0"/>
            </w:tcBorders>
          </w:tcPr>
          <w:p w14:paraId="3C9F13E7">
            <w:pPr>
              <w:pStyle w:val="26"/>
              <w:pageBreakBefore w:val="0"/>
              <w:kinsoku/>
              <w:wordWrap/>
              <w:overflowPunct/>
              <w:autoSpaceDE/>
              <w:autoSpaceDN/>
              <w:bidi w:val="0"/>
              <w:spacing w:beforeAutospacing="0" w:afterAutospacing="0" w:line="360" w:lineRule="auto"/>
              <w:rPr>
                <w:color w:val="auto"/>
                <w:sz w:val="21"/>
                <w:szCs w:val="21"/>
                <w:highlight w:val="none"/>
              </w:rPr>
            </w:pPr>
            <w:r>
              <w:rPr>
                <w:rFonts w:hint="eastAsia"/>
                <w:color w:val="auto"/>
                <w:sz w:val="21"/>
                <w:szCs w:val="21"/>
                <w:highlight w:val="none"/>
              </w:rPr>
              <w:t>5</w:t>
            </w:r>
          </w:p>
        </w:tc>
        <w:tc>
          <w:tcPr>
            <w:tcW w:w="2186" w:type="dxa"/>
            <w:tcBorders>
              <w:top w:val="single" w:color="auto" w:sz="2" w:space="0"/>
              <w:left w:val="single" w:color="auto" w:sz="2" w:space="0"/>
              <w:bottom w:val="single" w:color="auto" w:sz="2" w:space="0"/>
              <w:right w:val="single" w:color="auto" w:sz="2" w:space="0"/>
            </w:tcBorders>
          </w:tcPr>
          <w:p w14:paraId="7051AF05">
            <w:pPr>
              <w:pStyle w:val="26"/>
              <w:pageBreakBefore w:val="0"/>
              <w:kinsoku/>
              <w:wordWrap/>
              <w:overflowPunct/>
              <w:autoSpaceDE/>
              <w:autoSpaceDN/>
              <w:bidi w:val="0"/>
              <w:spacing w:beforeAutospacing="0" w:afterAutospacing="0" w:line="360" w:lineRule="auto"/>
              <w:rPr>
                <w:rFonts w:cs="宋体"/>
                <w:color w:val="auto"/>
                <w:sz w:val="21"/>
                <w:szCs w:val="21"/>
                <w:highlight w:val="none"/>
              </w:rPr>
            </w:pPr>
            <w:r>
              <w:rPr>
                <w:rFonts w:hint="eastAsia" w:cs="宋体"/>
                <w:color w:val="auto"/>
                <w:sz w:val="21"/>
                <w:szCs w:val="21"/>
                <w:highlight w:val="none"/>
              </w:rPr>
              <w:t>满足对建设范围的理解：见2.4</w:t>
            </w:r>
          </w:p>
        </w:tc>
        <w:tc>
          <w:tcPr>
            <w:tcW w:w="2834" w:type="dxa"/>
            <w:tcBorders>
              <w:top w:val="single" w:color="auto" w:sz="2" w:space="0"/>
              <w:left w:val="single" w:color="auto" w:sz="2" w:space="0"/>
              <w:bottom w:val="single" w:color="auto" w:sz="2" w:space="0"/>
              <w:right w:val="single" w:color="auto" w:sz="2" w:space="0"/>
            </w:tcBorders>
          </w:tcPr>
          <w:p w14:paraId="2F08263F">
            <w:pPr>
              <w:pageBreakBefore w:val="0"/>
              <w:kinsoku/>
              <w:wordWrap/>
              <w:overflowPunct/>
              <w:autoSpaceDE/>
              <w:autoSpaceDN/>
              <w:bidi w:val="0"/>
              <w:spacing w:beforeAutospacing="0" w:afterAutospacing="0" w:line="360" w:lineRule="auto"/>
              <w:rPr>
                <w:color w:val="auto"/>
                <w:sz w:val="21"/>
                <w:szCs w:val="21"/>
                <w:highlight w:val="none"/>
              </w:rPr>
            </w:pPr>
          </w:p>
        </w:tc>
        <w:tc>
          <w:tcPr>
            <w:tcW w:w="1488" w:type="dxa"/>
            <w:tcBorders>
              <w:top w:val="single" w:color="auto" w:sz="2" w:space="0"/>
              <w:left w:val="single" w:color="auto" w:sz="2" w:space="0"/>
              <w:bottom w:val="single" w:color="auto" w:sz="2" w:space="0"/>
              <w:right w:val="single" w:color="auto" w:sz="2" w:space="0"/>
            </w:tcBorders>
          </w:tcPr>
          <w:p w14:paraId="3A61A800">
            <w:pPr>
              <w:pageBreakBefore w:val="0"/>
              <w:kinsoku/>
              <w:wordWrap/>
              <w:overflowPunct/>
              <w:autoSpaceDE/>
              <w:autoSpaceDN/>
              <w:bidi w:val="0"/>
              <w:spacing w:beforeAutospacing="0" w:afterAutospacing="0" w:line="360" w:lineRule="auto"/>
              <w:rPr>
                <w:color w:val="auto"/>
                <w:sz w:val="21"/>
                <w:szCs w:val="21"/>
                <w:highlight w:val="none"/>
              </w:rPr>
            </w:pPr>
          </w:p>
        </w:tc>
        <w:tc>
          <w:tcPr>
            <w:tcW w:w="1239" w:type="dxa"/>
            <w:tcBorders>
              <w:top w:val="single" w:color="auto" w:sz="2" w:space="0"/>
              <w:left w:val="single" w:color="auto" w:sz="2" w:space="0"/>
              <w:bottom w:val="single" w:color="auto" w:sz="2" w:space="0"/>
              <w:right w:val="single" w:color="auto" w:sz="2" w:space="0"/>
            </w:tcBorders>
          </w:tcPr>
          <w:p w14:paraId="18AFE71E">
            <w:pPr>
              <w:pageBreakBefore w:val="0"/>
              <w:kinsoku/>
              <w:wordWrap/>
              <w:overflowPunct/>
              <w:autoSpaceDE/>
              <w:autoSpaceDN/>
              <w:bidi w:val="0"/>
              <w:spacing w:beforeAutospacing="0" w:afterAutospacing="0" w:line="360" w:lineRule="auto"/>
              <w:rPr>
                <w:color w:val="auto"/>
                <w:sz w:val="21"/>
                <w:szCs w:val="21"/>
                <w:highlight w:val="none"/>
              </w:rPr>
            </w:pPr>
            <w:r>
              <w:rPr>
                <w:rFonts w:hint="eastAsia" w:ascii="Calibri" w:hAnsi="Calibri" w:eastAsia="宋体" w:cs="宋体"/>
                <w:color w:val="auto"/>
                <w:sz w:val="21"/>
                <w:szCs w:val="21"/>
                <w:highlight w:val="none"/>
                <w:lang w:bidi="ar"/>
              </w:rPr>
              <w:t>满足/负偏离</w:t>
            </w:r>
          </w:p>
        </w:tc>
      </w:tr>
      <w:tr w14:paraId="1082AAF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772" w:type="dxa"/>
            <w:tcBorders>
              <w:top w:val="single" w:color="auto" w:sz="2" w:space="0"/>
              <w:left w:val="single" w:color="auto" w:sz="2" w:space="0"/>
              <w:bottom w:val="single" w:color="auto" w:sz="2" w:space="0"/>
              <w:right w:val="single" w:color="auto" w:sz="2" w:space="0"/>
            </w:tcBorders>
          </w:tcPr>
          <w:p w14:paraId="48BF9697">
            <w:pPr>
              <w:pStyle w:val="26"/>
              <w:pageBreakBefore w:val="0"/>
              <w:kinsoku/>
              <w:wordWrap/>
              <w:overflowPunct/>
              <w:autoSpaceDE/>
              <w:autoSpaceDN/>
              <w:bidi w:val="0"/>
              <w:spacing w:beforeAutospacing="0" w:afterAutospacing="0" w:line="360" w:lineRule="auto"/>
              <w:rPr>
                <w:color w:val="auto"/>
                <w:sz w:val="21"/>
                <w:szCs w:val="21"/>
                <w:highlight w:val="none"/>
              </w:rPr>
            </w:pPr>
            <w:r>
              <w:rPr>
                <w:rFonts w:hint="eastAsia"/>
                <w:color w:val="auto"/>
                <w:sz w:val="21"/>
                <w:szCs w:val="21"/>
                <w:highlight w:val="none"/>
              </w:rPr>
              <w:t>6</w:t>
            </w:r>
          </w:p>
        </w:tc>
        <w:tc>
          <w:tcPr>
            <w:tcW w:w="2186" w:type="dxa"/>
            <w:tcBorders>
              <w:top w:val="single" w:color="auto" w:sz="2" w:space="0"/>
              <w:left w:val="single" w:color="auto" w:sz="2" w:space="0"/>
              <w:bottom w:val="single" w:color="auto" w:sz="2" w:space="0"/>
              <w:right w:val="single" w:color="auto" w:sz="2" w:space="0"/>
            </w:tcBorders>
          </w:tcPr>
          <w:p w14:paraId="5C6721EB">
            <w:pPr>
              <w:pStyle w:val="26"/>
              <w:pageBreakBefore w:val="0"/>
              <w:kinsoku/>
              <w:wordWrap/>
              <w:overflowPunct/>
              <w:autoSpaceDE/>
              <w:autoSpaceDN/>
              <w:bidi w:val="0"/>
              <w:spacing w:beforeAutospacing="0" w:afterAutospacing="0" w:line="360" w:lineRule="auto"/>
              <w:rPr>
                <w:rFonts w:cs="宋体"/>
                <w:color w:val="auto"/>
                <w:sz w:val="21"/>
                <w:szCs w:val="21"/>
                <w:highlight w:val="none"/>
              </w:rPr>
            </w:pPr>
            <w:r>
              <w:rPr>
                <w:rFonts w:hint="eastAsia" w:cs="宋体"/>
                <w:color w:val="auto"/>
                <w:sz w:val="21"/>
                <w:szCs w:val="21"/>
                <w:highlight w:val="none"/>
              </w:rPr>
              <w:t>满足对项目准备工作的理解：见3.1</w:t>
            </w:r>
          </w:p>
        </w:tc>
        <w:tc>
          <w:tcPr>
            <w:tcW w:w="2834" w:type="dxa"/>
            <w:tcBorders>
              <w:top w:val="single" w:color="auto" w:sz="2" w:space="0"/>
              <w:left w:val="single" w:color="auto" w:sz="2" w:space="0"/>
              <w:bottom w:val="single" w:color="auto" w:sz="2" w:space="0"/>
              <w:right w:val="single" w:color="auto" w:sz="2" w:space="0"/>
            </w:tcBorders>
          </w:tcPr>
          <w:p w14:paraId="48A90BA2">
            <w:pPr>
              <w:pageBreakBefore w:val="0"/>
              <w:kinsoku/>
              <w:wordWrap/>
              <w:overflowPunct/>
              <w:autoSpaceDE/>
              <w:autoSpaceDN/>
              <w:bidi w:val="0"/>
              <w:spacing w:beforeAutospacing="0" w:afterAutospacing="0" w:line="360" w:lineRule="auto"/>
              <w:rPr>
                <w:color w:val="auto"/>
                <w:sz w:val="21"/>
                <w:szCs w:val="21"/>
                <w:highlight w:val="none"/>
              </w:rPr>
            </w:pPr>
          </w:p>
        </w:tc>
        <w:tc>
          <w:tcPr>
            <w:tcW w:w="1488" w:type="dxa"/>
            <w:tcBorders>
              <w:top w:val="single" w:color="auto" w:sz="2" w:space="0"/>
              <w:left w:val="single" w:color="auto" w:sz="2" w:space="0"/>
              <w:bottom w:val="single" w:color="auto" w:sz="2" w:space="0"/>
              <w:right w:val="single" w:color="auto" w:sz="2" w:space="0"/>
            </w:tcBorders>
          </w:tcPr>
          <w:p w14:paraId="589826BB">
            <w:pPr>
              <w:pageBreakBefore w:val="0"/>
              <w:kinsoku/>
              <w:wordWrap/>
              <w:overflowPunct/>
              <w:autoSpaceDE/>
              <w:autoSpaceDN/>
              <w:bidi w:val="0"/>
              <w:spacing w:beforeAutospacing="0" w:afterAutospacing="0" w:line="360" w:lineRule="auto"/>
              <w:rPr>
                <w:color w:val="auto"/>
                <w:sz w:val="21"/>
                <w:szCs w:val="21"/>
                <w:highlight w:val="none"/>
              </w:rPr>
            </w:pPr>
          </w:p>
        </w:tc>
        <w:tc>
          <w:tcPr>
            <w:tcW w:w="1239" w:type="dxa"/>
            <w:tcBorders>
              <w:top w:val="single" w:color="auto" w:sz="2" w:space="0"/>
              <w:left w:val="single" w:color="auto" w:sz="2" w:space="0"/>
              <w:bottom w:val="single" w:color="auto" w:sz="2" w:space="0"/>
              <w:right w:val="single" w:color="auto" w:sz="2" w:space="0"/>
            </w:tcBorders>
          </w:tcPr>
          <w:p w14:paraId="52E9F53E">
            <w:pPr>
              <w:pageBreakBefore w:val="0"/>
              <w:kinsoku/>
              <w:wordWrap/>
              <w:overflowPunct/>
              <w:autoSpaceDE/>
              <w:autoSpaceDN/>
              <w:bidi w:val="0"/>
              <w:spacing w:beforeAutospacing="0" w:afterAutospacing="0" w:line="360" w:lineRule="auto"/>
              <w:rPr>
                <w:color w:val="auto"/>
                <w:sz w:val="21"/>
                <w:szCs w:val="21"/>
                <w:highlight w:val="none"/>
              </w:rPr>
            </w:pPr>
            <w:r>
              <w:rPr>
                <w:rFonts w:hint="eastAsia" w:ascii="Calibri" w:hAnsi="Calibri" w:eastAsia="宋体" w:cs="宋体"/>
                <w:color w:val="auto"/>
                <w:sz w:val="21"/>
                <w:szCs w:val="21"/>
                <w:highlight w:val="none"/>
                <w:lang w:bidi="ar"/>
              </w:rPr>
              <w:t>满足/负偏离</w:t>
            </w:r>
          </w:p>
        </w:tc>
      </w:tr>
      <w:tr w14:paraId="47D25FA0">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772" w:type="dxa"/>
            <w:tcBorders>
              <w:top w:val="single" w:color="auto" w:sz="2" w:space="0"/>
              <w:left w:val="single" w:color="auto" w:sz="2" w:space="0"/>
              <w:bottom w:val="single" w:color="auto" w:sz="2" w:space="0"/>
              <w:right w:val="single" w:color="auto" w:sz="2" w:space="0"/>
            </w:tcBorders>
          </w:tcPr>
          <w:p w14:paraId="7A5ADE8B">
            <w:pPr>
              <w:pStyle w:val="26"/>
              <w:pageBreakBefore w:val="0"/>
              <w:kinsoku/>
              <w:wordWrap/>
              <w:overflowPunct/>
              <w:autoSpaceDE/>
              <w:autoSpaceDN/>
              <w:bidi w:val="0"/>
              <w:spacing w:beforeAutospacing="0" w:afterAutospacing="0" w:line="360" w:lineRule="auto"/>
              <w:rPr>
                <w:color w:val="auto"/>
                <w:sz w:val="21"/>
                <w:szCs w:val="21"/>
                <w:highlight w:val="none"/>
              </w:rPr>
            </w:pPr>
            <w:r>
              <w:rPr>
                <w:rFonts w:hint="eastAsia"/>
                <w:color w:val="auto"/>
                <w:sz w:val="21"/>
                <w:szCs w:val="21"/>
                <w:highlight w:val="none"/>
              </w:rPr>
              <w:t>7</w:t>
            </w:r>
          </w:p>
        </w:tc>
        <w:tc>
          <w:tcPr>
            <w:tcW w:w="2186" w:type="dxa"/>
            <w:tcBorders>
              <w:top w:val="single" w:color="auto" w:sz="2" w:space="0"/>
              <w:left w:val="single" w:color="auto" w:sz="2" w:space="0"/>
              <w:bottom w:val="single" w:color="auto" w:sz="2" w:space="0"/>
              <w:right w:val="single" w:color="auto" w:sz="2" w:space="0"/>
            </w:tcBorders>
          </w:tcPr>
          <w:p w14:paraId="13F5D8C1">
            <w:pPr>
              <w:pStyle w:val="26"/>
              <w:pageBreakBefore w:val="0"/>
              <w:kinsoku/>
              <w:wordWrap/>
              <w:overflowPunct/>
              <w:autoSpaceDE/>
              <w:autoSpaceDN/>
              <w:bidi w:val="0"/>
              <w:spacing w:beforeAutospacing="0" w:afterAutospacing="0" w:line="360" w:lineRule="auto"/>
              <w:rPr>
                <w:rFonts w:cs="宋体"/>
                <w:color w:val="auto"/>
                <w:sz w:val="21"/>
                <w:szCs w:val="21"/>
                <w:highlight w:val="none"/>
              </w:rPr>
            </w:pPr>
            <w:r>
              <w:rPr>
                <w:rFonts w:hint="eastAsia" w:cs="宋体"/>
                <w:color w:val="auto"/>
                <w:sz w:val="21"/>
                <w:szCs w:val="21"/>
                <w:highlight w:val="none"/>
              </w:rPr>
              <w:t>满足对项目准备工作的理解：见3.1</w:t>
            </w:r>
          </w:p>
        </w:tc>
        <w:tc>
          <w:tcPr>
            <w:tcW w:w="2834" w:type="dxa"/>
            <w:tcBorders>
              <w:top w:val="single" w:color="auto" w:sz="2" w:space="0"/>
              <w:left w:val="single" w:color="auto" w:sz="2" w:space="0"/>
              <w:bottom w:val="single" w:color="auto" w:sz="2" w:space="0"/>
              <w:right w:val="single" w:color="auto" w:sz="2" w:space="0"/>
            </w:tcBorders>
          </w:tcPr>
          <w:p w14:paraId="4C566C83">
            <w:pPr>
              <w:pageBreakBefore w:val="0"/>
              <w:kinsoku/>
              <w:wordWrap/>
              <w:overflowPunct/>
              <w:autoSpaceDE/>
              <w:autoSpaceDN/>
              <w:bidi w:val="0"/>
              <w:spacing w:beforeAutospacing="0" w:afterAutospacing="0" w:line="360" w:lineRule="auto"/>
              <w:rPr>
                <w:color w:val="auto"/>
                <w:sz w:val="21"/>
                <w:szCs w:val="21"/>
                <w:highlight w:val="none"/>
              </w:rPr>
            </w:pPr>
          </w:p>
        </w:tc>
        <w:tc>
          <w:tcPr>
            <w:tcW w:w="1488" w:type="dxa"/>
            <w:tcBorders>
              <w:top w:val="single" w:color="auto" w:sz="2" w:space="0"/>
              <w:left w:val="single" w:color="auto" w:sz="2" w:space="0"/>
              <w:bottom w:val="single" w:color="auto" w:sz="2" w:space="0"/>
              <w:right w:val="single" w:color="auto" w:sz="2" w:space="0"/>
            </w:tcBorders>
          </w:tcPr>
          <w:p w14:paraId="6B7B95FD">
            <w:pPr>
              <w:pageBreakBefore w:val="0"/>
              <w:kinsoku/>
              <w:wordWrap/>
              <w:overflowPunct/>
              <w:autoSpaceDE/>
              <w:autoSpaceDN/>
              <w:bidi w:val="0"/>
              <w:spacing w:beforeAutospacing="0" w:afterAutospacing="0" w:line="360" w:lineRule="auto"/>
              <w:rPr>
                <w:color w:val="auto"/>
                <w:sz w:val="21"/>
                <w:szCs w:val="21"/>
                <w:highlight w:val="none"/>
              </w:rPr>
            </w:pPr>
          </w:p>
        </w:tc>
        <w:tc>
          <w:tcPr>
            <w:tcW w:w="1239" w:type="dxa"/>
            <w:tcBorders>
              <w:top w:val="single" w:color="auto" w:sz="2" w:space="0"/>
              <w:left w:val="single" w:color="auto" w:sz="2" w:space="0"/>
              <w:bottom w:val="single" w:color="auto" w:sz="2" w:space="0"/>
              <w:right w:val="single" w:color="auto" w:sz="2" w:space="0"/>
            </w:tcBorders>
          </w:tcPr>
          <w:p w14:paraId="4387AB71">
            <w:pPr>
              <w:pageBreakBefore w:val="0"/>
              <w:kinsoku/>
              <w:wordWrap/>
              <w:overflowPunct/>
              <w:autoSpaceDE/>
              <w:autoSpaceDN/>
              <w:bidi w:val="0"/>
              <w:spacing w:beforeAutospacing="0" w:afterAutospacing="0" w:line="360" w:lineRule="auto"/>
              <w:rPr>
                <w:color w:val="auto"/>
                <w:sz w:val="21"/>
                <w:szCs w:val="21"/>
                <w:highlight w:val="none"/>
              </w:rPr>
            </w:pPr>
            <w:r>
              <w:rPr>
                <w:rFonts w:hint="eastAsia" w:ascii="Calibri" w:hAnsi="Calibri" w:eastAsia="宋体" w:cs="宋体"/>
                <w:color w:val="auto"/>
                <w:sz w:val="21"/>
                <w:szCs w:val="21"/>
                <w:highlight w:val="none"/>
                <w:lang w:bidi="ar"/>
              </w:rPr>
              <w:t>满足/负偏离</w:t>
            </w:r>
          </w:p>
        </w:tc>
      </w:tr>
      <w:tr w14:paraId="1B983FE3">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772" w:type="dxa"/>
            <w:tcBorders>
              <w:top w:val="single" w:color="auto" w:sz="2" w:space="0"/>
              <w:left w:val="single" w:color="auto" w:sz="2" w:space="0"/>
              <w:bottom w:val="single" w:color="auto" w:sz="2" w:space="0"/>
              <w:right w:val="single" w:color="auto" w:sz="2" w:space="0"/>
            </w:tcBorders>
          </w:tcPr>
          <w:p w14:paraId="7EDA67DD">
            <w:pPr>
              <w:pStyle w:val="26"/>
              <w:pageBreakBefore w:val="0"/>
              <w:kinsoku/>
              <w:wordWrap/>
              <w:overflowPunct/>
              <w:autoSpaceDE/>
              <w:autoSpaceDN/>
              <w:bidi w:val="0"/>
              <w:spacing w:beforeAutospacing="0" w:afterAutospacing="0" w:line="360" w:lineRule="auto"/>
              <w:rPr>
                <w:color w:val="auto"/>
                <w:sz w:val="21"/>
                <w:szCs w:val="21"/>
                <w:highlight w:val="none"/>
              </w:rPr>
            </w:pPr>
            <w:r>
              <w:rPr>
                <w:rFonts w:hint="eastAsia"/>
                <w:color w:val="auto"/>
                <w:sz w:val="21"/>
                <w:szCs w:val="21"/>
                <w:highlight w:val="none"/>
              </w:rPr>
              <w:t>8</w:t>
            </w:r>
          </w:p>
        </w:tc>
        <w:tc>
          <w:tcPr>
            <w:tcW w:w="2186" w:type="dxa"/>
            <w:tcBorders>
              <w:top w:val="single" w:color="auto" w:sz="2" w:space="0"/>
              <w:left w:val="single" w:color="auto" w:sz="2" w:space="0"/>
              <w:bottom w:val="single" w:color="auto" w:sz="2" w:space="0"/>
              <w:right w:val="single" w:color="auto" w:sz="2" w:space="0"/>
            </w:tcBorders>
          </w:tcPr>
          <w:p w14:paraId="1E84E03E">
            <w:pPr>
              <w:pStyle w:val="26"/>
              <w:pageBreakBefore w:val="0"/>
              <w:kinsoku/>
              <w:wordWrap/>
              <w:overflowPunct/>
              <w:autoSpaceDE/>
              <w:autoSpaceDN/>
              <w:bidi w:val="0"/>
              <w:spacing w:beforeAutospacing="0" w:afterAutospacing="0" w:line="360" w:lineRule="auto"/>
              <w:rPr>
                <w:rFonts w:cs="宋体"/>
                <w:color w:val="auto"/>
                <w:sz w:val="21"/>
                <w:szCs w:val="21"/>
                <w:highlight w:val="none"/>
              </w:rPr>
            </w:pPr>
            <w:r>
              <w:rPr>
                <w:rFonts w:hint="eastAsia" w:cs="宋体"/>
                <w:color w:val="auto"/>
                <w:sz w:val="21"/>
                <w:szCs w:val="21"/>
                <w:highlight w:val="none"/>
              </w:rPr>
              <w:t>满足对业务需求的理解：见3.5.1</w:t>
            </w:r>
          </w:p>
        </w:tc>
        <w:tc>
          <w:tcPr>
            <w:tcW w:w="2834" w:type="dxa"/>
            <w:tcBorders>
              <w:top w:val="single" w:color="auto" w:sz="2" w:space="0"/>
              <w:left w:val="single" w:color="auto" w:sz="2" w:space="0"/>
              <w:bottom w:val="single" w:color="auto" w:sz="2" w:space="0"/>
              <w:right w:val="single" w:color="auto" w:sz="2" w:space="0"/>
            </w:tcBorders>
          </w:tcPr>
          <w:p w14:paraId="30CB28A3">
            <w:pPr>
              <w:pageBreakBefore w:val="0"/>
              <w:kinsoku/>
              <w:wordWrap/>
              <w:overflowPunct/>
              <w:autoSpaceDE/>
              <w:autoSpaceDN/>
              <w:bidi w:val="0"/>
              <w:spacing w:beforeAutospacing="0" w:afterAutospacing="0" w:line="360" w:lineRule="auto"/>
              <w:rPr>
                <w:color w:val="auto"/>
                <w:sz w:val="21"/>
                <w:szCs w:val="21"/>
                <w:highlight w:val="none"/>
              </w:rPr>
            </w:pPr>
          </w:p>
        </w:tc>
        <w:tc>
          <w:tcPr>
            <w:tcW w:w="1488" w:type="dxa"/>
            <w:tcBorders>
              <w:top w:val="single" w:color="auto" w:sz="2" w:space="0"/>
              <w:left w:val="single" w:color="auto" w:sz="2" w:space="0"/>
              <w:bottom w:val="single" w:color="auto" w:sz="2" w:space="0"/>
              <w:right w:val="single" w:color="auto" w:sz="2" w:space="0"/>
            </w:tcBorders>
          </w:tcPr>
          <w:p w14:paraId="179886AC">
            <w:pPr>
              <w:pageBreakBefore w:val="0"/>
              <w:kinsoku/>
              <w:wordWrap/>
              <w:overflowPunct/>
              <w:autoSpaceDE/>
              <w:autoSpaceDN/>
              <w:bidi w:val="0"/>
              <w:spacing w:beforeAutospacing="0" w:afterAutospacing="0" w:line="360" w:lineRule="auto"/>
              <w:rPr>
                <w:color w:val="auto"/>
                <w:sz w:val="21"/>
                <w:szCs w:val="21"/>
                <w:highlight w:val="none"/>
              </w:rPr>
            </w:pPr>
          </w:p>
        </w:tc>
        <w:tc>
          <w:tcPr>
            <w:tcW w:w="1239" w:type="dxa"/>
            <w:tcBorders>
              <w:top w:val="single" w:color="auto" w:sz="2" w:space="0"/>
              <w:left w:val="single" w:color="auto" w:sz="2" w:space="0"/>
              <w:bottom w:val="single" w:color="auto" w:sz="2" w:space="0"/>
              <w:right w:val="single" w:color="auto" w:sz="2" w:space="0"/>
            </w:tcBorders>
          </w:tcPr>
          <w:p w14:paraId="4A9FFB14">
            <w:pPr>
              <w:pageBreakBefore w:val="0"/>
              <w:kinsoku/>
              <w:wordWrap/>
              <w:overflowPunct/>
              <w:autoSpaceDE/>
              <w:autoSpaceDN/>
              <w:bidi w:val="0"/>
              <w:spacing w:beforeAutospacing="0" w:afterAutospacing="0" w:line="360" w:lineRule="auto"/>
              <w:rPr>
                <w:color w:val="auto"/>
                <w:sz w:val="21"/>
                <w:szCs w:val="21"/>
                <w:highlight w:val="none"/>
              </w:rPr>
            </w:pPr>
            <w:r>
              <w:rPr>
                <w:rFonts w:hint="eastAsia" w:ascii="Calibri" w:hAnsi="Calibri" w:eastAsia="宋体" w:cs="宋体"/>
                <w:color w:val="auto"/>
                <w:sz w:val="21"/>
                <w:szCs w:val="21"/>
                <w:highlight w:val="none"/>
                <w:lang w:bidi="ar"/>
              </w:rPr>
              <w:t>满足/负偏离</w:t>
            </w:r>
          </w:p>
        </w:tc>
      </w:tr>
      <w:tr w14:paraId="7001259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772" w:type="dxa"/>
            <w:tcBorders>
              <w:top w:val="single" w:color="auto" w:sz="2" w:space="0"/>
              <w:left w:val="single" w:color="auto" w:sz="2" w:space="0"/>
              <w:bottom w:val="single" w:color="auto" w:sz="2" w:space="0"/>
              <w:right w:val="single" w:color="auto" w:sz="2" w:space="0"/>
            </w:tcBorders>
          </w:tcPr>
          <w:p w14:paraId="5088955E">
            <w:pPr>
              <w:pStyle w:val="26"/>
              <w:pageBreakBefore w:val="0"/>
              <w:kinsoku/>
              <w:wordWrap/>
              <w:overflowPunct/>
              <w:autoSpaceDE/>
              <w:autoSpaceDN/>
              <w:bidi w:val="0"/>
              <w:spacing w:beforeAutospacing="0" w:afterAutospacing="0" w:line="360" w:lineRule="auto"/>
              <w:rPr>
                <w:color w:val="auto"/>
                <w:sz w:val="21"/>
                <w:szCs w:val="21"/>
                <w:highlight w:val="none"/>
              </w:rPr>
            </w:pPr>
            <w:r>
              <w:rPr>
                <w:rFonts w:hint="eastAsia"/>
                <w:color w:val="auto"/>
                <w:sz w:val="21"/>
                <w:szCs w:val="21"/>
                <w:highlight w:val="none"/>
              </w:rPr>
              <w:t>9</w:t>
            </w:r>
          </w:p>
        </w:tc>
        <w:tc>
          <w:tcPr>
            <w:tcW w:w="2186" w:type="dxa"/>
            <w:tcBorders>
              <w:top w:val="single" w:color="auto" w:sz="2" w:space="0"/>
              <w:left w:val="single" w:color="auto" w:sz="2" w:space="0"/>
              <w:bottom w:val="single" w:color="auto" w:sz="2" w:space="0"/>
              <w:right w:val="single" w:color="auto" w:sz="2" w:space="0"/>
            </w:tcBorders>
          </w:tcPr>
          <w:p w14:paraId="3645B561">
            <w:pPr>
              <w:pStyle w:val="26"/>
              <w:pageBreakBefore w:val="0"/>
              <w:kinsoku/>
              <w:wordWrap/>
              <w:overflowPunct/>
              <w:autoSpaceDE/>
              <w:autoSpaceDN/>
              <w:bidi w:val="0"/>
              <w:spacing w:beforeAutospacing="0" w:afterAutospacing="0" w:line="360" w:lineRule="auto"/>
              <w:rPr>
                <w:rFonts w:cs="宋体"/>
                <w:color w:val="auto"/>
                <w:sz w:val="21"/>
                <w:szCs w:val="21"/>
                <w:highlight w:val="none"/>
              </w:rPr>
            </w:pPr>
            <w:r>
              <w:rPr>
                <w:rFonts w:hint="eastAsia" w:cs="宋体"/>
                <w:color w:val="auto"/>
                <w:sz w:val="21"/>
                <w:szCs w:val="21"/>
                <w:highlight w:val="none"/>
              </w:rPr>
              <w:t>满足对功能需求的理解：见3.5.2</w:t>
            </w:r>
          </w:p>
        </w:tc>
        <w:tc>
          <w:tcPr>
            <w:tcW w:w="2834" w:type="dxa"/>
            <w:tcBorders>
              <w:top w:val="single" w:color="auto" w:sz="2" w:space="0"/>
              <w:left w:val="single" w:color="auto" w:sz="2" w:space="0"/>
              <w:bottom w:val="single" w:color="auto" w:sz="2" w:space="0"/>
              <w:right w:val="single" w:color="auto" w:sz="2" w:space="0"/>
            </w:tcBorders>
          </w:tcPr>
          <w:p w14:paraId="1CF10AE2">
            <w:pPr>
              <w:pageBreakBefore w:val="0"/>
              <w:kinsoku/>
              <w:wordWrap/>
              <w:overflowPunct/>
              <w:autoSpaceDE/>
              <w:autoSpaceDN/>
              <w:bidi w:val="0"/>
              <w:spacing w:beforeAutospacing="0" w:afterAutospacing="0" w:line="360" w:lineRule="auto"/>
              <w:rPr>
                <w:color w:val="auto"/>
                <w:sz w:val="21"/>
                <w:szCs w:val="21"/>
                <w:highlight w:val="none"/>
              </w:rPr>
            </w:pPr>
          </w:p>
        </w:tc>
        <w:tc>
          <w:tcPr>
            <w:tcW w:w="1488" w:type="dxa"/>
            <w:tcBorders>
              <w:top w:val="single" w:color="auto" w:sz="2" w:space="0"/>
              <w:left w:val="single" w:color="auto" w:sz="2" w:space="0"/>
              <w:bottom w:val="single" w:color="auto" w:sz="2" w:space="0"/>
              <w:right w:val="single" w:color="auto" w:sz="2" w:space="0"/>
            </w:tcBorders>
          </w:tcPr>
          <w:p w14:paraId="68544A4F">
            <w:pPr>
              <w:pageBreakBefore w:val="0"/>
              <w:kinsoku/>
              <w:wordWrap/>
              <w:overflowPunct/>
              <w:autoSpaceDE/>
              <w:autoSpaceDN/>
              <w:bidi w:val="0"/>
              <w:spacing w:beforeAutospacing="0" w:afterAutospacing="0" w:line="360" w:lineRule="auto"/>
              <w:rPr>
                <w:color w:val="auto"/>
                <w:sz w:val="21"/>
                <w:szCs w:val="21"/>
                <w:highlight w:val="none"/>
              </w:rPr>
            </w:pPr>
          </w:p>
        </w:tc>
        <w:tc>
          <w:tcPr>
            <w:tcW w:w="1239" w:type="dxa"/>
            <w:tcBorders>
              <w:top w:val="single" w:color="auto" w:sz="2" w:space="0"/>
              <w:left w:val="single" w:color="auto" w:sz="2" w:space="0"/>
              <w:bottom w:val="single" w:color="auto" w:sz="2" w:space="0"/>
              <w:right w:val="single" w:color="auto" w:sz="2" w:space="0"/>
            </w:tcBorders>
          </w:tcPr>
          <w:p w14:paraId="7190B13F">
            <w:pPr>
              <w:pageBreakBefore w:val="0"/>
              <w:kinsoku/>
              <w:wordWrap/>
              <w:overflowPunct/>
              <w:autoSpaceDE/>
              <w:autoSpaceDN/>
              <w:bidi w:val="0"/>
              <w:spacing w:beforeAutospacing="0" w:afterAutospacing="0" w:line="360" w:lineRule="auto"/>
              <w:rPr>
                <w:color w:val="auto"/>
                <w:sz w:val="21"/>
                <w:szCs w:val="21"/>
                <w:highlight w:val="none"/>
              </w:rPr>
            </w:pPr>
            <w:r>
              <w:rPr>
                <w:rFonts w:hint="eastAsia" w:ascii="Calibri" w:hAnsi="Calibri" w:eastAsia="宋体" w:cs="宋体"/>
                <w:color w:val="auto"/>
                <w:sz w:val="21"/>
                <w:szCs w:val="21"/>
                <w:highlight w:val="none"/>
                <w:lang w:bidi="ar"/>
              </w:rPr>
              <w:t>满足/负偏离</w:t>
            </w:r>
          </w:p>
        </w:tc>
      </w:tr>
      <w:tr w14:paraId="3206E8CC">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772" w:type="dxa"/>
            <w:tcBorders>
              <w:top w:val="single" w:color="auto" w:sz="2" w:space="0"/>
              <w:left w:val="single" w:color="auto" w:sz="2" w:space="0"/>
              <w:bottom w:val="single" w:color="auto" w:sz="2" w:space="0"/>
              <w:right w:val="single" w:color="auto" w:sz="2" w:space="0"/>
            </w:tcBorders>
          </w:tcPr>
          <w:p w14:paraId="38BDFFE1">
            <w:pPr>
              <w:pStyle w:val="26"/>
              <w:pageBreakBefore w:val="0"/>
              <w:kinsoku/>
              <w:wordWrap/>
              <w:overflowPunct/>
              <w:autoSpaceDE/>
              <w:autoSpaceDN/>
              <w:bidi w:val="0"/>
              <w:spacing w:beforeAutospacing="0" w:afterAutospacing="0" w:line="360" w:lineRule="auto"/>
              <w:rPr>
                <w:color w:val="auto"/>
                <w:sz w:val="21"/>
                <w:szCs w:val="21"/>
                <w:highlight w:val="none"/>
              </w:rPr>
            </w:pPr>
            <w:r>
              <w:rPr>
                <w:rFonts w:hint="eastAsia"/>
                <w:color w:val="auto"/>
                <w:sz w:val="21"/>
                <w:szCs w:val="21"/>
                <w:highlight w:val="none"/>
              </w:rPr>
              <w:t>10</w:t>
            </w:r>
          </w:p>
        </w:tc>
        <w:tc>
          <w:tcPr>
            <w:tcW w:w="2186" w:type="dxa"/>
            <w:tcBorders>
              <w:top w:val="single" w:color="auto" w:sz="2" w:space="0"/>
              <w:left w:val="single" w:color="auto" w:sz="2" w:space="0"/>
              <w:bottom w:val="single" w:color="auto" w:sz="2" w:space="0"/>
              <w:right w:val="single" w:color="auto" w:sz="2" w:space="0"/>
            </w:tcBorders>
          </w:tcPr>
          <w:p w14:paraId="1A0D0BBF">
            <w:pPr>
              <w:pStyle w:val="26"/>
              <w:pageBreakBefore w:val="0"/>
              <w:kinsoku/>
              <w:wordWrap/>
              <w:overflowPunct/>
              <w:autoSpaceDE/>
              <w:autoSpaceDN/>
              <w:bidi w:val="0"/>
              <w:spacing w:beforeAutospacing="0" w:afterAutospacing="0" w:line="360" w:lineRule="auto"/>
              <w:rPr>
                <w:rFonts w:cs="宋体"/>
                <w:color w:val="auto"/>
                <w:sz w:val="21"/>
                <w:szCs w:val="21"/>
                <w:highlight w:val="none"/>
              </w:rPr>
            </w:pPr>
            <w:r>
              <w:rPr>
                <w:rFonts w:hint="eastAsia" w:cs="宋体"/>
                <w:color w:val="auto"/>
                <w:sz w:val="21"/>
                <w:szCs w:val="21"/>
                <w:highlight w:val="none"/>
              </w:rPr>
              <w:t>满足对应用功能的理解：见3.5.3</w:t>
            </w:r>
          </w:p>
        </w:tc>
        <w:tc>
          <w:tcPr>
            <w:tcW w:w="2834" w:type="dxa"/>
            <w:tcBorders>
              <w:top w:val="single" w:color="auto" w:sz="2" w:space="0"/>
              <w:left w:val="single" w:color="auto" w:sz="2" w:space="0"/>
              <w:bottom w:val="single" w:color="auto" w:sz="2" w:space="0"/>
              <w:right w:val="single" w:color="auto" w:sz="2" w:space="0"/>
            </w:tcBorders>
          </w:tcPr>
          <w:p w14:paraId="148DA6DC">
            <w:pPr>
              <w:pageBreakBefore w:val="0"/>
              <w:kinsoku/>
              <w:wordWrap/>
              <w:overflowPunct/>
              <w:autoSpaceDE/>
              <w:autoSpaceDN/>
              <w:bidi w:val="0"/>
              <w:spacing w:beforeAutospacing="0" w:afterAutospacing="0" w:line="360" w:lineRule="auto"/>
              <w:rPr>
                <w:color w:val="auto"/>
                <w:sz w:val="21"/>
                <w:szCs w:val="21"/>
                <w:highlight w:val="none"/>
              </w:rPr>
            </w:pPr>
          </w:p>
        </w:tc>
        <w:tc>
          <w:tcPr>
            <w:tcW w:w="1488" w:type="dxa"/>
            <w:tcBorders>
              <w:top w:val="single" w:color="auto" w:sz="2" w:space="0"/>
              <w:left w:val="single" w:color="auto" w:sz="2" w:space="0"/>
              <w:bottom w:val="single" w:color="auto" w:sz="2" w:space="0"/>
              <w:right w:val="single" w:color="auto" w:sz="2" w:space="0"/>
            </w:tcBorders>
          </w:tcPr>
          <w:p w14:paraId="0513C0F3">
            <w:pPr>
              <w:pageBreakBefore w:val="0"/>
              <w:kinsoku/>
              <w:wordWrap/>
              <w:overflowPunct/>
              <w:autoSpaceDE/>
              <w:autoSpaceDN/>
              <w:bidi w:val="0"/>
              <w:spacing w:beforeAutospacing="0" w:afterAutospacing="0" w:line="360" w:lineRule="auto"/>
              <w:rPr>
                <w:color w:val="auto"/>
                <w:sz w:val="21"/>
                <w:szCs w:val="21"/>
                <w:highlight w:val="none"/>
              </w:rPr>
            </w:pPr>
          </w:p>
        </w:tc>
        <w:tc>
          <w:tcPr>
            <w:tcW w:w="1239" w:type="dxa"/>
            <w:tcBorders>
              <w:top w:val="single" w:color="auto" w:sz="2" w:space="0"/>
              <w:left w:val="single" w:color="auto" w:sz="2" w:space="0"/>
              <w:bottom w:val="single" w:color="auto" w:sz="2" w:space="0"/>
              <w:right w:val="single" w:color="auto" w:sz="2" w:space="0"/>
            </w:tcBorders>
          </w:tcPr>
          <w:p w14:paraId="658A3493">
            <w:pPr>
              <w:pageBreakBefore w:val="0"/>
              <w:kinsoku/>
              <w:wordWrap/>
              <w:overflowPunct/>
              <w:autoSpaceDE/>
              <w:autoSpaceDN/>
              <w:bidi w:val="0"/>
              <w:spacing w:beforeAutospacing="0" w:afterAutospacing="0" w:line="360" w:lineRule="auto"/>
              <w:rPr>
                <w:color w:val="auto"/>
                <w:sz w:val="21"/>
                <w:szCs w:val="21"/>
                <w:highlight w:val="none"/>
              </w:rPr>
            </w:pPr>
            <w:r>
              <w:rPr>
                <w:rFonts w:hint="eastAsia" w:ascii="Calibri" w:hAnsi="Calibri" w:eastAsia="宋体" w:cs="宋体"/>
                <w:color w:val="auto"/>
                <w:sz w:val="21"/>
                <w:szCs w:val="21"/>
                <w:highlight w:val="none"/>
                <w:lang w:bidi="ar"/>
              </w:rPr>
              <w:t>满足/负偏离</w:t>
            </w:r>
          </w:p>
        </w:tc>
      </w:tr>
      <w:tr w14:paraId="20811A4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772" w:type="dxa"/>
            <w:tcBorders>
              <w:top w:val="single" w:color="auto" w:sz="2" w:space="0"/>
              <w:left w:val="single" w:color="auto" w:sz="2" w:space="0"/>
              <w:bottom w:val="single" w:color="auto" w:sz="2" w:space="0"/>
              <w:right w:val="single" w:color="auto" w:sz="2" w:space="0"/>
            </w:tcBorders>
          </w:tcPr>
          <w:p w14:paraId="3B230085">
            <w:pPr>
              <w:pStyle w:val="26"/>
              <w:pageBreakBefore w:val="0"/>
              <w:kinsoku/>
              <w:wordWrap/>
              <w:overflowPunct/>
              <w:autoSpaceDE/>
              <w:autoSpaceDN/>
              <w:bidi w:val="0"/>
              <w:spacing w:beforeAutospacing="0" w:afterAutospacing="0" w:line="360" w:lineRule="auto"/>
              <w:rPr>
                <w:color w:val="auto"/>
                <w:sz w:val="21"/>
                <w:szCs w:val="21"/>
                <w:highlight w:val="none"/>
              </w:rPr>
            </w:pPr>
            <w:r>
              <w:rPr>
                <w:rFonts w:hint="eastAsia"/>
                <w:color w:val="auto"/>
                <w:sz w:val="21"/>
                <w:szCs w:val="21"/>
                <w:highlight w:val="none"/>
              </w:rPr>
              <w:t>11</w:t>
            </w:r>
          </w:p>
        </w:tc>
        <w:tc>
          <w:tcPr>
            <w:tcW w:w="2186" w:type="dxa"/>
            <w:tcBorders>
              <w:top w:val="single" w:color="auto" w:sz="2" w:space="0"/>
              <w:left w:val="single" w:color="auto" w:sz="2" w:space="0"/>
              <w:bottom w:val="single" w:color="auto" w:sz="2" w:space="0"/>
              <w:right w:val="single" w:color="auto" w:sz="2" w:space="0"/>
            </w:tcBorders>
          </w:tcPr>
          <w:p w14:paraId="729B70CD">
            <w:pPr>
              <w:pStyle w:val="26"/>
              <w:pageBreakBefore w:val="0"/>
              <w:kinsoku/>
              <w:wordWrap/>
              <w:overflowPunct/>
              <w:autoSpaceDE/>
              <w:autoSpaceDN/>
              <w:bidi w:val="0"/>
              <w:spacing w:beforeAutospacing="0" w:afterAutospacing="0" w:line="360" w:lineRule="auto"/>
              <w:rPr>
                <w:rFonts w:cs="宋体"/>
                <w:color w:val="auto"/>
                <w:sz w:val="21"/>
                <w:szCs w:val="21"/>
                <w:highlight w:val="none"/>
              </w:rPr>
            </w:pPr>
            <w:r>
              <w:rPr>
                <w:rFonts w:hint="eastAsia" w:cs="宋体"/>
                <w:color w:val="auto"/>
                <w:sz w:val="21"/>
                <w:szCs w:val="21"/>
                <w:highlight w:val="none"/>
              </w:rPr>
              <w:t>满足对技术架构要求的理解：见3.6.1</w:t>
            </w:r>
          </w:p>
        </w:tc>
        <w:tc>
          <w:tcPr>
            <w:tcW w:w="2834" w:type="dxa"/>
            <w:tcBorders>
              <w:top w:val="single" w:color="auto" w:sz="2" w:space="0"/>
              <w:left w:val="single" w:color="auto" w:sz="2" w:space="0"/>
              <w:bottom w:val="single" w:color="auto" w:sz="2" w:space="0"/>
              <w:right w:val="single" w:color="auto" w:sz="2" w:space="0"/>
            </w:tcBorders>
          </w:tcPr>
          <w:p w14:paraId="6E665162">
            <w:pPr>
              <w:pageBreakBefore w:val="0"/>
              <w:kinsoku/>
              <w:wordWrap/>
              <w:overflowPunct/>
              <w:autoSpaceDE/>
              <w:autoSpaceDN/>
              <w:bidi w:val="0"/>
              <w:spacing w:beforeAutospacing="0" w:afterAutospacing="0" w:line="360" w:lineRule="auto"/>
              <w:rPr>
                <w:color w:val="auto"/>
                <w:sz w:val="21"/>
                <w:szCs w:val="21"/>
                <w:highlight w:val="none"/>
              </w:rPr>
            </w:pPr>
          </w:p>
        </w:tc>
        <w:tc>
          <w:tcPr>
            <w:tcW w:w="1488" w:type="dxa"/>
            <w:tcBorders>
              <w:top w:val="single" w:color="auto" w:sz="2" w:space="0"/>
              <w:left w:val="single" w:color="auto" w:sz="2" w:space="0"/>
              <w:bottom w:val="single" w:color="auto" w:sz="2" w:space="0"/>
              <w:right w:val="single" w:color="auto" w:sz="2" w:space="0"/>
            </w:tcBorders>
          </w:tcPr>
          <w:p w14:paraId="730E0A93">
            <w:pPr>
              <w:pageBreakBefore w:val="0"/>
              <w:kinsoku/>
              <w:wordWrap/>
              <w:overflowPunct/>
              <w:autoSpaceDE/>
              <w:autoSpaceDN/>
              <w:bidi w:val="0"/>
              <w:spacing w:beforeAutospacing="0" w:afterAutospacing="0" w:line="360" w:lineRule="auto"/>
              <w:rPr>
                <w:color w:val="auto"/>
                <w:sz w:val="21"/>
                <w:szCs w:val="21"/>
                <w:highlight w:val="none"/>
              </w:rPr>
            </w:pPr>
          </w:p>
        </w:tc>
        <w:tc>
          <w:tcPr>
            <w:tcW w:w="1239" w:type="dxa"/>
            <w:tcBorders>
              <w:top w:val="single" w:color="auto" w:sz="2" w:space="0"/>
              <w:left w:val="single" w:color="auto" w:sz="2" w:space="0"/>
              <w:bottom w:val="single" w:color="auto" w:sz="2" w:space="0"/>
              <w:right w:val="single" w:color="auto" w:sz="2" w:space="0"/>
            </w:tcBorders>
          </w:tcPr>
          <w:p w14:paraId="1A6A1640">
            <w:pPr>
              <w:pageBreakBefore w:val="0"/>
              <w:kinsoku/>
              <w:wordWrap/>
              <w:overflowPunct/>
              <w:autoSpaceDE/>
              <w:autoSpaceDN/>
              <w:bidi w:val="0"/>
              <w:spacing w:beforeAutospacing="0" w:afterAutospacing="0" w:line="360" w:lineRule="auto"/>
              <w:rPr>
                <w:color w:val="auto"/>
                <w:sz w:val="21"/>
                <w:szCs w:val="21"/>
                <w:highlight w:val="none"/>
              </w:rPr>
            </w:pPr>
            <w:r>
              <w:rPr>
                <w:rFonts w:hint="eastAsia" w:ascii="Calibri" w:hAnsi="Calibri" w:eastAsia="宋体" w:cs="宋体"/>
                <w:color w:val="auto"/>
                <w:sz w:val="21"/>
                <w:szCs w:val="21"/>
                <w:highlight w:val="none"/>
                <w:lang w:bidi="ar"/>
              </w:rPr>
              <w:t>满足/负偏离</w:t>
            </w:r>
          </w:p>
        </w:tc>
      </w:tr>
      <w:tr w14:paraId="65FFB8A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772" w:type="dxa"/>
            <w:tcBorders>
              <w:top w:val="single" w:color="auto" w:sz="2" w:space="0"/>
              <w:left w:val="single" w:color="auto" w:sz="2" w:space="0"/>
              <w:bottom w:val="single" w:color="auto" w:sz="2" w:space="0"/>
              <w:right w:val="single" w:color="auto" w:sz="2" w:space="0"/>
            </w:tcBorders>
          </w:tcPr>
          <w:p w14:paraId="4F30B1A3">
            <w:pPr>
              <w:pStyle w:val="26"/>
              <w:pageBreakBefore w:val="0"/>
              <w:kinsoku/>
              <w:wordWrap/>
              <w:overflowPunct/>
              <w:autoSpaceDE/>
              <w:autoSpaceDN/>
              <w:bidi w:val="0"/>
              <w:spacing w:beforeAutospacing="0" w:afterAutospacing="0" w:line="360" w:lineRule="auto"/>
              <w:rPr>
                <w:rFonts w:hint="default" w:eastAsia="宋体"/>
                <w:color w:val="auto"/>
                <w:sz w:val="21"/>
                <w:szCs w:val="21"/>
                <w:highlight w:val="none"/>
                <w:lang w:val="en-US" w:eastAsia="zh-CN"/>
              </w:rPr>
            </w:pPr>
            <w:r>
              <w:rPr>
                <w:rFonts w:hint="eastAsia"/>
                <w:color w:val="auto"/>
                <w:sz w:val="21"/>
                <w:szCs w:val="21"/>
                <w:highlight w:val="none"/>
                <w:lang w:val="en-US" w:eastAsia="zh-CN"/>
              </w:rPr>
              <w:t>12</w:t>
            </w:r>
          </w:p>
        </w:tc>
        <w:tc>
          <w:tcPr>
            <w:tcW w:w="2186" w:type="dxa"/>
            <w:tcBorders>
              <w:top w:val="single" w:color="auto" w:sz="2" w:space="0"/>
              <w:left w:val="single" w:color="auto" w:sz="2" w:space="0"/>
              <w:bottom w:val="single" w:color="auto" w:sz="2" w:space="0"/>
              <w:right w:val="single" w:color="auto" w:sz="2" w:space="0"/>
            </w:tcBorders>
          </w:tcPr>
          <w:p w14:paraId="00F79DF3">
            <w:pPr>
              <w:pStyle w:val="20"/>
              <w:pageBreakBefore w:val="0"/>
              <w:numPr>
                <w:ilvl w:val="0"/>
                <w:numId w:val="0"/>
              </w:numPr>
              <w:kinsoku/>
              <w:wordWrap/>
              <w:overflowPunct/>
              <w:autoSpaceDE/>
              <w:autoSpaceDN/>
              <w:bidi w:val="0"/>
              <w:spacing w:beforeAutospacing="0" w:afterAutospacing="0" w:line="360" w:lineRule="auto"/>
              <w:rPr>
                <w:rFonts w:hint="eastAsia" w:ascii="Calibri" w:hAnsi="Calibri" w:eastAsia="宋体" w:cs="宋体"/>
                <w:color w:val="auto"/>
                <w:spacing w:val="0"/>
                <w:kern w:val="0"/>
                <w:sz w:val="21"/>
                <w:szCs w:val="21"/>
                <w:highlight w:val="none"/>
                <w:lang w:val="en-US" w:eastAsia="zh-CN" w:bidi="ar-SA"/>
              </w:rPr>
            </w:pPr>
            <w:r>
              <w:rPr>
                <w:rFonts w:hint="eastAsia" w:ascii="Calibri" w:hAnsi="Calibri" w:eastAsia="宋体" w:cs="宋体"/>
                <w:color w:val="auto"/>
                <w:spacing w:val="0"/>
                <w:kern w:val="0"/>
                <w:sz w:val="21"/>
                <w:szCs w:val="21"/>
                <w:highlight w:val="none"/>
                <w:lang w:val="en-US" w:eastAsia="zh-CN" w:bidi="ar-SA"/>
              </w:rPr>
              <w:t>具有清晰的项目知识转移与培训计划，能够提供详细的技术文档交付标准和运维体系建设经验。</w:t>
            </w:r>
          </w:p>
          <w:p w14:paraId="726529D1">
            <w:pPr>
              <w:pStyle w:val="26"/>
              <w:pageBreakBefore w:val="0"/>
              <w:kinsoku/>
              <w:wordWrap/>
              <w:overflowPunct/>
              <w:autoSpaceDE/>
              <w:autoSpaceDN/>
              <w:bidi w:val="0"/>
              <w:spacing w:beforeAutospacing="0" w:afterAutospacing="0" w:line="360" w:lineRule="auto"/>
              <w:rPr>
                <w:rFonts w:hint="eastAsia" w:cs="宋体"/>
                <w:color w:val="auto"/>
                <w:sz w:val="21"/>
                <w:szCs w:val="21"/>
                <w:highlight w:val="none"/>
              </w:rPr>
            </w:pPr>
          </w:p>
        </w:tc>
        <w:tc>
          <w:tcPr>
            <w:tcW w:w="2834" w:type="dxa"/>
            <w:tcBorders>
              <w:top w:val="single" w:color="auto" w:sz="2" w:space="0"/>
              <w:left w:val="single" w:color="auto" w:sz="2" w:space="0"/>
              <w:bottom w:val="single" w:color="auto" w:sz="2" w:space="0"/>
              <w:right w:val="single" w:color="auto" w:sz="2" w:space="0"/>
            </w:tcBorders>
          </w:tcPr>
          <w:p w14:paraId="0FBF876A">
            <w:pPr>
              <w:pageBreakBefore w:val="0"/>
              <w:kinsoku/>
              <w:wordWrap/>
              <w:overflowPunct/>
              <w:autoSpaceDE/>
              <w:autoSpaceDN/>
              <w:bidi w:val="0"/>
              <w:spacing w:beforeAutospacing="0" w:afterAutospacing="0" w:line="360" w:lineRule="auto"/>
              <w:rPr>
                <w:color w:val="auto"/>
                <w:sz w:val="21"/>
                <w:szCs w:val="21"/>
                <w:highlight w:val="none"/>
              </w:rPr>
            </w:pPr>
          </w:p>
        </w:tc>
        <w:tc>
          <w:tcPr>
            <w:tcW w:w="1488" w:type="dxa"/>
            <w:tcBorders>
              <w:top w:val="single" w:color="auto" w:sz="2" w:space="0"/>
              <w:left w:val="single" w:color="auto" w:sz="2" w:space="0"/>
              <w:bottom w:val="single" w:color="auto" w:sz="2" w:space="0"/>
              <w:right w:val="single" w:color="auto" w:sz="2" w:space="0"/>
            </w:tcBorders>
          </w:tcPr>
          <w:p w14:paraId="3E998F88">
            <w:pPr>
              <w:pageBreakBefore w:val="0"/>
              <w:kinsoku/>
              <w:wordWrap/>
              <w:overflowPunct/>
              <w:autoSpaceDE/>
              <w:autoSpaceDN/>
              <w:bidi w:val="0"/>
              <w:spacing w:beforeAutospacing="0" w:afterAutospacing="0" w:line="360" w:lineRule="auto"/>
              <w:rPr>
                <w:color w:val="auto"/>
                <w:sz w:val="21"/>
                <w:szCs w:val="21"/>
                <w:highlight w:val="none"/>
              </w:rPr>
            </w:pPr>
          </w:p>
        </w:tc>
        <w:tc>
          <w:tcPr>
            <w:tcW w:w="1239" w:type="dxa"/>
            <w:tcBorders>
              <w:top w:val="single" w:color="auto" w:sz="2" w:space="0"/>
              <w:left w:val="single" w:color="auto" w:sz="2" w:space="0"/>
              <w:bottom w:val="single" w:color="auto" w:sz="2" w:space="0"/>
              <w:right w:val="single" w:color="auto" w:sz="2" w:space="0"/>
            </w:tcBorders>
          </w:tcPr>
          <w:p w14:paraId="6ECC0A23">
            <w:pPr>
              <w:pageBreakBefore w:val="0"/>
              <w:kinsoku/>
              <w:wordWrap/>
              <w:overflowPunct/>
              <w:autoSpaceDE/>
              <w:autoSpaceDN/>
              <w:bidi w:val="0"/>
              <w:spacing w:beforeAutospacing="0" w:afterAutospacing="0" w:line="360" w:lineRule="auto"/>
              <w:rPr>
                <w:rFonts w:hint="eastAsia" w:ascii="Calibri" w:hAnsi="Calibri" w:eastAsia="宋体" w:cs="宋体"/>
                <w:color w:val="auto"/>
                <w:sz w:val="21"/>
                <w:szCs w:val="21"/>
                <w:highlight w:val="none"/>
                <w:lang w:bidi="ar"/>
              </w:rPr>
            </w:pPr>
            <w:r>
              <w:rPr>
                <w:rFonts w:hint="eastAsia" w:ascii="Calibri" w:hAnsi="Calibri" w:eastAsia="宋体" w:cs="宋体"/>
                <w:color w:val="auto"/>
                <w:sz w:val="21"/>
                <w:szCs w:val="21"/>
                <w:highlight w:val="none"/>
                <w:lang w:bidi="ar"/>
              </w:rPr>
              <w:t>满足/负偏离</w:t>
            </w:r>
          </w:p>
        </w:tc>
      </w:tr>
    </w:tbl>
    <w:p w14:paraId="76AD899D">
      <w:pPr>
        <w:pStyle w:val="20"/>
        <w:pageBreakBefore w:val="0"/>
        <w:kinsoku/>
        <w:wordWrap/>
        <w:overflowPunct/>
        <w:autoSpaceDE/>
        <w:autoSpaceDN/>
        <w:bidi w:val="0"/>
        <w:spacing w:beforeAutospacing="0" w:afterAutospacing="0" w:line="360" w:lineRule="auto"/>
        <w:ind w:firstLine="418" w:firstLineChars="166"/>
        <w:rPr>
          <w:rFonts w:hint="eastAsia"/>
          <w:color w:val="auto"/>
          <w:sz w:val="24"/>
          <w:szCs w:val="24"/>
          <w:highlight w:val="none"/>
        </w:rPr>
      </w:pPr>
    </w:p>
    <w:p w14:paraId="62B76429">
      <w:pPr>
        <w:pStyle w:val="4"/>
        <w:pageBreakBefore w:val="0"/>
        <w:kinsoku/>
        <w:wordWrap/>
        <w:overflowPunct/>
        <w:autoSpaceDE/>
        <w:autoSpaceDN/>
        <w:bidi w:val="0"/>
        <w:spacing w:beforeAutospacing="0" w:afterAutospacing="0" w:line="360" w:lineRule="auto"/>
        <w:outlineLvl w:val="0"/>
        <w:rPr>
          <w:rFonts w:hint="eastAsia" w:asciiTheme="minorEastAsia" w:hAnsiTheme="minorEastAsia" w:eastAsiaTheme="minorEastAsia" w:cstheme="minorEastAsia"/>
          <w:b/>
          <w:bCs/>
          <w:color w:val="auto"/>
          <w:highlight w:val="none"/>
        </w:rPr>
      </w:pPr>
      <w:bookmarkStart w:id="143" w:name="_Toc20868"/>
      <w:r>
        <w:rPr>
          <w:rFonts w:hint="eastAsia" w:asciiTheme="minorEastAsia" w:hAnsiTheme="minorEastAsia" w:eastAsiaTheme="minorEastAsia" w:cstheme="minorEastAsia"/>
          <w:b/>
          <w:bCs/>
          <w:color w:val="auto"/>
          <w:highlight w:val="none"/>
        </w:rPr>
        <w:t>服务团队优异性表</w:t>
      </w:r>
      <w:bookmarkEnd w:id="143"/>
    </w:p>
    <w:tbl>
      <w:tblPr>
        <w:tblStyle w:val="16"/>
        <w:tblW w:w="5373" w:type="pct"/>
        <w:jc w:val="center"/>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665"/>
        <w:gridCol w:w="2214"/>
        <w:gridCol w:w="2578"/>
        <w:gridCol w:w="1657"/>
        <w:gridCol w:w="1114"/>
        <w:gridCol w:w="930"/>
      </w:tblGrid>
      <w:tr w14:paraId="10311E9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363" w:type="pct"/>
            <w:tcBorders>
              <w:top w:val="single" w:color="auto" w:sz="2" w:space="0"/>
              <w:left w:val="single" w:color="auto" w:sz="2" w:space="0"/>
              <w:bottom w:val="single" w:color="auto" w:sz="2" w:space="0"/>
              <w:right w:val="single" w:color="auto" w:sz="2" w:space="0"/>
            </w:tcBorders>
          </w:tcPr>
          <w:p w14:paraId="338B7C08">
            <w:pPr>
              <w:pStyle w:val="14"/>
              <w:pageBreakBefore w:val="0"/>
              <w:widowControl/>
              <w:kinsoku/>
              <w:wordWrap/>
              <w:overflowPunct/>
              <w:autoSpaceDE/>
              <w:autoSpaceDN/>
              <w:bidi w:val="0"/>
              <w:spacing w:beforeAutospacing="0" w:afterAutospacing="0" w:line="360" w:lineRule="auto"/>
              <w:jc w:val="left"/>
              <w:rPr>
                <w:color w:val="auto"/>
                <w:sz w:val="21"/>
                <w:szCs w:val="21"/>
                <w:highlight w:val="none"/>
              </w:rPr>
            </w:pPr>
            <w:r>
              <w:rPr>
                <w:rFonts w:hint="eastAsia" w:ascii="Calibri" w:hAnsi="Calibri" w:eastAsia="宋体" w:cs="宋体"/>
                <w:color w:val="auto"/>
                <w:kern w:val="0"/>
                <w:sz w:val="21"/>
                <w:szCs w:val="21"/>
                <w:highlight w:val="none"/>
                <w:lang w:bidi="ar"/>
              </w:rPr>
              <w:t>序号</w:t>
            </w:r>
          </w:p>
        </w:tc>
        <w:tc>
          <w:tcPr>
            <w:tcW w:w="1208" w:type="pct"/>
            <w:tcBorders>
              <w:top w:val="single" w:color="auto" w:sz="2" w:space="0"/>
              <w:left w:val="single" w:color="auto" w:sz="2" w:space="0"/>
              <w:bottom w:val="single" w:color="auto" w:sz="2" w:space="0"/>
              <w:right w:val="single" w:color="auto" w:sz="2" w:space="0"/>
            </w:tcBorders>
          </w:tcPr>
          <w:p w14:paraId="0C4F560F">
            <w:pPr>
              <w:pStyle w:val="14"/>
              <w:pageBreakBefore w:val="0"/>
              <w:widowControl/>
              <w:kinsoku/>
              <w:wordWrap/>
              <w:overflowPunct/>
              <w:autoSpaceDE/>
              <w:autoSpaceDN/>
              <w:bidi w:val="0"/>
              <w:spacing w:beforeAutospacing="0" w:afterAutospacing="0" w:line="360" w:lineRule="auto"/>
              <w:jc w:val="left"/>
              <w:rPr>
                <w:color w:val="auto"/>
                <w:sz w:val="21"/>
                <w:szCs w:val="21"/>
                <w:highlight w:val="none"/>
              </w:rPr>
            </w:pPr>
            <w:r>
              <w:rPr>
                <w:rFonts w:hint="eastAsia" w:ascii="Calibri" w:hAnsi="Calibri" w:eastAsia="宋体" w:cs="宋体"/>
                <w:color w:val="auto"/>
                <w:kern w:val="0"/>
                <w:sz w:val="21"/>
                <w:szCs w:val="21"/>
                <w:highlight w:val="none"/>
                <w:lang w:bidi="ar"/>
              </w:rPr>
              <w:t>技术规范书的要求</w:t>
            </w:r>
          </w:p>
        </w:tc>
        <w:tc>
          <w:tcPr>
            <w:tcW w:w="1407" w:type="pct"/>
            <w:tcBorders>
              <w:top w:val="single" w:color="auto" w:sz="2" w:space="0"/>
              <w:left w:val="single" w:color="auto" w:sz="2" w:space="0"/>
              <w:bottom w:val="single" w:color="auto" w:sz="2" w:space="0"/>
              <w:right w:val="single" w:color="auto" w:sz="2" w:space="0"/>
            </w:tcBorders>
          </w:tcPr>
          <w:p w14:paraId="17D188A4">
            <w:pPr>
              <w:pStyle w:val="14"/>
              <w:pageBreakBefore w:val="0"/>
              <w:widowControl/>
              <w:kinsoku/>
              <w:wordWrap/>
              <w:overflowPunct/>
              <w:autoSpaceDE/>
              <w:autoSpaceDN/>
              <w:bidi w:val="0"/>
              <w:spacing w:beforeAutospacing="0" w:afterAutospacing="0" w:line="360" w:lineRule="auto"/>
              <w:jc w:val="left"/>
              <w:rPr>
                <w:rFonts w:hint="eastAsia" w:ascii="Calibri" w:hAnsi="Calibri" w:eastAsia="宋体" w:cs="宋体"/>
                <w:color w:val="auto"/>
                <w:kern w:val="0"/>
                <w:sz w:val="21"/>
                <w:szCs w:val="21"/>
                <w:highlight w:val="none"/>
                <w:lang w:val="en-US" w:eastAsia="zh-CN" w:bidi="ar"/>
              </w:rPr>
            </w:pPr>
            <w:r>
              <w:rPr>
                <w:rFonts w:hint="eastAsia" w:ascii="Calibri" w:hAnsi="Calibri" w:eastAsia="宋体" w:cs="宋体"/>
                <w:color w:val="auto"/>
                <w:kern w:val="0"/>
                <w:sz w:val="21"/>
                <w:szCs w:val="21"/>
                <w:highlight w:val="none"/>
                <w:lang w:val="en-US" w:eastAsia="zh-CN" w:bidi="ar"/>
              </w:rPr>
              <w:t>优于判定条件</w:t>
            </w:r>
          </w:p>
        </w:tc>
        <w:tc>
          <w:tcPr>
            <w:tcW w:w="904" w:type="pct"/>
            <w:tcBorders>
              <w:top w:val="single" w:color="auto" w:sz="2" w:space="0"/>
              <w:left w:val="single" w:color="auto" w:sz="2" w:space="0"/>
              <w:bottom w:val="single" w:color="auto" w:sz="2" w:space="0"/>
              <w:right w:val="single" w:color="auto" w:sz="2" w:space="0"/>
            </w:tcBorders>
          </w:tcPr>
          <w:p w14:paraId="1F483D52">
            <w:pPr>
              <w:pStyle w:val="14"/>
              <w:pageBreakBefore w:val="0"/>
              <w:widowControl/>
              <w:kinsoku/>
              <w:wordWrap/>
              <w:overflowPunct/>
              <w:autoSpaceDE/>
              <w:autoSpaceDN/>
              <w:bidi w:val="0"/>
              <w:spacing w:beforeAutospacing="0" w:afterAutospacing="0" w:line="360" w:lineRule="auto"/>
              <w:jc w:val="left"/>
              <w:rPr>
                <w:color w:val="auto"/>
                <w:sz w:val="21"/>
                <w:szCs w:val="21"/>
                <w:highlight w:val="none"/>
              </w:rPr>
            </w:pPr>
            <w:r>
              <w:rPr>
                <w:rFonts w:hint="eastAsia" w:ascii="Calibri" w:hAnsi="Calibri" w:eastAsia="宋体" w:cs="宋体"/>
                <w:color w:val="auto"/>
                <w:kern w:val="0"/>
                <w:sz w:val="21"/>
                <w:szCs w:val="21"/>
                <w:highlight w:val="none"/>
                <w:lang w:bidi="ar"/>
              </w:rPr>
              <w:t>投标响应内容</w:t>
            </w:r>
          </w:p>
        </w:tc>
        <w:tc>
          <w:tcPr>
            <w:tcW w:w="608" w:type="pct"/>
            <w:tcBorders>
              <w:top w:val="single" w:color="auto" w:sz="2" w:space="0"/>
              <w:left w:val="single" w:color="auto" w:sz="2" w:space="0"/>
              <w:bottom w:val="single" w:color="auto" w:sz="2" w:space="0"/>
              <w:right w:val="single" w:color="auto" w:sz="2" w:space="0"/>
            </w:tcBorders>
          </w:tcPr>
          <w:p w14:paraId="4042997C">
            <w:pPr>
              <w:pStyle w:val="14"/>
              <w:pageBreakBefore w:val="0"/>
              <w:widowControl/>
              <w:kinsoku/>
              <w:wordWrap/>
              <w:overflowPunct/>
              <w:autoSpaceDE/>
              <w:autoSpaceDN/>
              <w:bidi w:val="0"/>
              <w:spacing w:beforeAutospacing="0" w:afterAutospacing="0" w:line="360" w:lineRule="auto"/>
              <w:jc w:val="left"/>
              <w:rPr>
                <w:color w:val="auto"/>
                <w:sz w:val="21"/>
                <w:szCs w:val="21"/>
                <w:highlight w:val="none"/>
              </w:rPr>
            </w:pPr>
            <w:r>
              <w:rPr>
                <w:rFonts w:hint="eastAsia" w:ascii="Calibri" w:hAnsi="Calibri" w:eastAsia="宋体" w:cs="宋体"/>
                <w:color w:val="auto"/>
                <w:kern w:val="0"/>
                <w:sz w:val="21"/>
                <w:szCs w:val="21"/>
                <w:highlight w:val="none"/>
                <w:lang w:bidi="ar"/>
              </w:rPr>
              <w:t>证明文件所在位置</w:t>
            </w:r>
          </w:p>
        </w:tc>
        <w:tc>
          <w:tcPr>
            <w:tcW w:w="507" w:type="pct"/>
            <w:tcBorders>
              <w:top w:val="single" w:color="auto" w:sz="2" w:space="0"/>
              <w:left w:val="single" w:color="auto" w:sz="2" w:space="0"/>
              <w:bottom w:val="single" w:color="auto" w:sz="2" w:space="0"/>
              <w:right w:val="single" w:color="auto" w:sz="2" w:space="0"/>
            </w:tcBorders>
          </w:tcPr>
          <w:p w14:paraId="165B161F">
            <w:pPr>
              <w:pStyle w:val="14"/>
              <w:pageBreakBefore w:val="0"/>
              <w:widowControl/>
              <w:kinsoku/>
              <w:wordWrap/>
              <w:overflowPunct/>
              <w:autoSpaceDE/>
              <w:autoSpaceDN/>
              <w:bidi w:val="0"/>
              <w:spacing w:beforeAutospacing="0" w:afterAutospacing="0" w:line="360" w:lineRule="auto"/>
              <w:jc w:val="left"/>
              <w:rPr>
                <w:color w:val="auto"/>
                <w:sz w:val="21"/>
                <w:szCs w:val="21"/>
                <w:highlight w:val="none"/>
              </w:rPr>
            </w:pPr>
            <w:r>
              <w:rPr>
                <w:rFonts w:hint="eastAsia" w:ascii="Calibri" w:hAnsi="Calibri" w:eastAsia="宋体" w:cs="宋体"/>
                <w:color w:val="auto"/>
                <w:kern w:val="0"/>
                <w:sz w:val="21"/>
                <w:szCs w:val="21"/>
                <w:highlight w:val="none"/>
                <w:lang w:bidi="ar"/>
              </w:rPr>
              <w:t>是否偏离</w:t>
            </w:r>
          </w:p>
        </w:tc>
      </w:tr>
      <w:tr w14:paraId="7357C111">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363" w:type="pct"/>
            <w:tcBorders>
              <w:top w:val="single" w:color="auto" w:sz="2" w:space="0"/>
              <w:left w:val="single" w:color="auto" w:sz="2" w:space="0"/>
              <w:bottom w:val="single" w:color="auto" w:sz="2" w:space="0"/>
              <w:right w:val="single" w:color="auto" w:sz="2" w:space="0"/>
            </w:tcBorders>
          </w:tcPr>
          <w:p w14:paraId="27F85828">
            <w:pPr>
              <w:pStyle w:val="14"/>
              <w:pageBreakBefore w:val="0"/>
              <w:widowControl/>
              <w:kinsoku/>
              <w:wordWrap/>
              <w:overflowPunct/>
              <w:autoSpaceDE/>
              <w:autoSpaceDN/>
              <w:bidi w:val="0"/>
              <w:spacing w:beforeAutospacing="0" w:afterAutospacing="0" w:line="360" w:lineRule="auto"/>
              <w:jc w:val="left"/>
              <w:rPr>
                <w:color w:val="auto"/>
                <w:sz w:val="21"/>
                <w:szCs w:val="21"/>
                <w:highlight w:val="none"/>
              </w:rPr>
            </w:pPr>
            <w:r>
              <w:rPr>
                <w:rFonts w:ascii="Calibri" w:hAnsi="Calibri" w:eastAsia="宋体" w:cs="Times New Roman"/>
                <w:color w:val="auto"/>
                <w:kern w:val="0"/>
                <w:sz w:val="21"/>
                <w:szCs w:val="21"/>
                <w:highlight w:val="none"/>
                <w:lang w:bidi="ar"/>
              </w:rPr>
              <w:t>1</w:t>
            </w:r>
          </w:p>
        </w:tc>
        <w:tc>
          <w:tcPr>
            <w:tcW w:w="1208" w:type="pct"/>
            <w:tcBorders>
              <w:top w:val="single" w:color="auto" w:sz="2" w:space="0"/>
              <w:left w:val="single" w:color="auto" w:sz="2" w:space="0"/>
              <w:bottom w:val="single" w:color="auto" w:sz="2" w:space="0"/>
              <w:right w:val="single" w:color="auto" w:sz="2" w:space="0"/>
            </w:tcBorders>
          </w:tcPr>
          <w:p w14:paraId="10CAF994">
            <w:pPr>
              <w:pageBreakBefore w:val="0"/>
              <w:kinsoku/>
              <w:wordWrap/>
              <w:overflowPunct/>
              <w:autoSpaceDE/>
              <w:autoSpaceDN/>
              <w:bidi w:val="0"/>
              <w:spacing w:beforeAutospacing="0" w:afterAutospacing="0" w:line="360" w:lineRule="auto"/>
              <w:rPr>
                <w:rFonts w:hint="default" w:eastAsia="宋体"/>
                <w:color w:val="auto"/>
                <w:sz w:val="21"/>
                <w:szCs w:val="21"/>
                <w:highlight w:val="none"/>
                <w:lang w:val="en-US" w:eastAsia="zh-CN"/>
              </w:rPr>
            </w:pPr>
            <w:r>
              <w:rPr>
                <w:rFonts w:hint="eastAsia" w:ascii="Calibri" w:hAnsi="Calibri" w:eastAsia="宋体" w:cs="宋体"/>
                <w:color w:val="auto"/>
                <w:sz w:val="21"/>
                <w:szCs w:val="21"/>
                <w:highlight w:val="none"/>
                <w:lang w:bidi="ar"/>
              </w:rPr>
              <w:t>团队须具备区块链平台开发及跨链对接的实际项目经验，核心成员</w:t>
            </w:r>
            <w:r>
              <w:rPr>
                <w:rFonts w:hint="eastAsia" w:ascii="Calibri" w:hAnsi="Calibri" w:eastAsia="宋体" w:cs="宋体"/>
                <w:color w:val="auto"/>
                <w:sz w:val="21"/>
                <w:szCs w:val="21"/>
                <w:highlight w:val="none"/>
                <w:lang w:val="en-US" w:eastAsia="zh-CN" w:bidi="ar"/>
              </w:rPr>
              <w:t>能够</w:t>
            </w:r>
            <w:r>
              <w:rPr>
                <w:rFonts w:hint="eastAsia" w:ascii="Calibri" w:hAnsi="Calibri" w:eastAsia="宋体" w:cs="宋体"/>
                <w:color w:val="auto"/>
                <w:sz w:val="21"/>
                <w:szCs w:val="21"/>
                <w:highlight w:val="none"/>
                <w:lang w:bidi="ar"/>
              </w:rPr>
              <w:t>提供其参与经第三方验证或已落地实施的区块链相关项目的证明材料。</w:t>
            </w:r>
          </w:p>
        </w:tc>
        <w:tc>
          <w:tcPr>
            <w:tcW w:w="1407" w:type="pct"/>
            <w:tcBorders>
              <w:top w:val="single" w:color="auto" w:sz="2" w:space="0"/>
              <w:left w:val="single" w:color="auto" w:sz="2" w:space="0"/>
              <w:bottom w:val="single" w:color="auto" w:sz="2" w:space="0"/>
              <w:right w:val="single" w:color="auto" w:sz="2" w:space="0"/>
            </w:tcBorders>
          </w:tcPr>
          <w:p w14:paraId="44616FD0">
            <w:pPr>
              <w:pageBreakBefore w:val="0"/>
              <w:kinsoku/>
              <w:wordWrap/>
              <w:overflowPunct/>
              <w:autoSpaceDE/>
              <w:autoSpaceDN/>
              <w:bidi w:val="0"/>
              <w:spacing w:beforeAutospacing="0" w:afterAutospacing="0" w:line="360" w:lineRule="auto"/>
              <w:rPr>
                <w:rFonts w:hint="eastAsia" w:ascii="Calibri" w:hAnsi="Calibri" w:eastAsia="宋体" w:cs="宋体"/>
                <w:color w:val="auto"/>
                <w:sz w:val="21"/>
                <w:szCs w:val="21"/>
                <w:highlight w:val="none"/>
                <w:lang w:bidi="ar"/>
              </w:rPr>
            </w:pPr>
            <w:r>
              <w:rPr>
                <w:rFonts w:hint="eastAsia" w:ascii="Calibri" w:hAnsi="Calibri" w:eastAsia="宋体" w:cs="宋体"/>
                <w:color w:val="auto"/>
                <w:sz w:val="21"/>
                <w:szCs w:val="21"/>
                <w:highlight w:val="none"/>
                <w:lang w:val="en-US" w:eastAsia="zh-CN" w:bidi="ar"/>
              </w:rPr>
              <w:t>在满足基准要求前提下，有市级及以上区块链项目经验，视为优于要求。</w:t>
            </w:r>
          </w:p>
        </w:tc>
        <w:tc>
          <w:tcPr>
            <w:tcW w:w="904" w:type="pct"/>
            <w:tcBorders>
              <w:top w:val="single" w:color="auto" w:sz="2" w:space="0"/>
              <w:left w:val="single" w:color="auto" w:sz="2" w:space="0"/>
              <w:bottom w:val="single" w:color="auto" w:sz="2" w:space="0"/>
              <w:right w:val="single" w:color="auto" w:sz="2" w:space="0"/>
            </w:tcBorders>
          </w:tcPr>
          <w:p w14:paraId="1CBA2ED8">
            <w:pPr>
              <w:pageBreakBefore w:val="0"/>
              <w:kinsoku/>
              <w:wordWrap/>
              <w:overflowPunct/>
              <w:autoSpaceDE/>
              <w:autoSpaceDN/>
              <w:bidi w:val="0"/>
              <w:spacing w:beforeAutospacing="0" w:afterAutospacing="0" w:line="360" w:lineRule="auto"/>
              <w:rPr>
                <w:rFonts w:eastAsia="宋体"/>
                <w:color w:val="auto"/>
                <w:sz w:val="21"/>
                <w:szCs w:val="21"/>
                <w:highlight w:val="none"/>
              </w:rPr>
            </w:pPr>
          </w:p>
        </w:tc>
        <w:tc>
          <w:tcPr>
            <w:tcW w:w="608" w:type="pct"/>
            <w:tcBorders>
              <w:top w:val="single" w:color="auto" w:sz="2" w:space="0"/>
              <w:left w:val="single" w:color="auto" w:sz="2" w:space="0"/>
              <w:bottom w:val="single" w:color="auto" w:sz="2" w:space="0"/>
              <w:right w:val="single" w:color="auto" w:sz="2" w:space="0"/>
            </w:tcBorders>
          </w:tcPr>
          <w:p w14:paraId="0E2042EF">
            <w:pPr>
              <w:pageBreakBefore w:val="0"/>
              <w:kinsoku/>
              <w:wordWrap/>
              <w:overflowPunct/>
              <w:autoSpaceDE/>
              <w:autoSpaceDN/>
              <w:bidi w:val="0"/>
              <w:spacing w:beforeAutospacing="0" w:afterAutospacing="0" w:line="360" w:lineRule="auto"/>
              <w:rPr>
                <w:color w:val="auto"/>
                <w:sz w:val="21"/>
                <w:szCs w:val="21"/>
                <w:highlight w:val="none"/>
              </w:rPr>
            </w:pPr>
          </w:p>
        </w:tc>
        <w:tc>
          <w:tcPr>
            <w:tcW w:w="507" w:type="pct"/>
            <w:tcBorders>
              <w:top w:val="single" w:color="auto" w:sz="2" w:space="0"/>
              <w:left w:val="single" w:color="auto" w:sz="2" w:space="0"/>
              <w:bottom w:val="single" w:color="auto" w:sz="2" w:space="0"/>
              <w:right w:val="single" w:color="auto" w:sz="2" w:space="0"/>
            </w:tcBorders>
          </w:tcPr>
          <w:p w14:paraId="575DE6D5">
            <w:pPr>
              <w:pageBreakBefore w:val="0"/>
              <w:kinsoku/>
              <w:wordWrap/>
              <w:overflowPunct/>
              <w:autoSpaceDE/>
              <w:autoSpaceDN/>
              <w:bidi w:val="0"/>
              <w:spacing w:beforeAutospacing="0" w:afterAutospacing="0" w:line="360" w:lineRule="auto"/>
              <w:rPr>
                <w:color w:val="auto"/>
                <w:sz w:val="21"/>
                <w:szCs w:val="21"/>
                <w:highlight w:val="none"/>
              </w:rPr>
            </w:pPr>
            <w:r>
              <w:rPr>
                <w:rFonts w:hint="eastAsia" w:ascii="Calibri" w:hAnsi="Calibri" w:eastAsia="宋体" w:cs="宋体"/>
                <w:color w:val="auto"/>
                <w:sz w:val="21"/>
                <w:szCs w:val="21"/>
                <w:highlight w:val="none"/>
                <w:lang w:bidi="ar"/>
              </w:rPr>
              <w:t>优于/满足/负偏离</w:t>
            </w:r>
          </w:p>
        </w:tc>
      </w:tr>
      <w:tr w14:paraId="24B6BD6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rPr>
          <w:jc w:val="center"/>
        </w:trPr>
        <w:tc>
          <w:tcPr>
            <w:tcW w:w="363" w:type="pct"/>
            <w:tcBorders>
              <w:top w:val="single" w:color="auto" w:sz="2" w:space="0"/>
              <w:left w:val="single" w:color="auto" w:sz="2" w:space="0"/>
              <w:bottom w:val="single" w:color="auto" w:sz="2" w:space="0"/>
              <w:right w:val="single" w:color="auto" w:sz="2" w:space="0"/>
            </w:tcBorders>
          </w:tcPr>
          <w:p w14:paraId="1B558826">
            <w:pPr>
              <w:pStyle w:val="14"/>
              <w:pageBreakBefore w:val="0"/>
              <w:widowControl/>
              <w:kinsoku/>
              <w:wordWrap/>
              <w:overflowPunct/>
              <w:autoSpaceDE/>
              <w:autoSpaceDN/>
              <w:bidi w:val="0"/>
              <w:spacing w:beforeAutospacing="0" w:afterAutospacing="0" w:line="360" w:lineRule="auto"/>
              <w:jc w:val="left"/>
              <w:rPr>
                <w:rFonts w:ascii="Calibri" w:hAnsi="Calibri" w:eastAsia="宋体" w:cs="Times New Roman"/>
                <w:color w:val="auto"/>
                <w:kern w:val="0"/>
                <w:sz w:val="21"/>
                <w:szCs w:val="21"/>
                <w:highlight w:val="none"/>
                <w:lang w:bidi="ar"/>
              </w:rPr>
            </w:pPr>
            <w:r>
              <w:rPr>
                <w:rFonts w:hint="eastAsia" w:ascii="Calibri" w:hAnsi="Calibri" w:eastAsia="宋体" w:cs="Times New Roman"/>
                <w:color w:val="auto"/>
                <w:kern w:val="0"/>
                <w:sz w:val="21"/>
                <w:szCs w:val="21"/>
                <w:highlight w:val="none"/>
                <w:lang w:bidi="ar"/>
              </w:rPr>
              <w:t>2</w:t>
            </w:r>
          </w:p>
        </w:tc>
        <w:tc>
          <w:tcPr>
            <w:tcW w:w="1208" w:type="pct"/>
            <w:tcBorders>
              <w:top w:val="single" w:color="auto" w:sz="2" w:space="0"/>
              <w:left w:val="single" w:color="auto" w:sz="2" w:space="0"/>
              <w:bottom w:val="single" w:color="auto" w:sz="2" w:space="0"/>
              <w:right w:val="single" w:color="auto" w:sz="2" w:space="0"/>
            </w:tcBorders>
          </w:tcPr>
          <w:p w14:paraId="71F69498">
            <w:pPr>
              <w:pageBreakBefore w:val="0"/>
              <w:kinsoku/>
              <w:wordWrap/>
              <w:overflowPunct/>
              <w:autoSpaceDE/>
              <w:autoSpaceDN/>
              <w:bidi w:val="0"/>
              <w:spacing w:beforeAutospacing="0" w:afterAutospacing="0" w:line="360" w:lineRule="auto"/>
              <w:rPr>
                <w:rFonts w:hint="eastAsia" w:ascii="Calibri" w:hAnsi="Calibri" w:eastAsia="宋体" w:cs="宋体"/>
                <w:color w:val="auto"/>
                <w:sz w:val="21"/>
                <w:szCs w:val="21"/>
                <w:highlight w:val="none"/>
                <w:lang w:val="en-US" w:eastAsia="zh-CN" w:bidi="ar"/>
              </w:rPr>
            </w:pPr>
            <w:r>
              <w:rPr>
                <w:rFonts w:hint="eastAsia" w:ascii="Calibri" w:hAnsi="Calibri" w:eastAsia="宋体" w:cs="宋体"/>
                <w:color w:val="auto"/>
                <w:sz w:val="21"/>
                <w:szCs w:val="21"/>
                <w:highlight w:val="none"/>
                <w:lang w:val="en-US" w:eastAsia="zh-CN" w:bidi="ar"/>
              </w:rPr>
              <w:t>区块链相关专利能力评价标准：</w:t>
            </w:r>
          </w:p>
          <w:p w14:paraId="06830760">
            <w:pPr>
              <w:pageBreakBefore w:val="0"/>
              <w:kinsoku/>
              <w:wordWrap/>
              <w:overflowPunct/>
              <w:autoSpaceDE/>
              <w:autoSpaceDN/>
              <w:bidi w:val="0"/>
              <w:spacing w:beforeAutospacing="0" w:afterAutospacing="0" w:line="360" w:lineRule="auto"/>
              <w:rPr>
                <w:rFonts w:hint="default" w:ascii="Calibri" w:hAnsi="Calibri" w:eastAsia="宋体" w:cs="宋体"/>
                <w:color w:val="auto"/>
                <w:sz w:val="21"/>
                <w:szCs w:val="21"/>
                <w:highlight w:val="none"/>
                <w:lang w:val="en-US" w:bidi="ar"/>
              </w:rPr>
            </w:pPr>
            <w:r>
              <w:rPr>
                <w:rFonts w:hint="eastAsia" w:ascii="Calibri" w:hAnsi="Calibri" w:eastAsia="宋体" w:cs="宋体"/>
                <w:color w:val="auto"/>
                <w:sz w:val="21"/>
                <w:szCs w:val="21"/>
                <w:highlight w:val="none"/>
                <w:lang w:val="en-US" w:eastAsia="zh-CN" w:bidi="ar"/>
              </w:rPr>
              <w:t>提供2项区块链或链上应用相关已授权专利，视为满足要求。</w:t>
            </w:r>
          </w:p>
        </w:tc>
        <w:tc>
          <w:tcPr>
            <w:tcW w:w="1407" w:type="pct"/>
            <w:tcBorders>
              <w:top w:val="single" w:color="auto" w:sz="2" w:space="0"/>
              <w:left w:val="single" w:color="auto" w:sz="2" w:space="0"/>
              <w:bottom w:val="single" w:color="auto" w:sz="2" w:space="0"/>
              <w:right w:val="single" w:color="auto" w:sz="2" w:space="0"/>
            </w:tcBorders>
          </w:tcPr>
          <w:p w14:paraId="722D8668">
            <w:pPr>
              <w:pageBreakBefore w:val="0"/>
              <w:kinsoku/>
              <w:wordWrap/>
              <w:overflowPunct/>
              <w:autoSpaceDE/>
              <w:autoSpaceDN/>
              <w:bidi w:val="0"/>
              <w:spacing w:beforeAutospacing="0" w:afterAutospacing="0" w:line="360" w:lineRule="auto"/>
              <w:rPr>
                <w:rFonts w:hint="eastAsia" w:ascii="Calibri" w:hAnsi="Calibri" w:eastAsia="宋体" w:cs="宋体"/>
                <w:color w:val="auto"/>
                <w:sz w:val="21"/>
                <w:szCs w:val="21"/>
                <w:highlight w:val="none"/>
                <w:lang w:val="en-US" w:eastAsia="zh-CN" w:bidi="ar"/>
              </w:rPr>
            </w:pPr>
            <w:r>
              <w:rPr>
                <w:rFonts w:hint="eastAsia" w:ascii="Calibri" w:hAnsi="Calibri" w:eastAsia="宋体" w:cs="宋体"/>
                <w:color w:val="auto"/>
                <w:sz w:val="21"/>
                <w:szCs w:val="21"/>
                <w:highlight w:val="none"/>
                <w:lang w:val="en-US" w:eastAsia="zh-CN" w:bidi="ar"/>
              </w:rPr>
              <w:t>提供已授权区块链专利4项及以上，视为优于要求。</w:t>
            </w:r>
          </w:p>
        </w:tc>
        <w:tc>
          <w:tcPr>
            <w:tcW w:w="904" w:type="pct"/>
            <w:tcBorders>
              <w:top w:val="single" w:color="auto" w:sz="2" w:space="0"/>
              <w:left w:val="single" w:color="auto" w:sz="2" w:space="0"/>
              <w:bottom w:val="single" w:color="auto" w:sz="2" w:space="0"/>
              <w:right w:val="single" w:color="auto" w:sz="2" w:space="0"/>
            </w:tcBorders>
          </w:tcPr>
          <w:p w14:paraId="2A8EE88F">
            <w:pPr>
              <w:pageBreakBefore w:val="0"/>
              <w:kinsoku/>
              <w:wordWrap/>
              <w:overflowPunct/>
              <w:autoSpaceDE/>
              <w:autoSpaceDN/>
              <w:bidi w:val="0"/>
              <w:spacing w:beforeAutospacing="0" w:afterAutospacing="0" w:line="360" w:lineRule="auto"/>
              <w:rPr>
                <w:rFonts w:eastAsia="宋体"/>
                <w:color w:val="auto"/>
                <w:sz w:val="21"/>
                <w:szCs w:val="21"/>
                <w:highlight w:val="none"/>
              </w:rPr>
            </w:pPr>
          </w:p>
        </w:tc>
        <w:tc>
          <w:tcPr>
            <w:tcW w:w="608" w:type="pct"/>
            <w:tcBorders>
              <w:top w:val="single" w:color="auto" w:sz="2" w:space="0"/>
              <w:left w:val="single" w:color="auto" w:sz="2" w:space="0"/>
              <w:bottom w:val="single" w:color="auto" w:sz="2" w:space="0"/>
              <w:right w:val="single" w:color="auto" w:sz="2" w:space="0"/>
            </w:tcBorders>
          </w:tcPr>
          <w:p w14:paraId="652ED2C4">
            <w:pPr>
              <w:pageBreakBefore w:val="0"/>
              <w:kinsoku/>
              <w:wordWrap/>
              <w:overflowPunct/>
              <w:autoSpaceDE/>
              <w:autoSpaceDN/>
              <w:bidi w:val="0"/>
              <w:spacing w:beforeAutospacing="0" w:afterAutospacing="0" w:line="360" w:lineRule="auto"/>
              <w:rPr>
                <w:color w:val="auto"/>
                <w:sz w:val="21"/>
                <w:szCs w:val="21"/>
                <w:highlight w:val="none"/>
              </w:rPr>
            </w:pPr>
          </w:p>
        </w:tc>
        <w:tc>
          <w:tcPr>
            <w:tcW w:w="507" w:type="pct"/>
            <w:tcBorders>
              <w:top w:val="single" w:color="auto" w:sz="2" w:space="0"/>
              <w:left w:val="single" w:color="auto" w:sz="2" w:space="0"/>
              <w:bottom w:val="single" w:color="auto" w:sz="2" w:space="0"/>
              <w:right w:val="single" w:color="auto" w:sz="2" w:space="0"/>
            </w:tcBorders>
          </w:tcPr>
          <w:p w14:paraId="6DA8909F">
            <w:pPr>
              <w:pageBreakBefore w:val="0"/>
              <w:kinsoku/>
              <w:wordWrap/>
              <w:overflowPunct/>
              <w:autoSpaceDE/>
              <w:autoSpaceDN/>
              <w:bidi w:val="0"/>
              <w:spacing w:beforeAutospacing="0" w:afterAutospacing="0" w:line="360" w:lineRule="auto"/>
              <w:rPr>
                <w:rFonts w:hint="eastAsia" w:ascii="Calibri" w:hAnsi="Calibri" w:eastAsia="宋体" w:cs="宋体"/>
                <w:color w:val="auto"/>
                <w:sz w:val="21"/>
                <w:szCs w:val="21"/>
                <w:highlight w:val="none"/>
                <w:lang w:bidi="ar"/>
              </w:rPr>
            </w:pPr>
            <w:r>
              <w:rPr>
                <w:rFonts w:hint="eastAsia" w:ascii="Calibri" w:hAnsi="Calibri" w:eastAsia="宋体" w:cs="宋体"/>
                <w:color w:val="auto"/>
                <w:sz w:val="21"/>
                <w:szCs w:val="21"/>
                <w:highlight w:val="none"/>
                <w:lang w:bidi="ar"/>
              </w:rPr>
              <w:t>优于/满足/负偏离</w:t>
            </w:r>
          </w:p>
        </w:tc>
      </w:tr>
    </w:tbl>
    <w:p w14:paraId="4FBEE214">
      <w:pPr>
        <w:pStyle w:val="20"/>
        <w:pageBreakBefore w:val="0"/>
        <w:kinsoku/>
        <w:wordWrap/>
        <w:overflowPunct/>
        <w:autoSpaceDE/>
        <w:autoSpaceDN/>
        <w:bidi w:val="0"/>
        <w:spacing w:beforeAutospacing="0" w:afterAutospacing="0" w:line="360" w:lineRule="auto"/>
        <w:ind w:left="0" w:leftChars="0" w:firstLine="0" w:firstLineChars="0"/>
        <w:rPr>
          <w:rFonts w:hint="eastAsia"/>
          <w:color w:val="auto"/>
          <w:sz w:val="24"/>
          <w:szCs w:val="24"/>
          <w:highlight w:val="none"/>
        </w:rPr>
      </w:pPr>
    </w:p>
    <w:p w14:paraId="72367B54">
      <w:pPr>
        <w:pStyle w:val="4"/>
        <w:pageBreakBefore w:val="0"/>
        <w:kinsoku/>
        <w:wordWrap/>
        <w:overflowPunct/>
        <w:autoSpaceDE/>
        <w:autoSpaceDN/>
        <w:bidi w:val="0"/>
        <w:spacing w:beforeAutospacing="0" w:afterAutospacing="0" w:line="360" w:lineRule="auto"/>
        <w:outlineLvl w:val="0"/>
        <w:rPr>
          <w:rFonts w:hint="eastAsia" w:asciiTheme="minorEastAsia" w:hAnsiTheme="minorEastAsia" w:eastAsiaTheme="minorEastAsia" w:cstheme="minorEastAsia"/>
          <w:b/>
          <w:bCs/>
          <w:color w:val="auto"/>
          <w:highlight w:val="none"/>
        </w:rPr>
      </w:pPr>
      <w:bookmarkStart w:id="144" w:name="_Toc8111"/>
      <w:r>
        <w:rPr>
          <w:rFonts w:hint="eastAsia" w:asciiTheme="minorEastAsia" w:hAnsiTheme="minorEastAsia" w:eastAsiaTheme="minorEastAsia" w:cstheme="minorEastAsia"/>
          <w:b/>
          <w:bCs/>
          <w:color w:val="auto"/>
          <w:highlight w:val="none"/>
        </w:rPr>
        <w:t>一般服务团队条款/参数应答表</w:t>
      </w:r>
      <w:bookmarkEnd w:id="144"/>
    </w:p>
    <w:tbl>
      <w:tblPr>
        <w:tblStyle w:val="16"/>
        <w:tblW w:w="4998" w:type="pct"/>
        <w:tblInd w:w="0"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772"/>
        <w:gridCol w:w="2176"/>
        <w:gridCol w:w="2845"/>
        <w:gridCol w:w="1487"/>
        <w:gridCol w:w="1239"/>
      </w:tblGrid>
      <w:tr w14:paraId="7FCAF298">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453" w:type="pct"/>
            <w:tcBorders>
              <w:top w:val="single" w:color="auto" w:sz="2" w:space="0"/>
              <w:left w:val="single" w:color="auto" w:sz="2" w:space="0"/>
              <w:bottom w:val="single" w:color="auto" w:sz="2" w:space="0"/>
              <w:right w:val="single" w:color="auto" w:sz="2" w:space="0"/>
            </w:tcBorders>
          </w:tcPr>
          <w:p w14:paraId="7E6A6C37">
            <w:pPr>
              <w:pStyle w:val="14"/>
              <w:pageBreakBefore w:val="0"/>
              <w:widowControl/>
              <w:kinsoku/>
              <w:wordWrap/>
              <w:overflowPunct/>
              <w:autoSpaceDE/>
              <w:autoSpaceDN/>
              <w:bidi w:val="0"/>
              <w:spacing w:beforeAutospacing="0" w:afterAutospacing="0" w:line="360" w:lineRule="auto"/>
              <w:jc w:val="left"/>
              <w:rPr>
                <w:color w:val="auto"/>
                <w:sz w:val="21"/>
                <w:szCs w:val="21"/>
                <w:highlight w:val="none"/>
              </w:rPr>
            </w:pPr>
            <w:r>
              <w:rPr>
                <w:rFonts w:hint="eastAsia" w:ascii="Calibri" w:hAnsi="Calibri" w:eastAsia="宋体" w:cs="宋体"/>
                <w:color w:val="auto"/>
                <w:kern w:val="0"/>
                <w:sz w:val="21"/>
                <w:szCs w:val="21"/>
                <w:highlight w:val="none"/>
                <w:lang w:bidi="ar"/>
              </w:rPr>
              <w:t>序号</w:t>
            </w:r>
          </w:p>
        </w:tc>
        <w:tc>
          <w:tcPr>
            <w:tcW w:w="1277" w:type="pct"/>
            <w:tcBorders>
              <w:top w:val="single" w:color="auto" w:sz="2" w:space="0"/>
              <w:left w:val="single" w:color="auto" w:sz="2" w:space="0"/>
              <w:bottom w:val="single" w:color="auto" w:sz="2" w:space="0"/>
              <w:right w:val="single" w:color="auto" w:sz="2" w:space="0"/>
            </w:tcBorders>
          </w:tcPr>
          <w:p w14:paraId="02858C3D">
            <w:pPr>
              <w:pStyle w:val="14"/>
              <w:pageBreakBefore w:val="0"/>
              <w:widowControl/>
              <w:kinsoku/>
              <w:wordWrap/>
              <w:overflowPunct/>
              <w:autoSpaceDE/>
              <w:autoSpaceDN/>
              <w:bidi w:val="0"/>
              <w:spacing w:beforeAutospacing="0" w:afterAutospacing="0" w:line="360" w:lineRule="auto"/>
              <w:jc w:val="left"/>
              <w:rPr>
                <w:color w:val="auto"/>
                <w:sz w:val="21"/>
                <w:szCs w:val="21"/>
                <w:highlight w:val="none"/>
              </w:rPr>
            </w:pPr>
            <w:r>
              <w:rPr>
                <w:rFonts w:hint="eastAsia" w:ascii="Calibri" w:hAnsi="Calibri" w:eastAsia="宋体" w:cs="宋体"/>
                <w:color w:val="auto"/>
                <w:kern w:val="0"/>
                <w:sz w:val="21"/>
                <w:szCs w:val="21"/>
                <w:highlight w:val="none"/>
                <w:lang w:bidi="ar"/>
              </w:rPr>
              <w:t>技术规范书的要求</w:t>
            </w:r>
          </w:p>
        </w:tc>
        <w:tc>
          <w:tcPr>
            <w:tcW w:w="1670" w:type="pct"/>
            <w:tcBorders>
              <w:top w:val="single" w:color="auto" w:sz="2" w:space="0"/>
              <w:left w:val="single" w:color="auto" w:sz="2" w:space="0"/>
              <w:bottom w:val="single" w:color="auto" w:sz="2" w:space="0"/>
              <w:right w:val="single" w:color="auto" w:sz="2" w:space="0"/>
            </w:tcBorders>
          </w:tcPr>
          <w:p w14:paraId="0454E02B">
            <w:pPr>
              <w:pStyle w:val="14"/>
              <w:pageBreakBefore w:val="0"/>
              <w:widowControl/>
              <w:kinsoku/>
              <w:wordWrap/>
              <w:overflowPunct/>
              <w:autoSpaceDE/>
              <w:autoSpaceDN/>
              <w:bidi w:val="0"/>
              <w:spacing w:beforeAutospacing="0" w:afterAutospacing="0" w:line="360" w:lineRule="auto"/>
              <w:jc w:val="left"/>
              <w:rPr>
                <w:color w:val="auto"/>
                <w:sz w:val="21"/>
                <w:szCs w:val="21"/>
                <w:highlight w:val="none"/>
              </w:rPr>
            </w:pPr>
            <w:r>
              <w:rPr>
                <w:rFonts w:hint="eastAsia" w:ascii="Calibri" w:hAnsi="Calibri" w:eastAsia="宋体" w:cs="宋体"/>
                <w:color w:val="auto"/>
                <w:kern w:val="0"/>
                <w:sz w:val="21"/>
                <w:szCs w:val="21"/>
                <w:highlight w:val="none"/>
                <w:lang w:bidi="ar"/>
              </w:rPr>
              <w:t>投标响应内容</w:t>
            </w:r>
          </w:p>
        </w:tc>
        <w:tc>
          <w:tcPr>
            <w:tcW w:w="873" w:type="pct"/>
            <w:tcBorders>
              <w:top w:val="single" w:color="auto" w:sz="2" w:space="0"/>
              <w:left w:val="single" w:color="auto" w:sz="2" w:space="0"/>
              <w:bottom w:val="single" w:color="auto" w:sz="2" w:space="0"/>
              <w:right w:val="single" w:color="auto" w:sz="2" w:space="0"/>
            </w:tcBorders>
          </w:tcPr>
          <w:p w14:paraId="6A5E79D2">
            <w:pPr>
              <w:pStyle w:val="14"/>
              <w:pageBreakBefore w:val="0"/>
              <w:widowControl/>
              <w:kinsoku/>
              <w:wordWrap/>
              <w:overflowPunct/>
              <w:autoSpaceDE/>
              <w:autoSpaceDN/>
              <w:bidi w:val="0"/>
              <w:spacing w:beforeAutospacing="0" w:afterAutospacing="0" w:line="360" w:lineRule="auto"/>
              <w:jc w:val="left"/>
              <w:rPr>
                <w:color w:val="auto"/>
                <w:sz w:val="21"/>
                <w:szCs w:val="21"/>
                <w:highlight w:val="none"/>
              </w:rPr>
            </w:pPr>
            <w:r>
              <w:rPr>
                <w:rFonts w:hint="eastAsia" w:ascii="Calibri" w:hAnsi="Calibri" w:eastAsia="宋体" w:cs="宋体"/>
                <w:color w:val="auto"/>
                <w:kern w:val="0"/>
                <w:sz w:val="21"/>
                <w:szCs w:val="21"/>
                <w:highlight w:val="none"/>
                <w:lang w:bidi="ar"/>
              </w:rPr>
              <w:t>证明文件所在位置</w:t>
            </w:r>
          </w:p>
        </w:tc>
        <w:tc>
          <w:tcPr>
            <w:tcW w:w="727" w:type="pct"/>
            <w:tcBorders>
              <w:top w:val="single" w:color="auto" w:sz="2" w:space="0"/>
              <w:left w:val="single" w:color="auto" w:sz="2" w:space="0"/>
              <w:bottom w:val="single" w:color="auto" w:sz="2" w:space="0"/>
              <w:right w:val="single" w:color="auto" w:sz="2" w:space="0"/>
            </w:tcBorders>
          </w:tcPr>
          <w:p w14:paraId="6A152F34">
            <w:pPr>
              <w:pStyle w:val="14"/>
              <w:pageBreakBefore w:val="0"/>
              <w:widowControl/>
              <w:kinsoku/>
              <w:wordWrap/>
              <w:overflowPunct/>
              <w:autoSpaceDE/>
              <w:autoSpaceDN/>
              <w:bidi w:val="0"/>
              <w:spacing w:beforeAutospacing="0" w:afterAutospacing="0" w:line="360" w:lineRule="auto"/>
              <w:jc w:val="left"/>
              <w:rPr>
                <w:color w:val="auto"/>
                <w:sz w:val="21"/>
                <w:szCs w:val="21"/>
                <w:highlight w:val="none"/>
              </w:rPr>
            </w:pPr>
            <w:r>
              <w:rPr>
                <w:rFonts w:hint="eastAsia" w:ascii="Calibri" w:hAnsi="Calibri" w:eastAsia="宋体" w:cs="宋体"/>
                <w:color w:val="auto"/>
                <w:kern w:val="0"/>
                <w:sz w:val="21"/>
                <w:szCs w:val="21"/>
                <w:highlight w:val="none"/>
                <w:lang w:bidi="ar"/>
              </w:rPr>
              <w:t>是否偏离</w:t>
            </w:r>
          </w:p>
        </w:tc>
      </w:tr>
      <w:tr w14:paraId="342E730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453" w:type="pct"/>
            <w:tcBorders>
              <w:top w:val="single" w:color="auto" w:sz="2" w:space="0"/>
              <w:left w:val="single" w:color="auto" w:sz="2" w:space="0"/>
              <w:bottom w:val="single" w:color="auto" w:sz="2" w:space="0"/>
              <w:right w:val="single" w:color="auto" w:sz="2" w:space="0"/>
            </w:tcBorders>
          </w:tcPr>
          <w:p w14:paraId="1E26D53D">
            <w:pPr>
              <w:pStyle w:val="14"/>
              <w:pageBreakBefore w:val="0"/>
              <w:widowControl/>
              <w:kinsoku/>
              <w:wordWrap/>
              <w:overflowPunct/>
              <w:autoSpaceDE/>
              <w:autoSpaceDN/>
              <w:bidi w:val="0"/>
              <w:spacing w:beforeAutospacing="0" w:afterAutospacing="0" w:line="360" w:lineRule="auto"/>
              <w:jc w:val="left"/>
              <w:rPr>
                <w:color w:val="auto"/>
                <w:sz w:val="21"/>
                <w:szCs w:val="21"/>
                <w:highlight w:val="none"/>
              </w:rPr>
            </w:pPr>
            <w:r>
              <w:rPr>
                <w:rFonts w:ascii="Calibri" w:hAnsi="Calibri" w:eastAsia="宋体" w:cs="Times New Roman"/>
                <w:color w:val="auto"/>
                <w:kern w:val="0"/>
                <w:sz w:val="21"/>
                <w:szCs w:val="21"/>
                <w:highlight w:val="none"/>
                <w:lang w:bidi="ar"/>
              </w:rPr>
              <w:t>1</w:t>
            </w:r>
          </w:p>
        </w:tc>
        <w:tc>
          <w:tcPr>
            <w:tcW w:w="1277" w:type="pct"/>
            <w:tcBorders>
              <w:top w:val="single" w:color="auto" w:sz="2" w:space="0"/>
              <w:left w:val="single" w:color="auto" w:sz="2" w:space="0"/>
              <w:bottom w:val="single" w:color="auto" w:sz="2" w:space="0"/>
              <w:right w:val="single" w:color="auto" w:sz="2" w:space="0"/>
            </w:tcBorders>
          </w:tcPr>
          <w:p w14:paraId="47B5535B">
            <w:pPr>
              <w:pageBreakBefore w:val="0"/>
              <w:kinsoku/>
              <w:wordWrap/>
              <w:overflowPunct/>
              <w:autoSpaceDE/>
              <w:autoSpaceDN/>
              <w:bidi w:val="0"/>
              <w:spacing w:beforeAutospacing="0" w:afterAutospacing="0" w:line="360" w:lineRule="auto"/>
              <w:rPr>
                <w:rFonts w:ascii="Calibri" w:hAnsi="Calibri" w:eastAsia="宋体" w:cs="宋体"/>
                <w:color w:val="auto"/>
                <w:kern w:val="0"/>
                <w:sz w:val="21"/>
                <w:szCs w:val="21"/>
                <w:highlight w:val="none"/>
                <w:lang w:bidi="ar"/>
              </w:rPr>
            </w:pPr>
            <w:r>
              <w:rPr>
                <w:rFonts w:hint="eastAsia" w:ascii="Calibri" w:hAnsi="Calibri" w:eastAsia="宋体" w:cs="宋体"/>
                <w:color w:val="auto"/>
                <w:kern w:val="0"/>
                <w:sz w:val="21"/>
                <w:szCs w:val="21"/>
                <w:highlight w:val="none"/>
                <w:lang w:bidi="ar"/>
              </w:rPr>
              <w:t>团队成员资质要求：计算机技术与软件专业技术</w:t>
            </w:r>
            <w:r>
              <w:rPr>
                <w:rFonts w:hint="eastAsia" w:ascii="Calibri" w:hAnsi="Calibri" w:eastAsia="宋体" w:cs="宋体"/>
                <w:color w:val="auto"/>
                <w:kern w:val="0"/>
                <w:sz w:val="21"/>
                <w:szCs w:val="21"/>
                <w:highlight w:val="none"/>
                <w:lang w:bidi="ar"/>
              </w:rPr>
              <w:t>资格中级</w:t>
            </w:r>
            <w:r>
              <w:rPr>
                <w:rFonts w:hint="eastAsia" w:ascii="Calibri" w:hAnsi="Calibri" w:eastAsia="宋体" w:cs="宋体"/>
                <w:color w:val="auto"/>
                <w:kern w:val="0"/>
                <w:sz w:val="21"/>
                <w:szCs w:val="21"/>
                <w:highlight w:val="none"/>
                <w:lang w:val="en-US" w:eastAsia="zh-CN" w:bidi="ar"/>
              </w:rPr>
              <w:t>或以上</w:t>
            </w:r>
            <w:r>
              <w:rPr>
                <w:rFonts w:hint="eastAsia" w:ascii="Calibri" w:hAnsi="Calibri" w:eastAsia="宋体" w:cs="宋体"/>
                <w:color w:val="auto"/>
                <w:kern w:val="0"/>
                <w:sz w:val="21"/>
                <w:szCs w:val="21"/>
                <w:highlight w:val="none"/>
                <w:lang w:bidi="ar"/>
              </w:rPr>
              <w:t>证书不少于2人</w:t>
            </w:r>
          </w:p>
        </w:tc>
        <w:tc>
          <w:tcPr>
            <w:tcW w:w="1670" w:type="pct"/>
            <w:tcBorders>
              <w:top w:val="single" w:color="auto" w:sz="2" w:space="0"/>
              <w:left w:val="single" w:color="auto" w:sz="2" w:space="0"/>
              <w:bottom w:val="single" w:color="auto" w:sz="2" w:space="0"/>
              <w:right w:val="single" w:color="auto" w:sz="2" w:space="0"/>
            </w:tcBorders>
          </w:tcPr>
          <w:p w14:paraId="357932D9">
            <w:pPr>
              <w:pageBreakBefore w:val="0"/>
              <w:kinsoku/>
              <w:wordWrap/>
              <w:overflowPunct/>
              <w:autoSpaceDE/>
              <w:autoSpaceDN/>
              <w:bidi w:val="0"/>
              <w:spacing w:beforeAutospacing="0" w:afterAutospacing="0" w:line="360" w:lineRule="auto"/>
              <w:rPr>
                <w:color w:val="auto"/>
                <w:sz w:val="21"/>
                <w:szCs w:val="21"/>
                <w:highlight w:val="none"/>
              </w:rPr>
            </w:pPr>
          </w:p>
        </w:tc>
        <w:tc>
          <w:tcPr>
            <w:tcW w:w="873" w:type="pct"/>
            <w:tcBorders>
              <w:top w:val="single" w:color="auto" w:sz="2" w:space="0"/>
              <w:left w:val="single" w:color="auto" w:sz="2" w:space="0"/>
              <w:bottom w:val="single" w:color="auto" w:sz="2" w:space="0"/>
              <w:right w:val="single" w:color="auto" w:sz="2" w:space="0"/>
            </w:tcBorders>
          </w:tcPr>
          <w:p w14:paraId="0C5F87E8">
            <w:pPr>
              <w:pageBreakBefore w:val="0"/>
              <w:kinsoku/>
              <w:wordWrap/>
              <w:overflowPunct/>
              <w:autoSpaceDE/>
              <w:autoSpaceDN/>
              <w:bidi w:val="0"/>
              <w:spacing w:beforeAutospacing="0" w:afterAutospacing="0" w:line="360" w:lineRule="auto"/>
              <w:rPr>
                <w:color w:val="auto"/>
                <w:sz w:val="21"/>
                <w:szCs w:val="21"/>
                <w:highlight w:val="none"/>
              </w:rPr>
            </w:pPr>
          </w:p>
        </w:tc>
        <w:tc>
          <w:tcPr>
            <w:tcW w:w="727" w:type="pct"/>
            <w:tcBorders>
              <w:top w:val="single" w:color="auto" w:sz="2" w:space="0"/>
              <w:left w:val="single" w:color="auto" w:sz="2" w:space="0"/>
              <w:bottom w:val="single" w:color="auto" w:sz="2" w:space="0"/>
              <w:right w:val="single" w:color="auto" w:sz="2" w:space="0"/>
            </w:tcBorders>
          </w:tcPr>
          <w:p w14:paraId="1CADF915">
            <w:pPr>
              <w:pageBreakBefore w:val="0"/>
              <w:kinsoku/>
              <w:wordWrap/>
              <w:overflowPunct/>
              <w:autoSpaceDE/>
              <w:autoSpaceDN/>
              <w:bidi w:val="0"/>
              <w:spacing w:beforeAutospacing="0" w:afterAutospacing="0" w:line="360" w:lineRule="auto"/>
              <w:rPr>
                <w:color w:val="auto"/>
                <w:sz w:val="21"/>
                <w:szCs w:val="21"/>
                <w:highlight w:val="none"/>
              </w:rPr>
            </w:pPr>
            <w:r>
              <w:rPr>
                <w:rFonts w:hint="eastAsia" w:ascii="Calibri" w:hAnsi="Calibri" w:eastAsia="宋体" w:cs="宋体"/>
                <w:color w:val="auto"/>
                <w:sz w:val="21"/>
                <w:szCs w:val="21"/>
                <w:highlight w:val="none"/>
                <w:lang w:bidi="ar"/>
              </w:rPr>
              <w:t>满足/负偏离</w:t>
            </w:r>
          </w:p>
        </w:tc>
      </w:tr>
      <w:tr w14:paraId="6E8DCC6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453" w:type="pct"/>
            <w:tcBorders>
              <w:top w:val="single" w:color="auto" w:sz="2" w:space="0"/>
              <w:left w:val="single" w:color="auto" w:sz="2" w:space="0"/>
              <w:bottom w:val="single" w:color="auto" w:sz="2" w:space="0"/>
              <w:right w:val="single" w:color="auto" w:sz="2" w:space="0"/>
            </w:tcBorders>
          </w:tcPr>
          <w:p w14:paraId="54CC0E5E">
            <w:pPr>
              <w:pStyle w:val="14"/>
              <w:pageBreakBefore w:val="0"/>
              <w:widowControl/>
              <w:kinsoku/>
              <w:wordWrap/>
              <w:overflowPunct/>
              <w:autoSpaceDE/>
              <w:autoSpaceDN/>
              <w:bidi w:val="0"/>
              <w:spacing w:beforeAutospacing="0" w:afterAutospacing="0" w:line="360" w:lineRule="auto"/>
              <w:jc w:val="left"/>
              <w:rPr>
                <w:rFonts w:ascii="Calibri" w:hAnsi="Calibri" w:eastAsia="宋体" w:cs="Times New Roman"/>
                <w:color w:val="auto"/>
                <w:kern w:val="0"/>
                <w:sz w:val="21"/>
                <w:szCs w:val="21"/>
                <w:highlight w:val="none"/>
                <w:lang w:bidi="ar"/>
              </w:rPr>
            </w:pPr>
            <w:r>
              <w:rPr>
                <w:rFonts w:hint="eastAsia" w:ascii="Calibri" w:hAnsi="Calibri" w:eastAsia="宋体" w:cs="Times New Roman"/>
                <w:color w:val="auto"/>
                <w:kern w:val="0"/>
                <w:sz w:val="21"/>
                <w:szCs w:val="21"/>
                <w:highlight w:val="none"/>
                <w:lang w:bidi="ar"/>
              </w:rPr>
              <w:t>2</w:t>
            </w:r>
          </w:p>
        </w:tc>
        <w:tc>
          <w:tcPr>
            <w:tcW w:w="1277" w:type="pct"/>
            <w:tcBorders>
              <w:top w:val="single" w:color="auto" w:sz="2" w:space="0"/>
              <w:left w:val="single" w:color="auto" w:sz="2" w:space="0"/>
              <w:bottom w:val="single" w:color="auto" w:sz="2" w:space="0"/>
              <w:right w:val="single" w:color="auto" w:sz="2" w:space="0"/>
            </w:tcBorders>
          </w:tcPr>
          <w:p w14:paraId="1A044266">
            <w:pPr>
              <w:pageBreakBefore w:val="0"/>
              <w:kinsoku/>
              <w:wordWrap/>
              <w:overflowPunct/>
              <w:autoSpaceDE/>
              <w:autoSpaceDN/>
              <w:bidi w:val="0"/>
              <w:spacing w:beforeAutospacing="0" w:afterAutospacing="0" w:line="360" w:lineRule="auto"/>
              <w:rPr>
                <w:rFonts w:hint="eastAsia" w:ascii="Calibri" w:hAnsi="Calibri" w:eastAsia="宋体" w:cs="宋体"/>
                <w:color w:val="auto"/>
                <w:kern w:val="0"/>
                <w:sz w:val="21"/>
                <w:szCs w:val="21"/>
                <w:highlight w:val="none"/>
                <w:lang w:bidi="ar"/>
              </w:rPr>
            </w:pPr>
            <w:r>
              <w:rPr>
                <w:rFonts w:hint="eastAsia" w:ascii="Calibri" w:hAnsi="Calibri" w:eastAsia="宋体" w:cs="宋体"/>
                <w:color w:val="auto"/>
                <w:kern w:val="0"/>
                <w:sz w:val="21"/>
                <w:szCs w:val="21"/>
                <w:highlight w:val="none"/>
                <w:lang w:bidi="ar"/>
              </w:rPr>
              <w:t>投标人须配置不少于5人的项目实施团队，团队成员须覆盖项目管理、区块链架构、软件开发、测试等关键角色，各角色须有明确的人员配置及职责分工</w:t>
            </w:r>
          </w:p>
        </w:tc>
        <w:tc>
          <w:tcPr>
            <w:tcW w:w="1670" w:type="pct"/>
            <w:tcBorders>
              <w:top w:val="single" w:color="auto" w:sz="2" w:space="0"/>
              <w:left w:val="single" w:color="auto" w:sz="2" w:space="0"/>
              <w:bottom w:val="single" w:color="auto" w:sz="2" w:space="0"/>
              <w:right w:val="single" w:color="auto" w:sz="2" w:space="0"/>
            </w:tcBorders>
          </w:tcPr>
          <w:p w14:paraId="5D090E91">
            <w:pPr>
              <w:pageBreakBefore w:val="0"/>
              <w:kinsoku/>
              <w:wordWrap/>
              <w:overflowPunct/>
              <w:autoSpaceDE/>
              <w:autoSpaceDN/>
              <w:bidi w:val="0"/>
              <w:spacing w:beforeAutospacing="0" w:afterAutospacing="0" w:line="360" w:lineRule="auto"/>
              <w:rPr>
                <w:color w:val="auto"/>
                <w:sz w:val="21"/>
                <w:szCs w:val="21"/>
                <w:highlight w:val="none"/>
              </w:rPr>
            </w:pPr>
          </w:p>
        </w:tc>
        <w:tc>
          <w:tcPr>
            <w:tcW w:w="873" w:type="pct"/>
            <w:tcBorders>
              <w:top w:val="single" w:color="auto" w:sz="2" w:space="0"/>
              <w:left w:val="single" w:color="auto" w:sz="2" w:space="0"/>
              <w:bottom w:val="single" w:color="auto" w:sz="2" w:space="0"/>
              <w:right w:val="single" w:color="auto" w:sz="2" w:space="0"/>
            </w:tcBorders>
          </w:tcPr>
          <w:p w14:paraId="0941345E">
            <w:pPr>
              <w:pageBreakBefore w:val="0"/>
              <w:kinsoku/>
              <w:wordWrap/>
              <w:overflowPunct/>
              <w:autoSpaceDE/>
              <w:autoSpaceDN/>
              <w:bidi w:val="0"/>
              <w:spacing w:beforeAutospacing="0" w:afterAutospacing="0" w:line="360" w:lineRule="auto"/>
              <w:rPr>
                <w:color w:val="auto"/>
                <w:sz w:val="21"/>
                <w:szCs w:val="21"/>
                <w:highlight w:val="none"/>
              </w:rPr>
            </w:pPr>
          </w:p>
        </w:tc>
        <w:tc>
          <w:tcPr>
            <w:tcW w:w="727" w:type="pct"/>
            <w:tcBorders>
              <w:top w:val="single" w:color="auto" w:sz="2" w:space="0"/>
              <w:left w:val="single" w:color="auto" w:sz="2" w:space="0"/>
              <w:bottom w:val="single" w:color="auto" w:sz="2" w:space="0"/>
              <w:right w:val="single" w:color="auto" w:sz="2" w:space="0"/>
            </w:tcBorders>
          </w:tcPr>
          <w:p w14:paraId="04F04B48">
            <w:pPr>
              <w:pageBreakBefore w:val="0"/>
              <w:kinsoku/>
              <w:wordWrap/>
              <w:overflowPunct/>
              <w:autoSpaceDE/>
              <w:autoSpaceDN/>
              <w:bidi w:val="0"/>
              <w:spacing w:beforeAutospacing="0" w:afterAutospacing="0" w:line="360" w:lineRule="auto"/>
              <w:rPr>
                <w:rFonts w:ascii="Calibri" w:hAnsi="Calibri" w:eastAsia="宋体" w:cs="宋体"/>
                <w:color w:val="auto"/>
                <w:sz w:val="21"/>
                <w:szCs w:val="21"/>
                <w:highlight w:val="none"/>
                <w:lang w:bidi="ar"/>
              </w:rPr>
            </w:pPr>
            <w:r>
              <w:rPr>
                <w:rFonts w:hint="eastAsia" w:ascii="Calibri" w:hAnsi="Calibri" w:eastAsia="宋体" w:cs="宋体"/>
                <w:color w:val="auto"/>
                <w:sz w:val="21"/>
                <w:szCs w:val="21"/>
                <w:highlight w:val="none"/>
                <w:lang w:bidi="ar"/>
              </w:rPr>
              <w:t>满足/负偏离</w:t>
            </w:r>
          </w:p>
        </w:tc>
      </w:tr>
      <w:tr w14:paraId="3D304E5D">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453" w:type="pct"/>
            <w:tcBorders>
              <w:top w:val="single" w:color="auto" w:sz="2" w:space="0"/>
              <w:left w:val="single" w:color="auto" w:sz="2" w:space="0"/>
              <w:bottom w:val="single" w:color="auto" w:sz="2" w:space="0"/>
              <w:right w:val="single" w:color="auto" w:sz="2" w:space="0"/>
            </w:tcBorders>
          </w:tcPr>
          <w:p w14:paraId="61ABBB9E">
            <w:pPr>
              <w:pStyle w:val="14"/>
              <w:pageBreakBefore w:val="0"/>
              <w:widowControl/>
              <w:kinsoku/>
              <w:wordWrap/>
              <w:overflowPunct/>
              <w:autoSpaceDE/>
              <w:autoSpaceDN/>
              <w:bidi w:val="0"/>
              <w:spacing w:beforeAutospacing="0" w:afterAutospacing="0" w:line="360" w:lineRule="auto"/>
              <w:jc w:val="left"/>
              <w:rPr>
                <w:rFonts w:hint="eastAsia" w:ascii="Calibri" w:hAnsi="Calibri" w:eastAsia="宋体" w:cs="Times New Roman"/>
                <w:color w:val="auto"/>
                <w:kern w:val="0"/>
                <w:sz w:val="21"/>
                <w:szCs w:val="21"/>
                <w:highlight w:val="none"/>
                <w:lang w:val="en-US" w:eastAsia="zh-CN" w:bidi="ar"/>
              </w:rPr>
            </w:pPr>
            <w:r>
              <w:rPr>
                <w:rFonts w:hint="eastAsia" w:ascii="Calibri" w:hAnsi="Calibri" w:eastAsia="宋体" w:cs="Times New Roman"/>
                <w:color w:val="auto"/>
                <w:kern w:val="0"/>
                <w:sz w:val="21"/>
                <w:szCs w:val="21"/>
                <w:highlight w:val="none"/>
                <w:lang w:val="en-US" w:eastAsia="zh-CN" w:bidi="ar"/>
              </w:rPr>
              <w:t>3</w:t>
            </w:r>
          </w:p>
        </w:tc>
        <w:tc>
          <w:tcPr>
            <w:tcW w:w="1277" w:type="pct"/>
            <w:tcBorders>
              <w:top w:val="single" w:color="auto" w:sz="2" w:space="0"/>
              <w:left w:val="single" w:color="auto" w:sz="2" w:space="0"/>
              <w:bottom w:val="single" w:color="auto" w:sz="2" w:space="0"/>
              <w:right w:val="single" w:color="auto" w:sz="2" w:space="0"/>
            </w:tcBorders>
          </w:tcPr>
          <w:p w14:paraId="2E0D365C">
            <w:pPr>
              <w:pStyle w:val="20"/>
              <w:pageBreakBefore w:val="0"/>
              <w:numPr>
                <w:ilvl w:val="0"/>
                <w:numId w:val="0"/>
              </w:numPr>
              <w:kinsoku/>
              <w:wordWrap/>
              <w:overflowPunct/>
              <w:autoSpaceDE/>
              <w:autoSpaceDN/>
              <w:bidi w:val="0"/>
              <w:spacing w:beforeAutospacing="0" w:afterAutospacing="0" w:line="360" w:lineRule="auto"/>
              <w:rPr>
                <w:rFonts w:asciiTheme="minorEastAsia" w:hAnsiTheme="minorEastAsia" w:cstheme="minorEastAsia"/>
                <w:b/>
                <w:color w:val="auto"/>
                <w:sz w:val="24"/>
                <w:szCs w:val="24"/>
                <w:highlight w:val="none"/>
              </w:rPr>
            </w:pPr>
            <w:r>
              <w:rPr>
                <w:rFonts w:hint="eastAsia" w:asciiTheme="minorEastAsia" w:hAnsiTheme="minorEastAsia" w:cstheme="minorEastAsia"/>
                <w:color w:val="auto"/>
                <w:sz w:val="24"/>
                <w:szCs w:val="24"/>
                <w:highlight w:val="none"/>
              </w:rPr>
              <w:t>具备本地化服务能力，能够为项目实施及运维阶段提供及时响应的现场支持。</w:t>
            </w:r>
          </w:p>
          <w:p w14:paraId="38C17CBD">
            <w:pPr>
              <w:pageBreakBefore w:val="0"/>
              <w:kinsoku/>
              <w:wordWrap/>
              <w:overflowPunct/>
              <w:autoSpaceDE/>
              <w:autoSpaceDN/>
              <w:bidi w:val="0"/>
              <w:spacing w:beforeAutospacing="0" w:afterAutospacing="0" w:line="360" w:lineRule="auto"/>
              <w:rPr>
                <w:rFonts w:hint="eastAsia" w:ascii="Calibri" w:hAnsi="Calibri" w:eastAsia="宋体" w:cs="宋体"/>
                <w:color w:val="auto"/>
                <w:kern w:val="0"/>
                <w:sz w:val="21"/>
                <w:szCs w:val="21"/>
                <w:highlight w:val="none"/>
                <w:lang w:bidi="ar"/>
              </w:rPr>
            </w:pPr>
          </w:p>
        </w:tc>
        <w:tc>
          <w:tcPr>
            <w:tcW w:w="1670" w:type="pct"/>
            <w:tcBorders>
              <w:top w:val="single" w:color="auto" w:sz="2" w:space="0"/>
              <w:left w:val="single" w:color="auto" w:sz="2" w:space="0"/>
              <w:bottom w:val="single" w:color="auto" w:sz="2" w:space="0"/>
              <w:right w:val="single" w:color="auto" w:sz="2" w:space="0"/>
            </w:tcBorders>
          </w:tcPr>
          <w:p w14:paraId="0EB9694E">
            <w:pPr>
              <w:pageBreakBefore w:val="0"/>
              <w:kinsoku/>
              <w:wordWrap/>
              <w:overflowPunct/>
              <w:autoSpaceDE/>
              <w:autoSpaceDN/>
              <w:bidi w:val="0"/>
              <w:spacing w:beforeAutospacing="0" w:afterAutospacing="0" w:line="360" w:lineRule="auto"/>
              <w:rPr>
                <w:color w:val="auto"/>
                <w:sz w:val="21"/>
                <w:szCs w:val="21"/>
                <w:highlight w:val="none"/>
              </w:rPr>
            </w:pPr>
          </w:p>
        </w:tc>
        <w:tc>
          <w:tcPr>
            <w:tcW w:w="873" w:type="pct"/>
            <w:tcBorders>
              <w:top w:val="single" w:color="auto" w:sz="2" w:space="0"/>
              <w:left w:val="single" w:color="auto" w:sz="2" w:space="0"/>
              <w:bottom w:val="single" w:color="auto" w:sz="2" w:space="0"/>
              <w:right w:val="single" w:color="auto" w:sz="2" w:space="0"/>
            </w:tcBorders>
          </w:tcPr>
          <w:p w14:paraId="532A3878">
            <w:pPr>
              <w:pageBreakBefore w:val="0"/>
              <w:kinsoku/>
              <w:wordWrap/>
              <w:overflowPunct/>
              <w:autoSpaceDE/>
              <w:autoSpaceDN/>
              <w:bidi w:val="0"/>
              <w:spacing w:beforeAutospacing="0" w:afterAutospacing="0" w:line="360" w:lineRule="auto"/>
              <w:rPr>
                <w:color w:val="auto"/>
                <w:sz w:val="21"/>
                <w:szCs w:val="21"/>
                <w:highlight w:val="none"/>
              </w:rPr>
            </w:pPr>
          </w:p>
        </w:tc>
        <w:tc>
          <w:tcPr>
            <w:tcW w:w="727" w:type="pct"/>
            <w:tcBorders>
              <w:top w:val="single" w:color="auto" w:sz="2" w:space="0"/>
              <w:left w:val="single" w:color="auto" w:sz="2" w:space="0"/>
              <w:bottom w:val="single" w:color="auto" w:sz="2" w:space="0"/>
              <w:right w:val="single" w:color="auto" w:sz="2" w:space="0"/>
            </w:tcBorders>
          </w:tcPr>
          <w:p w14:paraId="2C66B9E6">
            <w:pPr>
              <w:pageBreakBefore w:val="0"/>
              <w:kinsoku/>
              <w:wordWrap/>
              <w:overflowPunct/>
              <w:autoSpaceDE/>
              <w:autoSpaceDN/>
              <w:bidi w:val="0"/>
              <w:spacing w:beforeAutospacing="0" w:afterAutospacing="0" w:line="360" w:lineRule="auto"/>
              <w:rPr>
                <w:rFonts w:hint="eastAsia" w:ascii="Calibri" w:hAnsi="Calibri" w:eastAsia="宋体" w:cs="宋体"/>
                <w:color w:val="auto"/>
                <w:sz w:val="21"/>
                <w:szCs w:val="21"/>
                <w:highlight w:val="none"/>
                <w:lang w:bidi="ar"/>
              </w:rPr>
            </w:pPr>
            <w:r>
              <w:rPr>
                <w:rFonts w:hint="eastAsia" w:ascii="Calibri" w:hAnsi="Calibri" w:eastAsia="宋体" w:cs="宋体"/>
                <w:color w:val="auto"/>
                <w:sz w:val="21"/>
                <w:szCs w:val="21"/>
                <w:highlight w:val="none"/>
                <w:lang w:bidi="ar"/>
              </w:rPr>
              <w:t>满足/负偏离</w:t>
            </w:r>
          </w:p>
        </w:tc>
      </w:tr>
      <w:tr w14:paraId="3F5288E5">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453" w:type="pct"/>
            <w:tcBorders>
              <w:top w:val="single" w:color="auto" w:sz="2" w:space="0"/>
              <w:left w:val="single" w:color="auto" w:sz="2" w:space="0"/>
              <w:bottom w:val="single" w:color="auto" w:sz="2" w:space="0"/>
              <w:right w:val="single" w:color="auto" w:sz="2" w:space="0"/>
            </w:tcBorders>
          </w:tcPr>
          <w:p w14:paraId="1590293C">
            <w:pPr>
              <w:pStyle w:val="14"/>
              <w:pageBreakBefore w:val="0"/>
              <w:widowControl/>
              <w:kinsoku/>
              <w:wordWrap/>
              <w:overflowPunct/>
              <w:autoSpaceDE/>
              <w:autoSpaceDN/>
              <w:bidi w:val="0"/>
              <w:spacing w:beforeAutospacing="0" w:afterAutospacing="0" w:line="360" w:lineRule="auto"/>
              <w:jc w:val="left"/>
              <w:rPr>
                <w:rFonts w:hint="eastAsia" w:ascii="Calibri" w:hAnsi="Calibri" w:eastAsia="宋体" w:cs="Times New Roman"/>
                <w:color w:val="auto"/>
                <w:kern w:val="0"/>
                <w:sz w:val="21"/>
                <w:szCs w:val="21"/>
                <w:highlight w:val="none"/>
                <w:lang w:val="en-US" w:eastAsia="zh-CN" w:bidi="ar"/>
              </w:rPr>
            </w:pPr>
            <w:r>
              <w:rPr>
                <w:rFonts w:hint="eastAsia" w:ascii="Calibri" w:hAnsi="Calibri" w:eastAsia="宋体" w:cs="Times New Roman"/>
                <w:color w:val="auto"/>
                <w:kern w:val="0"/>
                <w:sz w:val="21"/>
                <w:szCs w:val="21"/>
                <w:highlight w:val="none"/>
                <w:lang w:val="en-US" w:eastAsia="zh-CN" w:bidi="ar"/>
              </w:rPr>
              <w:t>4</w:t>
            </w:r>
          </w:p>
        </w:tc>
        <w:tc>
          <w:tcPr>
            <w:tcW w:w="1277" w:type="pct"/>
            <w:tcBorders>
              <w:top w:val="single" w:color="auto" w:sz="2" w:space="0"/>
              <w:left w:val="single" w:color="auto" w:sz="2" w:space="0"/>
              <w:bottom w:val="single" w:color="auto" w:sz="2" w:space="0"/>
              <w:right w:val="single" w:color="auto" w:sz="2" w:space="0"/>
            </w:tcBorders>
          </w:tcPr>
          <w:p w14:paraId="24B39BBD">
            <w:pPr>
              <w:pageBreakBefore w:val="0"/>
              <w:kinsoku/>
              <w:wordWrap/>
              <w:overflowPunct/>
              <w:autoSpaceDE/>
              <w:autoSpaceDN/>
              <w:bidi w:val="0"/>
              <w:spacing w:beforeAutospacing="0" w:afterAutospacing="0" w:line="360" w:lineRule="auto"/>
              <w:rPr>
                <w:rFonts w:hint="eastAsia" w:ascii="Calibri" w:hAnsi="Calibri" w:eastAsia="宋体" w:cs="宋体"/>
                <w:color w:val="auto"/>
                <w:kern w:val="0"/>
                <w:sz w:val="21"/>
                <w:szCs w:val="21"/>
                <w:highlight w:val="none"/>
                <w:lang w:val="en-US" w:eastAsia="zh-CN" w:bidi="ar"/>
              </w:rPr>
            </w:pPr>
            <w:r>
              <w:rPr>
                <w:rFonts w:hint="eastAsia" w:ascii="Calibri" w:hAnsi="Calibri" w:eastAsia="宋体" w:cs="宋体"/>
                <w:color w:val="auto"/>
                <w:kern w:val="0"/>
                <w:sz w:val="21"/>
                <w:szCs w:val="21"/>
                <w:highlight w:val="none"/>
                <w:lang w:bidi="ar"/>
              </w:rPr>
              <w:t>满足对服务团队及服务能力的理解：见</w:t>
            </w:r>
            <w:r>
              <w:rPr>
                <w:rFonts w:hint="eastAsia" w:ascii="Calibri" w:hAnsi="Calibri" w:eastAsia="宋体" w:cs="宋体"/>
                <w:color w:val="auto"/>
                <w:kern w:val="0"/>
                <w:sz w:val="21"/>
                <w:szCs w:val="21"/>
                <w:highlight w:val="none"/>
                <w:lang w:eastAsia="zh-CN" w:bidi="ar"/>
              </w:rPr>
              <w:t>第</w:t>
            </w:r>
            <w:r>
              <w:rPr>
                <w:rFonts w:hint="eastAsia" w:ascii="Calibri" w:hAnsi="Calibri" w:eastAsia="宋体" w:cs="宋体"/>
                <w:color w:val="auto"/>
                <w:kern w:val="0"/>
                <w:sz w:val="21"/>
                <w:szCs w:val="21"/>
                <w:highlight w:val="none"/>
                <w:lang w:val="en-US" w:eastAsia="zh-CN" w:bidi="ar"/>
              </w:rPr>
              <w:t>六章</w:t>
            </w:r>
          </w:p>
        </w:tc>
        <w:tc>
          <w:tcPr>
            <w:tcW w:w="1670" w:type="pct"/>
            <w:tcBorders>
              <w:top w:val="single" w:color="auto" w:sz="2" w:space="0"/>
              <w:left w:val="single" w:color="auto" w:sz="2" w:space="0"/>
              <w:bottom w:val="single" w:color="auto" w:sz="2" w:space="0"/>
              <w:right w:val="single" w:color="auto" w:sz="2" w:space="0"/>
            </w:tcBorders>
          </w:tcPr>
          <w:p w14:paraId="7A9F4538">
            <w:pPr>
              <w:pageBreakBefore w:val="0"/>
              <w:kinsoku/>
              <w:wordWrap/>
              <w:overflowPunct/>
              <w:autoSpaceDE/>
              <w:autoSpaceDN/>
              <w:bidi w:val="0"/>
              <w:spacing w:beforeAutospacing="0" w:afterAutospacing="0" w:line="360" w:lineRule="auto"/>
              <w:rPr>
                <w:color w:val="auto"/>
                <w:sz w:val="21"/>
                <w:szCs w:val="21"/>
                <w:highlight w:val="none"/>
              </w:rPr>
            </w:pPr>
          </w:p>
        </w:tc>
        <w:tc>
          <w:tcPr>
            <w:tcW w:w="873" w:type="pct"/>
            <w:tcBorders>
              <w:top w:val="single" w:color="auto" w:sz="2" w:space="0"/>
              <w:left w:val="single" w:color="auto" w:sz="2" w:space="0"/>
              <w:bottom w:val="single" w:color="auto" w:sz="2" w:space="0"/>
              <w:right w:val="single" w:color="auto" w:sz="2" w:space="0"/>
            </w:tcBorders>
          </w:tcPr>
          <w:p w14:paraId="60C04900">
            <w:pPr>
              <w:pageBreakBefore w:val="0"/>
              <w:kinsoku/>
              <w:wordWrap/>
              <w:overflowPunct/>
              <w:autoSpaceDE/>
              <w:autoSpaceDN/>
              <w:bidi w:val="0"/>
              <w:spacing w:beforeAutospacing="0" w:afterAutospacing="0" w:line="360" w:lineRule="auto"/>
              <w:rPr>
                <w:color w:val="auto"/>
                <w:sz w:val="21"/>
                <w:szCs w:val="21"/>
                <w:highlight w:val="none"/>
              </w:rPr>
            </w:pPr>
          </w:p>
        </w:tc>
        <w:tc>
          <w:tcPr>
            <w:tcW w:w="727" w:type="pct"/>
            <w:tcBorders>
              <w:top w:val="single" w:color="auto" w:sz="2" w:space="0"/>
              <w:left w:val="single" w:color="auto" w:sz="2" w:space="0"/>
              <w:bottom w:val="single" w:color="auto" w:sz="2" w:space="0"/>
              <w:right w:val="single" w:color="auto" w:sz="2" w:space="0"/>
            </w:tcBorders>
          </w:tcPr>
          <w:p w14:paraId="46CB5D39">
            <w:pPr>
              <w:pageBreakBefore w:val="0"/>
              <w:kinsoku/>
              <w:wordWrap/>
              <w:overflowPunct/>
              <w:autoSpaceDE/>
              <w:autoSpaceDN/>
              <w:bidi w:val="0"/>
              <w:spacing w:beforeAutospacing="0" w:afterAutospacing="0" w:line="360" w:lineRule="auto"/>
              <w:rPr>
                <w:rFonts w:hint="eastAsia" w:ascii="Calibri" w:hAnsi="Calibri" w:eastAsia="宋体" w:cs="宋体"/>
                <w:color w:val="auto"/>
                <w:sz w:val="21"/>
                <w:szCs w:val="21"/>
                <w:highlight w:val="none"/>
                <w:lang w:bidi="ar"/>
              </w:rPr>
            </w:pPr>
            <w:r>
              <w:rPr>
                <w:rFonts w:hint="eastAsia" w:ascii="Calibri" w:hAnsi="Calibri" w:eastAsia="宋体" w:cs="宋体"/>
                <w:color w:val="auto"/>
                <w:sz w:val="21"/>
                <w:szCs w:val="21"/>
                <w:highlight w:val="none"/>
                <w:lang w:bidi="ar"/>
              </w:rPr>
              <w:t>满足/负偏离</w:t>
            </w:r>
          </w:p>
        </w:tc>
      </w:tr>
      <w:tr w14:paraId="60E7100B">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453" w:type="pct"/>
            <w:tcBorders>
              <w:top w:val="single" w:color="auto" w:sz="2" w:space="0"/>
              <w:left w:val="single" w:color="auto" w:sz="2" w:space="0"/>
              <w:bottom w:val="single" w:color="auto" w:sz="2" w:space="0"/>
              <w:right w:val="single" w:color="auto" w:sz="2" w:space="0"/>
            </w:tcBorders>
          </w:tcPr>
          <w:p w14:paraId="72A2F404">
            <w:pPr>
              <w:pStyle w:val="14"/>
              <w:pageBreakBefore w:val="0"/>
              <w:widowControl/>
              <w:kinsoku/>
              <w:wordWrap/>
              <w:overflowPunct/>
              <w:autoSpaceDE/>
              <w:autoSpaceDN/>
              <w:bidi w:val="0"/>
              <w:spacing w:beforeAutospacing="0" w:afterAutospacing="0" w:line="360" w:lineRule="auto"/>
              <w:jc w:val="left"/>
              <w:rPr>
                <w:rFonts w:hint="eastAsia" w:ascii="Calibri" w:hAnsi="Calibri" w:eastAsia="宋体" w:cs="Times New Roman"/>
                <w:color w:val="auto"/>
                <w:kern w:val="0"/>
                <w:sz w:val="21"/>
                <w:szCs w:val="21"/>
                <w:highlight w:val="none"/>
                <w:lang w:val="en-US" w:eastAsia="zh-CN" w:bidi="ar"/>
              </w:rPr>
            </w:pPr>
            <w:r>
              <w:rPr>
                <w:rFonts w:hint="eastAsia" w:ascii="Calibri" w:hAnsi="Calibri" w:eastAsia="宋体" w:cs="Times New Roman"/>
                <w:color w:val="auto"/>
                <w:kern w:val="0"/>
                <w:sz w:val="21"/>
                <w:szCs w:val="21"/>
                <w:highlight w:val="none"/>
                <w:lang w:val="en-US" w:eastAsia="zh-CN" w:bidi="ar"/>
              </w:rPr>
              <w:t>5</w:t>
            </w:r>
          </w:p>
        </w:tc>
        <w:tc>
          <w:tcPr>
            <w:tcW w:w="1277" w:type="pct"/>
            <w:tcBorders>
              <w:top w:val="single" w:color="auto" w:sz="2" w:space="0"/>
              <w:left w:val="single" w:color="auto" w:sz="2" w:space="0"/>
              <w:bottom w:val="single" w:color="auto" w:sz="2" w:space="0"/>
              <w:right w:val="single" w:color="auto" w:sz="2" w:space="0"/>
            </w:tcBorders>
          </w:tcPr>
          <w:p w14:paraId="3AC539C2">
            <w:pPr>
              <w:pageBreakBefore w:val="0"/>
              <w:kinsoku/>
              <w:wordWrap/>
              <w:overflowPunct/>
              <w:autoSpaceDE/>
              <w:autoSpaceDN/>
              <w:bidi w:val="0"/>
              <w:spacing w:beforeAutospacing="0" w:afterAutospacing="0" w:line="360" w:lineRule="auto"/>
              <w:rPr>
                <w:rFonts w:hint="eastAsia" w:ascii="Calibri" w:hAnsi="Calibri" w:eastAsia="宋体" w:cs="宋体"/>
                <w:color w:val="auto"/>
                <w:kern w:val="0"/>
                <w:sz w:val="21"/>
                <w:szCs w:val="21"/>
                <w:highlight w:val="none"/>
                <w:lang w:val="en-US" w:eastAsia="zh-CN" w:bidi="ar"/>
              </w:rPr>
            </w:pPr>
            <w:r>
              <w:rPr>
                <w:rFonts w:hint="eastAsia" w:ascii="Calibri" w:hAnsi="Calibri" w:eastAsia="宋体" w:cs="宋体"/>
                <w:color w:val="auto"/>
                <w:kern w:val="0"/>
                <w:sz w:val="21"/>
                <w:szCs w:val="21"/>
                <w:highlight w:val="none"/>
                <w:lang w:bidi="ar"/>
              </w:rPr>
              <w:t>满足对服务承诺的理解：见</w:t>
            </w:r>
            <w:r>
              <w:rPr>
                <w:rFonts w:hint="eastAsia" w:ascii="Calibri" w:hAnsi="Calibri" w:eastAsia="宋体" w:cs="宋体"/>
                <w:color w:val="auto"/>
                <w:kern w:val="0"/>
                <w:sz w:val="21"/>
                <w:szCs w:val="21"/>
                <w:highlight w:val="none"/>
                <w:lang w:eastAsia="zh-CN" w:bidi="ar"/>
              </w:rPr>
              <w:t>第</w:t>
            </w:r>
            <w:r>
              <w:rPr>
                <w:rFonts w:hint="eastAsia" w:ascii="Calibri" w:hAnsi="Calibri" w:eastAsia="宋体" w:cs="宋体"/>
                <w:color w:val="auto"/>
                <w:kern w:val="0"/>
                <w:sz w:val="21"/>
                <w:szCs w:val="21"/>
                <w:highlight w:val="none"/>
                <w:lang w:val="en-US" w:eastAsia="zh-CN" w:bidi="ar"/>
              </w:rPr>
              <w:t>九章</w:t>
            </w:r>
          </w:p>
        </w:tc>
        <w:tc>
          <w:tcPr>
            <w:tcW w:w="1670" w:type="pct"/>
            <w:tcBorders>
              <w:top w:val="single" w:color="auto" w:sz="2" w:space="0"/>
              <w:left w:val="single" w:color="auto" w:sz="2" w:space="0"/>
              <w:bottom w:val="single" w:color="auto" w:sz="2" w:space="0"/>
              <w:right w:val="single" w:color="auto" w:sz="2" w:space="0"/>
            </w:tcBorders>
          </w:tcPr>
          <w:p w14:paraId="2FBD14B3">
            <w:pPr>
              <w:pageBreakBefore w:val="0"/>
              <w:kinsoku/>
              <w:wordWrap/>
              <w:overflowPunct/>
              <w:autoSpaceDE/>
              <w:autoSpaceDN/>
              <w:bidi w:val="0"/>
              <w:spacing w:beforeAutospacing="0" w:afterAutospacing="0" w:line="360" w:lineRule="auto"/>
              <w:rPr>
                <w:color w:val="auto"/>
                <w:sz w:val="21"/>
                <w:szCs w:val="21"/>
                <w:highlight w:val="none"/>
              </w:rPr>
            </w:pPr>
          </w:p>
        </w:tc>
        <w:tc>
          <w:tcPr>
            <w:tcW w:w="873" w:type="pct"/>
            <w:tcBorders>
              <w:top w:val="single" w:color="auto" w:sz="2" w:space="0"/>
              <w:left w:val="single" w:color="auto" w:sz="2" w:space="0"/>
              <w:bottom w:val="single" w:color="auto" w:sz="2" w:space="0"/>
              <w:right w:val="single" w:color="auto" w:sz="2" w:space="0"/>
            </w:tcBorders>
          </w:tcPr>
          <w:p w14:paraId="3D7FACB1">
            <w:pPr>
              <w:pageBreakBefore w:val="0"/>
              <w:kinsoku/>
              <w:wordWrap/>
              <w:overflowPunct/>
              <w:autoSpaceDE/>
              <w:autoSpaceDN/>
              <w:bidi w:val="0"/>
              <w:spacing w:beforeAutospacing="0" w:afterAutospacing="0" w:line="360" w:lineRule="auto"/>
              <w:rPr>
                <w:color w:val="auto"/>
                <w:sz w:val="21"/>
                <w:szCs w:val="21"/>
                <w:highlight w:val="none"/>
              </w:rPr>
            </w:pPr>
          </w:p>
        </w:tc>
        <w:tc>
          <w:tcPr>
            <w:tcW w:w="727" w:type="pct"/>
            <w:tcBorders>
              <w:top w:val="single" w:color="auto" w:sz="2" w:space="0"/>
              <w:left w:val="single" w:color="auto" w:sz="2" w:space="0"/>
              <w:bottom w:val="single" w:color="auto" w:sz="2" w:space="0"/>
              <w:right w:val="single" w:color="auto" w:sz="2" w:space="0"/>
            </w:tcBorders>
          </w:tcPr>
          <w:p w14:paraId="506416DB">
            <w:pPr>
              <w:pageBreakBefore w:val="0"/>
              <w:kinsoku/>
              <w:wordWrap/>
              <w:overflowPunct/>
              <w:autoSpaceDE/>
              <w:autoSpaceDN/>
              <w:bidi w:val="0"/>
              <w:spacing w:beforeAutospacing="0" w:afterAutospacing="0" w:line="360" w:lineRule="auto"/>
              <w:rPr>
                <w:rFonts w:ascii="Calibri" w:hAnsi="Calibri" w:eastAsia="宋体" w:cs="宋体"/>
                <w:color w:val="auto"/>
                <w:sz w:val="21"/>
                <w:szCs w:val="21"/>
                <w:highlight w:val="none"/>
                <w:lang w:bidi="ar"/>
              </w:rPr>
            </w:pPr>
            <w:r>
              <w:rPr>
                <w:rFonts w:hint="eastAsia" w:ascii="Calibri" w:hAnsi="Calibri" w:eastAsia="宋体" w:cs="宋体"/>
                <w:color w:val="auto"/>
                <w:sz w:val="21"/>
                <w:szCs w:val="21"/>
                <w:highlight w:val="none"/>
                <w:lang w:bidi="ar"/>
              </w:rPr>
              <w:t>满足/负偏离</w:t>
            </w:r>
          </w:p>
        </w:tc>
      </w:tr>
    </w:tbl>
    <w:p w14:paraId="001E21E5">
      <w:pPr>
        <w:rPr>
          <w:color w:val="auto"/>
          <w:highlight w:val="none"/>
        </w:rPr>
      </w:pPr>
    </w:p>
    <w:bookmarkEnd w:id="139"/>
    <w:bookmarkEnd w:id="140"/>
    <w:p w14:paraId="4E2ADF9C">
      <w:pPr>
        <w:pStyle w:val="4"/>
        <w:pageBreakBefore w:val="0"/>
        <w:kinsoku/>
        <w:wordWrap/>
        <w:overflowPunct/>
        <w:autoSpaceDE/>
        <w:autoSpaceDN/>
        <w:bidi w:val="0"/>
        <w:spacing w:beforeAutospacing="0" w:afterAutospacing="0" w:line="360" w:lineRule="auto"/>
        <w:outlineLvl w:val="0"/>
        <w:rPr>
          <w:rFonts w:hint="eastAsia" w:asciiTheme="minorEastAsia" w:hAnsiTheme="minorEastAsia" w:eastAsiaTheme="minorEastAsia" w:cstheme="minorEastAsia"/>
          <w:b/>
          <w:bCs/>
          <w:color w:val="auto"/>
          <w:highlight w:val="none"/>
        </w:rPr>
      </w:pPr>
      <w:bookmarkStart w:id="145" w:name="_Toc22056"/>
      <w:r>
        <w:rPr>
          <w:rFonts w:hint="eastAsia" w:asciiTheme="minorEastAsia" w:hAnsiTheme="minorEastAsia" w:eastAsiaTheme="minorEastAsia" w:cstheme="minorEastAsia"/>
          <w:b/>
          <w:bCs/>
          <w:color w:val="auto"/>
          <w:highlight w:val="none"/>
        </w:rPr>
        <w:t>评价申辩</w:t>
      </w:r>
      <w:bookmarkEnd w:id="145"/>
    </w:p>
    <w:p w14:paraId="6CE176CE">
      <w:pPr>
        <w:pStyle w:val="20"/>
        <w:pageBreakBefore w:val="0"/>
        <w:kinsoku/>
        <w:wordWrap/>
        <w:overflowPunct/>
        <w:autoSpaceDE/>
        <w:autoSpaceDN/>
        <w:bidi w:val="0"/>
        <w:spacing w:beforeAutospacing="0" w:afterAutospacing="0" w:line="360" w:lineRule="auto"/>
        <w:ind w:firstLine="418" w:firstLineChars="166"/>
        <w:rPr>
          <w:rFonts w:hint="eastAsia"/>
          <w:color w:val="auto"/>
          <w:sz w:val="24"/>
          <w:szCs w:val="24"/>
          <w:highlight w:val="none"/>
        </w:rPr>
      </w:pPr>
      <w:r>
        <w:rPr>
          <w:rFonts w:hint="eastAsia"/>
          <w:color w:val="auto"/>
          <w:sz w:val="24"/>
          <w:szCs w:val="24"/>
          <w:highlight w:val="none"/>
        </w:rPr>
        <w:t>如果投标人不认可服务评价结果，可以在结果公布后3个工作日内向招标人提出申辩，最终的评价结果以双方协商后的结论为准。</w:t>
      </w:r>
    </w:p>
    <w:p w14:paraId="352DDBCA">
      <w:pPr>
        <w:pStyle w:val="4"/>
        <w:pageBreakBefore w:val="0"/>
        <w:kinsoku/>
        <w:wordWrap/>
        <w:overflowPunct/>
        <w:autoSpaceDE/>
        <w:autoSpaceDN/>
        <w:bidi w:val="0"/>
        <w:spacing w:beforeAutospacing="0" w:afterAutospacing="0" w:line="360" w:lineRule="auto"/>
        <w:outlineLvl w:val="0"/>
        <w:rPr>
          <w:rFonts w:hint="eastAsia" w:asciiTheme="minorEastAsia" w:hAnsiTheme="minorEastAsia" w:eastAsiaTheme="minorEastAsia" w:cstheme="minorEastAsia"/>
          <w:b/>
          <w:bCs/>
          <w:color w:val="auto"/>
          <w:highlight w:val="none"/>
        </w:rPr>
      </w:pPr>
      <w:bookmarkStart w:id="146" w:name="_Toc28292"/>
      <w:r>
        <w:rPr>
          <w:rFonts w:hint="eastAsia" w:asciiTheme="minorEastAsia" w:hAnsiTheme="minorEastAsia" w:eastAsiaTheme="minorEastAsia" w:cstheme="minorEastAsia"/>
          <w:b/>
          <w:bCs/>
          <w:color w:val="auto"/>
          <w:highlight w:val="none"/>
        </w:rPr>
        <w:t>违约责任</w:t>
      </w:r>
      <w:bookmarkEnd w:id="146"/>
    </w:p>
    <w:p w14:paraId="1E792C4E">
      <w:pPr>
        <w:pStyle w:val="20"/>
        <w:pageBreakBefore w:val="0"/>
        <w:kinsoku/>
        <w:wordWrap/>
        <w:overflowPunct/>
        <w:autoSpaceDE/>
        <w:autoSpaceDN/>
        <w:bidi w:val="0"/>
        <w:spacing w:beforeAutospacing="0" w:afterAutospacing="0" w:line="360" w:lineRule="auto"/>
        <w:ind w:firstLine="418" w:firstLineChars="166"/>
        <w:outlineLvl w:val="1"/>
        <w:rPr>
          <w:rFonts w:hint="eastAsia"/>
          <w:color w:val="auto"/>
          <w:sz w:val="24"/>
          <w:szCs w:val="24"/>
          <w:highlight w:val="none"/>
        </w:rPr>
      </w:pPr>
      <w:bookmarkStart w:id="147" w:name="_Toc22024"/>
      <w:r>
        <w:rPr>
          <w:rFonts w:hint="eastAsia"/>
          <w:color w:val="auto"/>
          <w:sz w:val="24"/>
          <w:szCs w:val="24"/>
          <w:highlight w:val="none"/>
        </w:rPr>
        <w:t>1</w:t>
      </w:r>
      <w:r>
        <w:rPr>
          <w:rFonts w:hint="eastAsia"/>
          <w:color w:val="auto"/>
          <w:sz w:val="24"/>
          <w:szCs w:val="24"/>
          <w:highlight w:val="none"/>
          <w:lang w:val="en-US" w:eastAsia="zh-CN"/>
        </w:rPr>
        <w:t>7</w:t>
      </w:r>
      <w:r>
        <w:rPr>
          <w:rFonts w:hint="eastAsia"/>
          <w:color w:val="auto"/>
          <w:sz w:val="24"/>
          <w:szCs w:val="24"/>
          <w:highlight w:val="none"/>
        </w:rPr>
        <w:t>.1合同终止条款</w:t>
      </w:r>
      <w:bookmarkEnd w:id="147"/>
    </w:p>
    <w:p w14:paraId="2F3875CA">
      <w:pPr>
        <w:pStyle w:val="20"/>
        <w:pageBreakBefore w:val="0"/>
        <w:kinsoku/>
        <w:wordWrap/>
        <w:overflowPunct/>
        <w:autoSpaceDE/>
        <w:autoSpaceDN/>
        <w:bidi w:val="0"/>
        <w:spacing w:beforeAutospacing="0" w:afterAutospacing="0" w:line="360" w:lineRule="auto"/>
        <w:ind w:firstLine="418" w:firstLineChars="166"/>
        <w:rPr>
          <w:rFonts w:hint="eastAsia"/>
          <w:color w:val="auto"/>
          <w:sz w:val="24"/>
          <w:szCs w:val="24"/>
          <w:highlight w:val="none"/>
        </w:rPr>
      </w:pPr>
      <w:r>
        <w:rPr>
          <w:rFonts w:hint="eastAsia"/>
          <w:color w:val="auto"/>
          <w:sz w:val="24"/>
          <w:szCs w:val="24"/>
          <w:highlight w:val="none"/>
        </w:rPr>
        <w:t>若出现以下情况之一的，招标人有权终止合同并追究相关法律责任。</w:t>
      </w:r>
    </w:p>
    <w:p w14:paraId="4303A235">
      <w:pPr>
        <w:pStyle w:val="20"/>
        <w:pageBreakBefore w:val="0"/>
        <w:kinsoku/>
        <w:wordWrap/>
        <w:overflowPunct/>
        <w:autoSpaceDE/>
        <w:autoSpaceDN/>
        <w:bidi w:val="0"/>
        <w:spacing w:beforeAutospacing="0" w:afterAutospacing="0" w:line="360" w:lineRule="auto"/>
        <w:ind w:firstLine="418" w:firstLineChars="166"/>
        <w:rPr>
          <w:rFonts w:hint="eastAsia"/>
          <w:color w:val="auto"/>
          <w:sz w:val="24"/>
          <w:szCs w:val="24"/>
          <w:highlight w:val="none"/>
        </w:rPr>
      </w:pPr>
      <w:r>
        <w:rPr>
          <w:rFonts w:hint="eastAsia"/>
          <w:color w:val="auto"/>
          <w:sz w:val="24"/>
          <w:szCs w:val="24"/>
          <w:highlight w:val="none"/>
        </w:rPr>
        <w:t>1、合同履约期间内，累计出现一次一级安全事件。</w:t>
      </w:r>
    </w:p>
    <w:p w14:paraId="5CE62A76">
      <w:pPr>
        <w:pStyle w:val="20"/>
        <w:pageBreakBefore w:val="0"/>
        <w:kinsoku/>
        <w:wordWrap/>
        <w:overflowPunct/>
        <w:autoSpaceDE/>
        <w:autoSpaceDN/>
        <w:bidi w:val="0"/>
        <w:spacing w:beforeAutospacing="0" w:afterAutospacing="0" w:line="360" w:lineRule="auto"/>
        <w:ind w:firstLine="418" w:firstLineChars="166"/>
        <w:rPr>
          <w:rFonts w:hint="eastAsia"/>
          <w:color w:val="auto"/>
          <w:sz w:val="24"/>
          <w:szCs w:val="24"/>
          <w:highlight w:val="none"/>
        </w:rPr>
      </w:pPr>
      <w:r>
        <w:rPr>
          <w:rFonts w:hint="eastAsia"/>
          <w:color w:val="auto"/>
          <w:sz w:val="24"/>
          <w:szCs w:val="24"/>
          <w:highlight w:val="none"/>
        </w:rPr>
        <w:t>2、合同履约期间内，累计出现两次二级安全事件。</w:t>
      </w:r>
    </w:p>
    <w:p w14:paraId="14A842AB">
      <w:pPr>
        <w:pStyle w:val="20"/>
        <w:pageBreakBefore w:val="0"/>
        <w:kinsoku/>
        <w:wordWrap/>
        <w:overflowPunct/>
        <w:autoSpaceDE/>
        <w:autoSpaceDN/>
        <w:bidi w:val="0"/>
        <w:spacing w:beforeAutospacing="0" w:afterAutospacing="0" w:line="360" w:lineRule="auto"/>
        <w:ind w:firstLine="418" w:firstLineChars="166"/>
        <w:rPr>
          <w:rFonts w:hint="eastAsia"/>
          <w:color w:val="auto"/>
          <w:sz w:val="24"/>
          <w:szCs w:val="24"/>
          <w:highlight w:val="none"/>
        </w:rPr>
      </w:pPr>
      <w:r>
        <w:rPr>
          <w:rFonts w:hint="eastAsia"/>
          <w:color w:val="auto"/>
          <w:sz w:val="24"/>
          <w:szCs w:val="24"/>
          <w:highlight w:val="none"/>
        </w:rPr>
        <w:t>3、合同履约期间内，累计出现三次三级安全事件。</w:t>
      </w:r>
    </w:p>
    <w:p w14:paraId="610BBB16">
      <w:pPr>
        <w:pStyle w:val="20"/>
        <w:pageBreakBefore w:val="0"/>
        <w:kinsoku/>
        <w:wordWrap/>
        <w:overflowPunct/>
        <w:autoSpaceDE/>
        <w:autoSpaceDN/>
        <w:bidi w:val="0"/>
        <w:spacing w:beforeAutospacing="0" w:afterAutospacing="0" w:line="360" w:lineRule="auto"/>
        <w:ind w:firstLine="418" w:firstLineChars="166"/>
        <w:rPr>
          <w:rFonts w:hint="eastAsia"/>
          <w:color w:val="auto"/>
          <w:sz w:val="24"/>
          <w:szCs w:val="24"/>
          <w:highlight w:val="none"/>
        </w:rPr>
      </w:pPr>
      <w:r>
        <w:rPr>
          <w:rFonts w:hint="eastAsia"/>
          <w:color w:val="auto"/>
          <w:sz w:val="24"/>
          <w:szCs w:val="24"/>
          <w:highlight w:val="none"/>
        </w:rPr>
        <w:t>4、招标人有权对投标人项目参与人员进行面试或者考试（面试或者考试范围为项目工作内容），发现驻场人员资质或工作经验造假情况。</w:t>
      </w:r>
    </w:p>
    <w:p w14:paraId="2228C406">
      <w:pPr>
        <w:pStyle w:val="20"/>
        <w:pageBreakBefore w:val="0"/>
        <w:kinsoku/>
        <w:wordWrap/>
        <w:overflowPunct/>
        <w:autoSpaceDE/>
        <w:autoSpaceDN/>
        <w:bidi w:val="0"/>
        <w:spacing w:beforeAutospacing="0" w:afterAutospacing="0" w:line="360" w:lineRule="auto"/>
        <w:ind w:firstLine="418" w:firstLineChars="166"/>
        <w:rPr>
          <w:rFonts w:hint="eastAsia"/>
          <w:color w:val="auto"/>
          <w:sz w:val="24"/>
          <w:szCs w:val="24"/>
          <w:highlight w:val="none"/>
        </w:rPr>
      </w:pPr>
      <w:r>
        <w:rPr>
          <w:rFonts w:hint="eastAsia"/>
          <w:color w:val="auto"/>
          <w:sz w:val="24"/>
          <w:szCs w:val="24"/>
          <w:highlight w:val="none"/>
        </w:rPr>
        <w:t>5、投标人项目参与人员未经招标人书面同意而参加其他项目工作，或未经招标人书面同意更换项目参与人员数量超过总数比例20%。</w:t>
      </w:r>
    </w:p>
    <w:p w14:paraId="5B801DBA">
      <w:pPr>
        <w:pStyle w:val="20"/>
        <w:pageBreakBefore w:val="0"/>
        <w:kinsoku/>
        <w:wordWrap/>
        <w:overflowPunct/>
        <w:autoSpaceDE/>
        <w:autoSpaceDN/>
        <w:bidi w:val="0"/>
        <w:spacing w:beforeAutospacing="0" w:afterAutospacing="0" w:line="360" w:lineRule="auto"/>
        <w:ind w:firstLine="418" w:firstLineChars="166"/>
        <w:rPr>
          <w:rFonts w:hint="eastAsia"/>
          <w:color w:val="auto"/>
          <w:sz w:val="24"/>
          <w:szCs w:val="24"/>
          <w:highlight w:val="none"/>
        </w:rPr>
      </w:pPr>
      <w:r>
        <w:rPr>
          <w:rFonts w:hint="eastAsia"/>
          <w:color w:val="auto"/>
          <w:sz w:val="24"/>
          <w:szCs w:val="24"/>
          <w:highlight w:val="none"/>
        </w:rPr>
        <w:t>6、经招标人发出部门整改通知书3次或以上，或广州局整改通知书2次或以上。</w:t>
      </w:r>
    </w:p>
    <w:p w14:paraId="58DE9B21">
      <w:pPr>
        <w:pStyle w:val="20"/>
        <w:pageBreakBefore w:val="0"/>
        <w:kinsoku/>
        <w:wordWrap/>
        <w:overflowPunct/>
        <w:autoSpaceDE/>
        <w:autoSpaceDN/>
        <w:bidi w:val="0"/>
        <w:spacing w:beforeAutospacing="0" w:afterAutospacing="0" w:line="360" w:lineRule="auto"/>
        <w:ind w:firstLine="418" w:firstLineChars="166"/>
        <w:outlineLvl w:val="1"/>
        <w:rPr>
          <w:rFonts w:hint="eastAsia"/>
          <w:color w:val="auto"/>
          <w:sz w:val="24"/>
          <w:szCs w:val="24"/>
          <w:highlight w:val="none"/>
        </w:rPr>
      </w:pPr>
      <w:bookmarkStart w:id="148" w:name="_Toc8678"/>
      <w:r>
        <w:rPr>
          <w:rFonts w:hint="eastAsia"/>
          <w:color w:val="auto"/>
          <w:sz w:val="24"/>
          <w:szCs w:val="24"/>
          <w:highlight w:val="none"/>
        </w:rPr>
        <w:t>1</w:t>
      </w:r>
      <w:r>
        <w:rPr>
          <w:rFonts w:hint="eastAsia"/>
          <w:color w:val="auto"/>
          <w:sz w:val="24"/>
          <w:szCs w:val="24"/>
          <w:highlight w:val="none"/>
          <w:lang w:val="en-US" w:eastAsia="zh-CN"/>
        </w:rPr>
        <w:t>7</w:t>
      </w:r>
      <w:r>
        <w:rPr>
          <w:rFonts w:hint="eastAsia"/>
          <w:color w:val="auto"/>
          <w:sz w:val="24"/>
          <w:szCs w:val="24"/>
          <w:highlight w:val="none"/>
        </w:rPr>
        <w:t>.2评分扣款说明</w:t>
      </w:r>
      <w:bookmarkEnd w:id="148"/>
    </w:p>
    <w:p w14:paraId="3923E281">
      <w:pPr>
        <w:pStyle w:val="20"/>
        <w:pageBreakBefore w:val="0"/>
        <w:kinsoku/>
        <w:wordWrap/>
        <w:overflowPunct/>
        <w:autoSpaceDE/>
        <w:autoSpaceDN/>
        <w:bidi w:val="0"/>
        <w:spacing w:beforeAutospacing="0" w:afterAutospacing="0" w:line="360" w:lineRule="auto"/>
        <w:ind w:firstLine="418" w:firstLineChars="166"/>
        <w:rPr>
          <w:rFonts w:hint="eastAsia"/>
          <w:color w:val="auto"/>
          <w:sz w:val="24"/>
          <w:szCs w:val="24"/>
          <w:highlight w:val="none"/>
        </w:rPr>
      </w:pPr>
      <w:r>
        <w:rPr>
          <w:rFonts w:hint="eastAsia"/>
          <w:color w:val="auto"/>
          <w:sz w:val="24"/>
          <w:szCs w:val="24"/>
          <w:highlight w:val="none"/>
        </w:rPr>
        <w:t>在合同服务期结束前，招标人按照本协议对投标人的服务进行服务评价。如果评价结果低于80分，将视为投标人违约，招标人向投标人支付最后一期合同款项时，按照以下规则扣减一定比例后支付：</w:t>
      </w:r>
    </w:p>
    <w:p w14:paraId="0601B42F">
      <w:pPr>
        <w:pStyle w:val="20"/>
        <w:pageBreakBefore w:val="0"/>
        <w:kinsoku/>
        <w:wordWrap/>
        <w:overflowPunct/>
        <w:autoSpaceDE/>
        <w:autoSpaceDN/>
        <w:bidi w:val="0"/>
        <w:spacing w:beforeAutospacing="0" w:afterAutospacing="0" w:line="360" w:lineRule="auto"/>
        <w:ind w:firstLine="418" w:firstLineChars="166"/>
        <w:rPr>
          <w:rFonts w:hint="eastAsia"/>
          <w:color w:val="auto"/>
          <w:sz w:val="24"/>
          <w:szCs w:val="24"/>
          <w:highlight w:val="none"/>
        </w:rPr>
      </w:pPr>
      <w:r>
        <w:rPr>
          <w:rFonts w:hint="eastAsia"/>
          <w:color w:val="auto"/>
          <w:sz w:val="24"/>
          <w:szCs w:val="24"/>
          <w:highlight w:val="none"/>
        </w:rPr>
        <w:t>评价分数低于80分且不低于75分，则扣减合同总额的5%，具体金额以合同为准；</w:t>
      </w:r>
    </w:p>
    <w:p w14:paraId="7212E2AC">
      <w:pPr>
        <w:pStyle w:val="20"/>
        <w:pageBreakBefore w:val="0"/>
        <w:kinsoku/>
        <w:wordWrap/>
        <w:overflowPunct/>
        <w:autoSpaceDE/>
        <w:autoSpaceDN/>
        <w:bidi w:val="0"/>
        <w:spacing w:beforeAutospacing="0" w:afterAutospacing="0" w:line="360" w:lineRule="auto"/>
        <w:ind w:firstLine="418" w:firstLineChars="166"/>
        <w:rPr>
          <w:rFonts w:hint="eastAsia"/>
          <w:color w:val="auto"/>
          <w:sz w:val="24"/>
          <w:szCs w:val="24"/>
          <w:highlight w:val="none"/>
        </w:rPr>
      </w:pPr>
      <w:r>
        <w:rPr>
          <w:rFonts w:hint="eastAsia"/>
          <w:color w:val="auto"/>
          <w:sz w:val="24"/>
          <w:szCs w:val="24"/>
          <w:highlight w:val="none"/>
        </w:rPr>
        <w:t>评价分数低于75分且不低于70分，则扣减合同总额的10%，具体金额以合同为准；</w:t>
      </w:r>
    </w:p>
    <w:p w14:paraId="68D0269D">
      <w:pPr>
        <w:pStyle w:val="20"/>
        <w:pageBreakBefore w:val="0"/>
        <w:kinsoku/>
        <w:wordWrap/>
        <w:overflowPunct/>
        <w:autoSpaceDE/>
        <w:autoSpaceDN/>
        <w:bidi w:val="0"/>
        <w:spacing w:beforeAutospacing="0" w:afterAutospacing="0" w:line="360" w:lineRule="auto"/>
        <w:ind w:firstLine="418" w:firstLineChars="166"/>
        <w:rPr>
          <w:rFonts w:hint="eastAsia"/>
          <w:color w:val="auto"/>
          <w:sz w:val="24"/>
          <w:szCs w:val="24"/>
          <w:highlight w:val="none"/>
        </w:rPr>
      </w:pPr>
      <w:r>
        <w:rPr>
          <w:rFonts w:hint="eastAsia"/>
          <w:color w:val="auto"/>
          <w:sz w:val="24"/>
          <w:szCs w:val="24"/>
          <w:highlight w:val="none"/>
        </w:rPr>
        <w:t>评价分数低于70分且不低于65分，则扣减合同总额的15%，具体金额以合同为准；</w:t>
      </w:r>
    </w:p>
    <w:p w14:paraId="571784A5">
      <w:pPr>
        <w:pStyle w:val="20"/>
        <w:pageBreakBefore w:val="0"/>
        <w:kinsoku/>
        <w:wordWrap/>
        <w:overflowPunct/>
        <w:autoSpaceDE/>
        <w:autoSpaceDN/>
        <w:bidi w:val="0"/>
        <w:spacing w:beforeAutospacing="0" w:afterAutospacing="0" w:line="360" w:lineRule="auto"/>
        <w:ind w:firstLine="418" w:firstLineChars="166"/>
        <w:rPr>
          <w:rFonts w:hint="eastAsia"/>
          <w:color w:val="auto"/>
          <w:sz w:val="24"/>
          <w:szCs w:val="24"/>
          <w:highlight w:val="none"/>
        </w:rPr>
      </w:pPr>
      <w:r>
        <w:rPr>
          <w:rFonts w:hint="eastAsia"/>
          <w:color w:val="auto"/>
          <w:sz w:val="24"/>
          <w:szCs w:val="24"/>
          <w:highlight w:val="none"/>
        </w:rPr>
        <w:t>评价分数低于65分，则扣除合同总额的20%，具体金额以合同为准。</w:t>
      </w:r>
    </w:p>
    <w:p w14:paraId="350F1EAA">
      <w:pPr>
        <w:pStyle w:val="20"/>
        <w:pageBreakBefore w:val="0"/>
        <w:kinsoku/>
        <w:wordWrap/>
        <w:overflowPunct/>
        <w:autoSpaceDE/>
        <w:autoSpaceDN/>
        <w:bidi w:val="0"/>
        <w:spacing w:beforeAutospacing="0" w:afterAutospacing="0" w:line="360" w:lineRule="auto"/>
        <w:ind w:firstLine="418" w:firstLineChars="166"/>
        <w:rPr>
          <w:rFonts w:hint="eastAsia"/>
          <w:color w:val="auto"/>
          <w:sz w:val="24"/>
          <w:szCs w:val="24"/>
          <w:highlight w:val="none"/>
        </w:rPr>
      </w:pPr>
      <w:r>
        <w:rPr>
          <w:rFonts w:hint="eastAsia"/>
          <w:color w:val="auto"/>
          <w:sz w:val="24"/>
          <w:szCs w:val="24"/>
          <w:highlight w:val="none"/>
        </w:rPr>
        <w:t>在本合同在执行过程中，如存在不确定因素导致投标人未按约定实施时长，则招标人有权根据实际工作量签订补充协议延长服务期或扣减相应合同金额。</w:t>
      </w:r>
    </w:p>
    <w:p w14:paraId="46293B2D">
      <w:pPr>
        <w:pStyle w:val="4"/>
        <w:pageBreakBefore w:val="0"/>
        <w:kinsoku/>
        <w:wordWrap/>
        <w:overflowPunct/>
        <w:autoSpaceDE/>
        <w:autoSpaceDN/>
        <w:bidi w:val="0"/>
        <w:spacing w:beforeAutospacing="0" w:afterAutospacing="0" w:line="360" w:lineRule="auto"/>
        <w:outlineLvl w:val="0"/>
        <w:rPr>
          <w:rFonts w:hint="eastAsia" w:asciiTheme="minorEastAsia" w:hAnsiTheme="minorEastAsia" w:eastAsiaTheme="minorEastAsia" w:cstheme="minorEastAsia"/>
          <w:b/>
          <w:bCs/>
          <w:color w:val="auto"/>
          <w:highlight w:val="none"/>
        </w:rPr>
      </w:pPr>
      <w:bookmarkStart w:id="149" w:name="_Toc14973"/>
      <w:r>
        <w:rPr>
          <w:rFonts w:hint="eastAsia" w:asciiTheme="minorEastAsia" w:hAnsiTheme="minorEastAsia" w:eastAsiaTheme="minorEastAsia" w:cstheme="minorEastAsia"/>
          <w:b/>
          <w:bCs/>
          <w:color w:val="auto"/>
          <w:highlight w:val="none"/>
        </w:rPr>
        <w:t>效力说明</w:t>
      </w:r>
      <w:bookmarkEnd w:id="149"/>
    </w:p>
    <w:p w14:paraId="52837287">
      <w:pPr>
        <w:pStyle w:val="20"/>
        <w:pageBreakBefore w:val="0"/>
        <w:kinsoku/>
        <w:wordWrap/>
        <w:overflowPunct/>
        <w:autoSpaceDE/>
        <w:autoSpaceDN/>
        <w:bidi w:val="0"/>
        <w:spacing w:beforeAutospacing="0" w:afterAutospacing="0" w:line="360" w:lineRule="auto"/>
        <w:ind w:firstLine="418" w:firstLineChars="166"/>
        <w:rPr>
          <w:rFonts w:hint="eastAsia"/>
          <w:color w:val="auto"/>
          <w:sz w:val="24"/>
          <w:szCs w:val="24"/>
          <w:highlight w:val="none"/>
        </w:rPr>
      </w:pPr>
      <w:r>
        <w:rPr>
          <w:rFonts w:hint="eastAsia"/>
          <w:color w:val="auto"/>
          <w:sz w:val="24"/>
          <w:szCs w:val="24"/>
          <w:highlight w:val="none"/>
        </w:rPr>
        <w:t>本技术规范书作为招标方案的附件，与招标方案具有同等法律效力。</w:t>
      </w:r>
    </w:p>
    <w:p w14:paraId="19DD8A50">
      <w:pPr>
        <w:pStyle w:val="20"/>
        <w:ind w:left="0" w:leftChars="0" w:firstLine="0" w:firstLineChars="0"/>
        <w:rPr>
          <w:rFonts w:hint="eastAsia"/>
          <w:color w:val="auto"/>
          <w:sz w:val="24"/>
          <w:szCs w:val="24"/>
          <w:highlight w:val="none"/>
        </w:rPr>
      </w:pPr>
    </w:p>
    <w:p w14:paraId="3AFFB019">
      <w:pPr>
        <w:pStyle w:val="20"/>
        <w:ind w:firstLine="418" w:firstLineChars="166"/>
        <w:rPr>
          <w:rFonts w:hint="eastAsia" w:asciiTheme="minorEastAsia" w:hAnsiTheme="minorEastAsia" w:cstheme="minorEastAsia"/>
          <w:color w:val="auto"/>
          <w:sz w:val="24"/>
          <w:szCs w:val="24"/>
          <w:highlight w:val="none"/>
        </w:rPr>
      </w:pPr>
      <w:r>
        <w:rPr>
          <w:rFonts w:hint="eastAsia"/>
          <w:color w:val="auto"/>
          <w:sz w:val="24"/>
          <w:szCs w:val="24"/>
          <w:highlight w:val="none"/>
        </w:rPr>
        <w:t>（以下无正文）</w:t>
      </w:r>
    </w:p>
    <w:sectPr>
      <w:headerReference r:id="rId4" w:type="default"/>
      <w:footerReference r:id="rId5"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altName w:val="宋体"/>
    <w:panose1 w:val="02010600040101010101"/>
    <w:charset w:val="86"/>
    <w:family w:val="auto"/>
    <w:pitch w:val="default"/>
    <w:sig w:usb0="00000000" w:usb1="00000000" w:usb2="00000000" w:usb3="00000000" w:csb0="0004009F" w:csb1="DFD70000"/>
  </w:font>
  <w:font w:name="Futura Bk">
    <w:altName w:val="Segoe Print"/>
    <w:panose1 w:val="00000000000000000000"/>
    <w:charset w:val="00"/>
    <w:family w:val="auto"/>
    <w:pitch w:val="default"/>
    <w:sig w:usb0="00000000" w:usb1="00000000" w:usb2="00000000" w:usb3="00000000" w:csb0="000001FB"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D5F33E">
    <w:pPr>
      <w:pStyle w:val="1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240EDE">
    <w:pPr>
      <w:pStyle w:val="10"/>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4EABB71">
                          <w:pPr>
                            <w:pStyle w:val="10"/>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14:paraId="44EABB71">
                    <w:pPr>
                      <w:pStyle w:val="10"/>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D37E15">
    <w:pPr>
      <w:pStyle w:val="1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FE84F1F"/>
    <w:multiLevelType w:val="multilevel"/>
    <w:tmpl w:val="DFE84F1F"/>
    <w:lvl w:ilvl="0" w:tentative="0">
      <w:start w:val="1"/>
      <w:numFmt w:val="decimal"/>
      <w:suff w:val="nothing"/>
      <w:lvlText w:val="%1"/>
      <w:lvlJc w:val="left"/>
      <w:pPr>
        <w:tabs>
          <w:tab w:val="left" w:pos="1151"/>
        </w:tabs>
        <w:ind w:left="0" w:firstLine="0"/>
      </w:pPr>
      <w:rPr>
        <w:rFonts w:hint="default"/>
      </w:rPr>
    </w:lvl>
    <w:lvl w:ilvl="1" w:tentative="0">
      <w:start w:val="1"/>
      <w:numFmt w:val="decimal"/>
      <w:suff w:val="nothing"/>
      <w:lvlText w:val="%1.%2"/>
      <w:lvlJc w:val="left"/>
      <w:pPr>
        <w:tabs>
          <w:tab w:val="left" w:pos="1151"/>
        </w:tabs>
        <w:ind w:left="0" w:firstLine="0"/>
      </w:pPr>
      <w:rPr>
        <w:rFonts w:hint="default"/>
      </w:rPr>
    </w:lvl>
    <w:lvl w:ilvl="2" w:tentative="0">
      <w:start w:val="1"/>
      <w:numFmt w:val="decimal"/>
      <w:suff w:val="nothing"/>
      <w:lvlText w:val="%1.%2.%3"/>
      <w:lvlJc w:val="left"/>
      <w:pPr>
        <w:tabs>
          <w:tab w:val="left" w:pos="1151"/>
        </w:tabs>
        <w:ind w:left="0" w:firstLine="0"/>
      </w:pPr>
      <w:rPr>
        <w:rFonts w:hint="default"/>
      </w:rPr>
    </w:lvl>
    <w:lvl w:ilvl="3" w:tentative="0">
      <w:start w:val="1"/>
      <w:numFmt w:val="decimal"/>
      <w:pStyle w:val="7"/>
      <w:suff w:val="nothing"/>
      <w:lvlText w:val="%1.%2.%3.%4"/>
      <w:lvlJc w:val="left"/>
      <w:pPr>
        <w:tabs>
          <w:tab w:val="left" w:pos="420"/>
        </w:tabs>
        <w:ind w:left="630" w:firstLine="0"/>
      </w:pPr>
      <w:rPr>
        <w:rFonts w:hint="default"/>
        <w:color w:val="auto"/>
      </w:rPr>
    </w:lvl>
    <w:lvl w:ilvl="4" w:tentative="0">
      <w:start w:val="1"/>
      <w:numFmt w:val="decimal"/>
      <w:suff w:val="nothing"/>
      <w:lvlText w:val="%1.%2.%3.%4.%5"/>
      <w:lvlJc w:val="left"/>
      <w:pPr>
        <w:tabs>
          <w:tab w:val="left" w:pos="420"/>
        </w:tabs>
        <w:ind w:left="0" w:firstLine="0"/>
      </w:pPr>
      <w:rPr>
        <w:rFonts w:hint="default"/>
      </w:rPr>
    </w:lvl>
    <w:lvl w:ilvl="5" w:tentative="0">
      <w:start w:val="1"/>
      <w:numFmt w:val="decimal"/>
      <w:suff w:val="nothing"/>
      <w:lvlText w:val="%1.%2.%3.%4.%5.%6"/>
      <w:lvlJc w:val="left"/>
      <w:pPr>
        <w:tabs>
          <w:tab w:val="left" w:pos="1151"/>
        </w:tabs>
        <w:ind w:left="0" w:firstLine="0"/>
      </w:pPr>
      <w:rPr>
        <w:rFonts w:hint="default"/>
      </w:rPr>
    </w:lvl>
    <w:lvl w:ilvl="6" w:tentative="0">
      <w:start w:val="1"/>
      <w:numFmt w:val="decimal"/>
      <w:suff w:val="nothing"/>
      <w:lvlText w:val="%1.%2.%3.%4.%5.%6.%7"/>
      <w:lvlJc w:val="left"/>
      <w:pPr>
        <w:tabs>
          <w:tab w:val="left" w:pos="420"/>
        </w:tabs>
        <w:ind w:left="0" w:firstLine="0"/>
      </w:pPr>
      <w:rPr>
        <w:rFonts w:hint="default"/>
      </w:rPr>
    </w:lvl>
    <w:lvl w:ilvl="7" w:tentative="0">
      <w:start w:val="1"/>
      <w:numFmt w:val="decimal"/>
      <w:suff w:val="nothing"/>
      <w:lvlText w:val="%1.%2.%3.%4.%5.%6.%7.%8"/>
      <w:lvlJc w:val="left"/>
      <w:pPr>
        <w:tabs>
          <w:tab w:val="left" w:pos="420"/>
        </w:tabs>
        <w:ind w:left="0" w:firstLine="0"/>
      </w:pPr>
      <w:rPr>
        <w:rFonts w:hint="default"/>
      </w:rPr>
    </w:lvl>
    <w:lvl w:ilvl="8" w:tentative="0">
      <w:start w:val="1"/>
      <w:numFmt w:val="decimal"/>
      <w:suff w:val="nothing"/>
      <w:lvlText w:val="%1.%2.%3.%4.%5.%6.%7.%8.%9"/>
      <w:lvlJc w:val="left"/>
      <w:pPr>
        <w:tabs>
          <w:tab w:val="left" w:pos="420"/>
        </w:tabs>
        <w:ind w:left="0" w:firstLine="0"/>
      </w:pPr>
      <w:rPr>
        <w:rFonts w:hint="default"/>
      </w:rPr>
    </w:lvl>
  </w:abstractNum>
  <w:abstractNum w:abstractNumId="1">
    <w:nsid w:val="E4505DEB"/>
    <w:multiLevelType w:val="singleLevel"/>
    <w:tmpl w:val="E4505DEB"/>
    <w:lvl w:ilvl="0" w:tentative="0">
      <w:start w:val="1"/>
      <w:numFmt w:val="decimal"/>
      <w:lvlText w:val="%1."/>
      <w:lvlJc w:val="left"/>
      <w:pPr>
        <w:ind w:left="425" w:hanging="425"/>
      </w:pPr>
      <w:rPr>
        <w:rFonts w:hint="default"/>
      </w:rPr>
    </w:lvl>
  </w:abstractNum>
  <w:abstractNum w:abstractNumId="2">
    <w:nsid w:val="F97C7342"/>
    <w:multiLevelType w:val="singleLevel"/>
    <w:tmpl w:val="F97C7342"/>
    <w:lvl w:ilvl="0" w:tentative="0">
      <w:start w:val="1"/>
      <w:numFmt w:val="decimal"/>
      <w:lvlText w:val="%1."/>
      <w:lvlJc w:val="left"/>
      <w:pPr>
        <w:ind w:left="425" w:hanging="425"/>
      </w:pPr>
      <w:rPr>
        <w:rFonts w:hint="default"/>
      </w:rPr>
    </w:lvl>
  </w:abstractNum>
  <w:abstractNum w:abstractNumId="3">
    <w:nsid w:val="FD5CEB9C"/>
    <w:multiLevelType w:val="singleLevel"/>
    <w:tmpl w:val="FD5CEB9C"/>
    <w:lvl w:ilvl="0" w:tentative="0">
      <w:start w:val="6"/>
      <w:numFmt w:val="chineseCounting"/>
      <w:suff w:val="nothing"/>
      <w:lvlText w:val="（%1）"/>
      <w:lvlJc w:val="left"/>
      <w:rPr>
        <w:rFonts w:hint="eastAsia"/>
      </w:rPr>
    </w:lvl>
  </w:abstractNum>
  <w:abstractNum w:abstractNumId="4">
    <w:nsid w:val="0DB6FFB3"/>
    <w:multiLevelType w:val="singleLevel"/>
    <w:tmpl w:val="0DB6FFB3"/>
    <w:lvl w:ilvl="0" w:tentative="0">
      <w:start w:val="1"/>
      <w:numFmt w:val="decimal"/>
      <w:lvlText w:val="%1."/>
      <w:lvlJc w:val="left"/>
      <w:pPr>
        <w:ind w:left="425" w:hanging="425"/>
      </w:pPr>
      <w:rPr>
        <w:rFonts w:hint="default"/>
      </w:rPr>
    </w:lvl>
  </w:abstractNum>
  <w:abstractNum w:abstractNumId="5">
    <w:nsid w:val="2DE647AF"/>
    <w:multiLevelType w:val="singleLevel"/>
    <w:tmpl w:val="2DE647AF"/>
    <w:lvl w:ilvl="0" w:tentative="0">
      <w:start w:val="1"/>
      <w:numFmt w:val="decimal"/>
      <w:lvlText w:val="%1."/>
      <w:lvlJc w:val="left"/>
      <w:pPr>
        <w:ind w:left="425" w:hanging="425"/>
      </w:pPr>
      <w:rPr>
        <w:rFonts w:hint="default"/>
      </w:rPr>
    </w:lvl>
  </w:abstractNum>
  <w:abstractNum w:abstractNumId="6">
    <w:nsid w:val="372667F7"/>
    <w:multiLevelType w:val="multilevel"/>
    <w:tmpl w:val="372667F7"/>
    <w:lvl w:ilvl="0" w:tentative="0">
      <w:start w:val="1"/>
      <w:numFmt w:val="chineseCountingThousand"/>
      <w:suff w:val="nothing"/>
      <w:lvlText w:val="第%1章"/>
      <w:lvlJc w:val="left"/>
      <w:pPr>
        <w:ind w:left="0" w:firstLine="0"/>
      </w:pPr>
      <w:rPr>
        <w:rFonts w:hint="eastAsia"/>
        <w:i w:val="0"/>
      </w:rPr>
    </w:lvl>
    <w:lvl w:ilvl="1" w:tentative="0">
      <w:start w:val="1"/>
      <w:numFmt w:val="chineseCountingThousand"/>
      <w:pStyle w:val="4"/>
      <w:suff w:val="nothing"/>
      <w:lvlText w:val="%2、"/>
      <w:lvlJc w:val="left"/>
      <w:pPr>
        <w:ind w:left="0" w:firstLine="0"/>
      </w:pPr>
      <w:rPr>
        <w:rFonts w:hint="eastAsia"/>
        <w:i w:val="0"/>
      </w:rPr>
    </w:lvl>
    <w:lvl w:ilvl="2" w:tentative="0">
      <w:start w:val="1"/>
      <w:numFmt w:val="decimal"/>
      <w:pStyle w:val="5"/>
      <w:isLgl/>
      <w:lvlText w:val="%2.%3"/>
      <w:lvlJc w:val="left"/>
      <w:pPr>
        <w:ind w:left="142" w:firstLine="0"/>
      </w:pPr>
      <w:rPr>
        <w:rFonts w:hint="eastAsia"/>
      </w:rPr>
    </w:lvl>
    <w:lvl w:ilvl="3" w:tentative="0">
      <w:start w:val="1"/>
      <w:numFmt w:val="decimal"/>
      <w:isLgl/>
      <w:suff w:val="space"/>
      <w:lvlText w:val="%2.%3.%4"/>
      <w:lvlJc w:val="left"/>
      <w:pPr>
        <w:ind w:left="0" w:firstLine="454"/>
      </w:pPr>
      <w:rPr>
        <w:rFonts w:hint="eastAsia"/>
        <w:b/>
      </w:rPr>
    </w:lvl>
    <w:lvl w:ilvl="4" w:tentative="0">
      <w:start w:val="1"/>
      <w:numFmt w:val="decimal"/>
      <w:isLgl/>
      <w:suff w:val="space"/>
      <w:lvlText w:val="%2.%3.%4.%5"/>
      <w:lvlJc w:val="left"/>
      <w:pPr>
        <w:ind w:left="0" w:firstLine="454"/>
      </w:pPr>
      <w:rPr>
        <w:rFonts w:hint="default"/>
        <w:b/>
        <w:bCs/>
      </w:rPr>
    </w:lvl>
    <w:lvl w:ilvl="5" w:tentative="0">
      <w:start w:val="1"/>
      <w:numFmt w:val="decimal"/>
      <w:isLgl/>
      <w:suff w:val="nothing"/>
      <w:lvlText w:val="%2.%3.%4.%5.%6"/>
      <w:lvlJc w:val="left"/>
      <w:pPr>
        <w:ind w:left="0" w:firstLine="0"/>
      </w:pPr>
      <w:rPr>
        <w:rFonts w:hint="eastAsia"/>
        <w:b/>
      </w:rPr>
    </w:lvl>
    <w:lvl w:ilvl="6" w:tentative="0">
      <w:start w:val="1"/>
      <w:numFmt w:val="decimal"/>
      <w:isLgl/>
      <w:suff w:val="space"/>
      <w:lvlText w:val="%2.%3.%4.%5.%6.%7"/>
      <w:lvlJc w:val="left"/>
      <w:pPr>
        <w:ind w:left="0" w:firstLine="0"/>
      </w:pPr>
      <w:rPr>
        <w:rFonts w:hint="default" w:ascii="宋体" w:hAnsi="宋体" w:eastAsia="宋体" w:cs="Times New Roman"/>
        <w:b/>
        <w:bCs/>
        <w:i w:val="0"/>
        <w:iCs w:val="0"/>
        <w:caps w:val="0"/>
        <w:smallCaps w:val="0"/>
        <w:strike w:val="0"/>
        <w:dstrike w:val="0"/>
        <w:vanish w:val="0"/>
        <w:color w:val="000000"/>
        <w:spacing w:val="0"/>
        <w:position w:val="0"/>
        <w:u w:val="none"/>
        <w:vertAlign w:val="baseline"/>
      </w:rPr>
    </w:lvl>
    <w:lvl w:ilvl="7" w:tentative="0">
      <w:start w:val="1"/>
      <w:numFmt w:val="decimal"/>
      <w:suff w:val="space"/>
      <w:lvlText w:val="3.%3.%4.%5.%6.%7.%8"/>
      <w:lvlJc w:val="left"/>
      <w:pPr>
        <w:ind w:left="0" w:firstLine="0"/>
      </w:pPr>
      <w:rPr>
        <w:rFonts w:hint="default" w:ascii="宋体" w:hAnsi="宋体" w:eastAsia="宋体"/>
        <w:b/>
        <w:bCs/>
        <w:i w:val="0"/>
      </w:rPr>
    </w:lvl>
    <w:lvl w:ilvl="8" w:tentative="0">
      <w:start w:val="1"/>
      <w:numFmt w:val="decimal"/>
      <w:suff w:val="nothing"/>
      <w:lvlText w:val="3.%3.%4.%5.%6.%7.%8.%9"/>
      <w:lvlJc w:val="left"/>
      <w:pPr>
        <w:ind w:left="0" w:firstLine="0"/>
      </w:pPr>
      <w:rPr>
        <w:rFonts w:hint="eastAsia"/>
      </w:rPr>
    </w:lvl>
  </w:abstractNum>
  <w:abstractNum w:abstractNumId="7">
    <w:nsid w:val="673BF52D"/>
    <w:multiLevelType w:val="singleLevel"/>
    <w:tmpl w:val="673BF52D"/>
    <w:lvl w:ilvl="0" w:tentative="0">
      <w:start w:val="1"/>
      <w:numFmt w:val="decimal"/>
      <w:suff w:val="nothing"/>
      <w:lvlText w:val="（%1）"/>
      <w:lvlJc w:val="left"/>
    </w:lvl>
  </w:abstractNum>
  <w:abstractNum w:abstractNumId="8">
    <w:nsid w:val="6DA322BD"/>
    <w:multiLevelType w:val="singleLevel"/>
    <w:tmpl w:val="6DA322BD"/>
    <w:lvl w:ilvl="0" w:tentative="0">
      <w:start w:val="1"/>
      <w:numFmt w:val="bullet"/>
      <w:lvlText w:val=""/>
      <w:lvlJc w:val="left"/>
      <w:pPr>
        <w:ind w:left="420" w:hanging="420"/>
      </w:pPr>
      <w:rPr>
        <w:rFonts w:hint="default" w:ascii="Wingdings" w:hAnsi="Wingdings"/>
      </w:rPr>
    </w:lvl>
  </w:abstractNum>
  <w:num w:numId="1">
    <w:abstractNumId w:val="6"/>
  </w:num>
  <w:num w:numId="2">
    <w:abstractNumId w:val="0"/>
  </w:num>
  <w:num w:numId="3">
    <w:abstractNumId w:val="5"/>
  </w:num>
  <w:num w:numId="4">
    <w:abstractNumId w:val="7"/>
  </w:num>
  <w:num w:numId="5">
    <w:abstractNumId w:val="8"/>
  </w:num>
  <w:num w:numId="6">
    <w:abstractNumId w:val="3"/>
  </w:num>
  <w:num w:numId="7">
    <w:abstractNumId w:val="4"/>
  </w:num>
  <w:num w:numId="8">
    <w:abstractNumId w:val="2"/>
  </w:num>
  <w:num w:numId="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kxODA0ZThjMzJiYmM1ZGMzM2UzOTI3Mzc4ODc4ZjQifQ=="/>
  </w:docVars>
  <w:rsids>
    <w:rsidRoot w:val="351777D0"/>
    <w:rsid w:val="000067D0"/>
    <w:rsid w:val="00022276"/>
    <w:rsid w:val="000328CF"/>
    <w:rsid w:val="0005762B"/>
    <w:rsid w:val="000942B7"/>
    <w:rsid w:val="00095207"/>
    <w:rsid w:val="000A42C4"/>
    <w:rsid w:val="000E4FA0"/>
    <w:rsid w:val="000F7E7B"/>
    <w:rsid w:val="00102141"/>
    <w:rsid w:val="0010325E"/>
    <w:rsid w:val="001169AF"/>
    <w:rsid w:val="00116E21"/>
    <w:rsid w:val="00126655"/>
    <w:rsid w:val="001305EA"/>
    <w:rsid w:val="00132246"/>
    <w:rsid w:val="001A637F"/>
    <w:rsid w:val="001B2E52"/>
    <w:rsid w:val="0020404A"/>
    <w:rsid w:val="0020637E"/>
    <w:rsid w:val="0021483D"/>
    <w:rsid w:val="00225C3C"/>
    <w:rsid w:val="00226796"/>
    <w:rsid w:val="0024003F"/>
    <w:rsid w:val="00280FD6"/>
    <w:rsid w:val="00290B06"/>
    <w:rsid w:val="002A4EC3"/>
    <w:rsid w:val="002D6B37"/>
    <w:rsid w:val="00306542"/>
    <w:rsid w:val="0034575E"/>
    <w:rsid w:val="0037697A"/>
    <w:rsid w:val="00395B41"/>
    <w:rsid w:val="0039760A"/>
    <w:rsid w:val="003B4D06"/>
    <w:rsid w:val="003E61DE"/>
    <w:rsid w:val="00424F28"/>
    <w:rsid w:val="004352C0"/>
    <w:rsid w:val="00473F87"/>
    <w:rsid w:val="004777C1"/>
    <w:rsid w:val="00491657"/>
    <w:rsid w:val="00495652"/>
    <w:rsid w:val="004B5B42"/>
    <w:rsid w:val="004C2DF9"/>
    <w:rsid w:val="004D4E71"/>
    <w:rsid w:val="004E3E48"/>
    <w:rsid w:val="00540BE8"/>
    <w:rsid w:val="00572B96"/>
    <w:rsid w:val="005B559C"/>
    <w:rsid w:val="005F3A9D"/>
    <w:rsid w:val="00631290"/>
    <w:rsid w:val="0065197E"/>
    <w:rsid w:val="00656D89"/>
    <w:rsid w:val="0066367F"/>
    <w:rsid w:val="006D379B"/>
    <w:rsid w:val="006E39AB"/>
    <w:rsid w:val="006F50C3"/>
    <w:rsid w:val="00746611"/>
    <w:rsid w:val="007751D5"/>
    <w:rsid w:val="007B3963"/>
    <w:rsid w:val="007B4703"/>
    <w:rsid w:val="007E1360"/>
    <w:rsid w:val="007E2541"/>
    <w:rsid w:val="00813780"/>
    <w:rsid w:val="00814CCF"/>
    <w:rsid w:val="0081736C"/>
    <w:rsid w:val="00817CDB"/>
    <w:rsid w:val="00821465"/>
    <w:rsid w:val="0082165D"/>
    <w:rsid w:val="00852821"/>
    <w:rsid w:val="008B37E5"/>
    <w:rsid w:val="008D7BAD"/>
    <w:rsid w:val="008E729A"/>
    <w:rsid w:val="00933A39"/>
    <w:rsid w:val="00942912"/>
    <w:rsid w:val="00954418"/>
    <w:rsid w:val="0096056D"/>
    <w:rsid w:val="0096321F"/>
    <w:rsid w:val="00983AAC"/>
    <w:rsid w:val="009B1FDA"/>
    <w:rsid w:val="009C0AB3"/>
    <w:rsid w:val="009E16B9"/>
    <w:rsid w:val="009E4BAE"/>
    <w:rsid w:val="009F2365"/>
    <w:rsid w:val="00A43779"/>
    <w:rsid w:val="00A81CEF"/>
    <w:rsid w:val="00A91FB9"/>
    <w:rsid w:val="00A9216E"/>
    <w:rsid w:val="00AD354F"/>
    <w:rsid w:val="00AD44C4"/>
    <w:rsid w:val="00AE6E7D"/>
    <w:rsid w:val="00B132CD"/>
    <w:rsid w:val="00B67B6A"/>
    <w:rsid w:val="00B7630A"/>
    <w:rsid w:val="00B77D30"/>
    <w:rsid w:val="00B83E13"/>
    <w:rsid w:val="00BC5059"/>
    <w:rsid w:val="00BC6847"/>
    <w:rsid w:val="00BF56DC"/>
    <w:rsid w:val="00C26E3A"/>
    <w:rsid w:val="00C62F52"/>
    <w:rsid w:val="00C64087"/>
    <w:rsid w:val="00C76F77"/>
    <w:rsid w:val="00CC539E"/>
    <w:rsid w:val="00CF0FF1"/>
    <w:rsid w:val="00D103F5"/>
    <w:rsid w:val="00D14F97"/>
    <w:rsid w:val="00D15A06"/>
    <w:rsid w:val="00D3563F"/>
    <w:rsid w:val="00D35B10"/>
    <w:rsid w:val="00D47944"/>
    <w:rsid w:val="00D55D4A"/>
    <w:rsid w:val="00D6487E"/>
    <w:rsid w:val="00DC2A24"/>
    <w:rsid w:val="00E1389F"/>
    <w:rsid w:val="00E36336"/>
    <w:rsid w:val="00E52012"/>
    <w:rsid w:val="00E86A84"/>
    <w:rsid w:val="00EA1287"/>
    <w:rsid w:val="00EA2300"/>
    <w:rsid w:val="00F31909"/>
    <w:rsid w:val="00F4100E"/>
    <w:rsid w:val="00F544E5"/>
    <w:rsid w:val="00F56A72"/>
    <w:rsid w:val="00F929BE"/>
    <w:rsid w:val="00F94A7C"/>
    <w:rsid w:val="00FC3952"/>
    <w:rsid w:val="00FD32DA"/>
    <w:rsid w:val="00FD73AC"/>
    <w:rsid w:val="00FF2CBB"/>
    <w:rsid w:val="00FF5B56"/>
    <w:rsid w:val="016402B1"/>
    <w:rsid w:val="0167398B"/>
    <w:rsid w:val="01A63964"/>
    <w:rsid w:val="01F01F8D"/>
    <w:rsid w:val="02000A48"/>
    <w:rsid w:val="023F66B6"/>
    <w:rsid w:val="03C07382"/>
    <w:rsid w:val="03CF09DF"/>
    <w:rsid w:val="04967535"/>
    <w:rsid w:val="04DF0901"/>
    <w:rsid w:val="074A2BD9"/>
    <w:rsid w:val="0774295E"/>
    <w:rsid w:val="095B2C98"/>
    <w:rsid w:val="0A6F1B02"/>
    <w:rsid w:val="0DF2282E"/>
    <w:rsid w:val="0EEC1973"/>
    <w:rsid w:val="0EF66BD0"/>
    <w:rsid w:val="10B92E6B"/>
    <w:rsid w:val="1222745A"/>
    <w:rsid w:val="13D6264F"/>
    <w:rsid w:val="13E744B7"/>
    <w:rsid w:val="149C7246"/>
    <w:rsid w:val="15D941C5"/>
    <w:rsid w:val="161A0B74"/>
    <w:rsid w:val="161E2FF3"/>
    <w:rsid w:val="17AA4179"/>
    <w:rsid w:val="195E6FCA"/>
    <w:rsid w:val="1A9C424D"/>
    <w:rsid w:val="1D1603CE"/>
    <w:rsid w:val="1D4D182F"/>
    <w:rsid w:val="22BA4252"/>
    <w:rsid w:val="234B6811"/>
    <w:rsid w:val="24EF58C2"/>
    <w:rsid w:val="24EF6EE6"/>
    <w:rsid w:val="260333D3"/>
    <w:rsid w:val="261F3F85"/>
    <w:rsid w:val="2736766C"/>
    <w:rsid w:val="2A697EC4"/>
    <w:rsid w:val="2CFB087D"/>
    <w:rsid w:val="2EEB1A4A"/>
    <w:rsid w:val="306A027E"/>
    <w:rsid w:val="3290797B"/>
    <w:rsid w:val="34761214"/>
    <w:rsid w:val="351777D0"/>
    <w:rsid w:val="35AF70D3"/>
    <w:rsid w:val="36F9612C"/>
    <w:rsid w:val="385775AE"/>
    <w:rsid w:val="388A34DF"/>
    <w:rsid w:val="3A7C2A83"/>
    <w:rsid w:val="417321D3"/>
    <w:rsid w:val="44171202"/>
    <w:rsid w:val="449876F2"/>
    <w:rsid w:val="44DA139B"/>
    <w:rsid w:val="45E17DF6"/>
    <w:rsid w:val="4622744D"/>
    <w:rsid w:val="47AF6ABF"/>
    <w:rsid w:val="4A086171"/>
    <w:rsid w:val="4AA328A2"/>
    <w:rsid w:val="4C6B3845"/>
    <w:rsid w:val="4D7F7FB0"/>
    <w:rsid w:val="4E312AFC"/>
    <w:rsid w:val="4F55221A"/>
    <w:rsid w:val="4FF009B7"/>
    <w:rsid w:val="51A67C6B"/>
    <w:rsid w:val="52E635B0"/>
    <w:rsid w:val="53165C44"/>
    <w:rsid w:val="54AB503B"/>
    <w:rsid w:val="550B5550"/>
    <w:rsid w:val="55D122F6"/>
    <w:rsid w:val="56EA6EE3"/>
    <w:rsid w:val="575C0050"/>
    <w:rsid w:val="599C09A0"/>
    <w:rsid w:val="5A104331"/>
    <w:rsid w:val="5A726E5B"/>
    <w:rsid w:val="5E5835B4"/>
    <w:rsid w:val="5F8F74AA"/>
    <w:rsid w:val="60E05B3D"/>
    <w:rsid w:val="61917F48"/>
    <w:rsid w:val="61932B55"/>
    <w:rsid w:val="63C73F43"/>
    <w:rsid w:val="64023269"/>
    <w:rsid w:val="650D2777"/>
    <w:rsid w:val="65407922"/>
    <w:rsid w:val="65B02428"/>
    <w:rsid w:val="671E1F9A"/>
    <w:rsid w:val="69110934"/>
    <w:rsid w:val="69D73188"/>
    <w:rsid w:val="6AEB6A4D"/>
    <w:rsid w:val="6B3C7DBA"/>
    <w:rsid w:val="6D6F26C8"/>
    <w:rsid w:val="6DF36E56"/>
    <w:rsid w:val="6E5D0773"/>
    <w:rsid w:val="72F3455D"/>
    <w:rsid w:val="73722F12"/>
    <w:rsid w:val="759251A6"/>
    <w:rsid w:val="75F20A64"/>
    <w:rsid w:val="77DD4A9E"/>
    <w:rsid w:val="78E156B5"/>
    <w:rsid w:val="7A990D85"/>
    <w:rsid w:val="7B114DBF"/>
    <w:rsid w:val="7CB63E70"/>
    <w:rsid w:val="7FCF5B15"/>
    <w:rsid w:val="7FF87C7C"/>
    <w:rsid w:val="ADFB85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39"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2"/>
    <w:basedOn w:val="1"/>
    <w:next w:val="1"/>
    <w:qFormat/>
    <w:uiPriority w:val="0"/>
    <w:pPr>
      <w:keepNext/>
      <w:keepLines/>
      <w:numPr>
        <w:ilvl w:val="1"/>
        <w:numId w:val="1"/>
      </w:numPr>
      <w:spacing w:line="360" w:lineRule="auto"/>
      <w:outlineLvl w:val="1"/>
    </w:pPr>
    <w:rPr>
      <w:rFonts w:ascii="Arial" w:hAnsi="宋体" w:eastAsia="黑体"/>
      <w:sz w:val="24"/>
    </w:rPr>
  </w:style>
  <w:style w:type="paragraph" w:styleId="5">
    <w:name w:val="heading 3"/>
    <w:basedOn w:val="1"/>
    <w:next w:val="6"/>
    <w:qFormat/>
    <w:uiPriority w:val="0"/>
    <w:pPr>
      <w:keepNext/>
      <w:keepLines/>
      <w:numPr>
        <w:ilvl w:val="2"/>
        <w:numId w:val="1"/>
      </w:numPr>
      <w:spacing w:line="360" w:lineRule="auto"/>
      <w:outlineLvl w:val="2"/>
    </w:pPr>
    <w:rPr>
      <w:rFonts w:ascii="宋体" w:hAnsi="宋体"/>
      <w:b/>
      <w:bCs/>
      <w:szCs w:val="21"/>
    </w:rPr>
  </w:style>
  <w:style w:type="paragraph" w:styleId="7">
    <w:name w:val="heading 4"/>
    <w:basedOn w:val="1"/>
    <w:next w:val="1"/>
    <w:qFormat/>
    <w:uiPriority w:val="9"/>
    <w:pPr>
      <w:keepNext/>
      <w:keepLines/>
      <w:numPr>
        <w:ilvl w:val="3"/>
        <w:numId w:val="2"/>
      </w:numPr>
      <w:tabs>
        <w:tab w:val="left" w:pos="864"/>
        <w:tab w:val="left" w:pos="1151"/>
      </w:tabs>
      <w:topLinePunct/>
      <w:adjustRightInd w:val="0"/>
      <w:snapToGrid w:val="0"/>
      <w:textAlignment w:val="center"/>
      <w:outlineLvl w:val="3"/>
    </w:pPr>
    <w:rPr>
      <w:b/>
      <w:bCs/>
      <w:lang w:val="sv-SE"/>
    </w:rPr>
  </w:style>
  <w:style w:type="character" w:default="1" w:styleId="17">
    <w:name w:val="Default Paragraph Font"/>
    <w:semiHidden/>
    <w:unhideWhenUsed/>
    <w:qFormat/>
    <w:uiPriority w:val="1"/>
  </w:style>
  <w:style w:type="table" w:default="1" w:styleId="16">
    <w:name w:val="Normal Table"/>
    <w:semiHidden/>
    <w:unhideWhenUsed/>
    <w:qFormat/>
    <w:uiPriority w:val="99"/>
    <w:tblPr>
      <w:tblCellMar>
        <w:top w:w="0" w:type="dxa"/>
        <w:left w:w="108" w:type="dxa"/>
        <w:bottom w:w="0" w:type="dxa"/>
        <w:right w:w="108" w:type="dxa"/>
      </w:tblCellMar>
    </w:tblPr>
  </w:style>
  <w:style w:type="paragraph" w:styleId="2">
    <w:name w:val="Body Text"/>
    <w:basedOn w:val="3"/>
    <w:next w:val="3"/>
    <w:qFormat/>
    <w:uiPriority w:val="0"/>
    <w:pPr>
      <w:spacing w:after="120"/>
    </w:pPr>
  </w:style>
  <w:style w:type="paragraph" w:styleId="3">
    <w:name w:val="Title"/>
    <w:basedOn w:val="1"/>
    <w:next w:val="1"/>
    <w:qFormat/>
    <w:uiPriority w:val="0"/>
    <w:pPr>
      <w:widowControl/>
      <w:spacing w:before="240" w:after="60" w:line="560" w:lineRule="exact"/>
      <w:jc w:val="center"/>
      <w:outlineLvl w:val="0"/>
    </w:pPr>
    <w:rPr>
      <w:rFonts w:ascii="Arial" w:hAnsi="Arial" w:eastAsia="华文中宋"/>
      <w:b/>
      <w:bCs/>
      <w:color w:val="FF0000"/>
      <w:kern w:val="0"/>
      <w:sz w:val="116"/>
      <w:szCs w:val="32"/>
    </w:rPr>
  </w:style>
  <w:style w:type="paragraph" w:styleId="6">
    <w:name w:val="Normal Indent"/>
    <w:basedOn w:val="1"/>
    <w:qFormat/>
    <w:uiPriority w:val="0"/>
    <w:pPr>
      <w:ind w:firstLine="420" w:firstLineChars="200"/>
    </w:pPr>
  </w:style>
  <w:style w:type="paragraph" w:styleId="8">
    <w:name w:val="annotation text"/>
    <w:basedOn w:val="1"/>
    <w:link w:val="24"/>
    <w:qFormat/>
    <w:uiPriority w:val="0"/>
    <w:pPr>
      <w:jc w:val="left"/>
    </w:pPr>
  </w:style>
  <w:style w:type="paragraph" w:styleId="9">
    <w:name w:val="toc 3"/>
    <w:basedOn w:val="1"/>
    <w:next w:val="1"/>
    <w:qFormat/>
    <w:uiPriority w:val="39"/>
    <w:pPr>
      <w:ind w:left="420"/>
      <w:jc w:val="left"/>
    </w:pPr>
    <w:rPr>
      <w:i/>
      <w:iCs/>
      <w:sz w:val="20"/>
    </w:rPr>
  </w:style>
  <w:style w:type="paragraph" w:styleId="10">
    <w:name w:val="footer"/>
    <w:basedOn w:val="1"/>
    <w:qFormat/>
    <w:uiPriority w:val="0"/>
    <w:pPr>
      <w:tabs>
        <w:tab w:val="center" w:pos="4153"/>
        <w:tab w:val="right" w:pos="8306"/>
      </w:tabs>
      <w:snapToGrid w:val="0"/>
      <w:jc w:val="left"/>
    </w:pPr>
    <w:rPr>
      <w:sz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2">
    <w:name w:val="toc 1"/>
    <w:basedOn w:val="1"/>
    <w:next w:val="1"/>
    <w:qFormat/>
    <w:uiPriority w:val="39"/>
    <w:pPr>
      <w:spacing w:before="120" w:after="120"/>
      <w:jc w:val="left"/>
    </w:pPr>
    <w:rPr>
      <w:b/>
      <w:bCs/>
      <w:caps/>
      <w:sz w:val="20"/>
    </w:rPr>
  </w:style>
  <w:style w:type="paragraph" w:styleId="13">
    <w:name w:val="toc 2"/>
    <w:basedOn w:val="1"/>
    <w:next w:val="1"/>
    <w:qFormat/>
    <w:uiPriority w:val="39"/>
    <w:pPr>
      <w:ind w:left="210"/>
      <w:jc w:val="left"/>
    </w:pPr>
    <w:rPr>
      <w:smallCaps/>
      <w:sz w:val="20"/>
    </w:rPr>
  </w:style>
  <w:style w:type="paragraph" w:styleId="14">
    <w:name w:val="Normal (Web)"/>
    <w:basedOn w:val="1"/>
    <w:qFormat/>
    <w:uiPriority w:val="0"/>
    <w:rPr>
      <w:sz w:val="24"/>
    </w:rPr>
  </w:style>
  <w:style w:type="paragraph" w:styleId="15">
    <w:name w:val="annotation subject"/>
    <w:basedOn w:val="8"/>
    <w:next w:val="8"/>
    <w:link w:val="25"/>
    <w:qFormat/>
    <w:uiPriority w:val="0"/>
    <w:rPr>
      <w:b/>
      <w:bCs/>
    </w:rPr>
  </w:style>
  <w:style w:type="character" w:styleId="18">
    <w:name w:val="Strong"/>
    <w:basedOn w:val="17"/>
    <w:qFormat/>
    <w:uiPriority w:val="0"/>
    <w:rPr>
      <w:b/>
    </w:rPr>
  </w:style>
  <w:style w:type="character" w:styleId="19">
    <w:name w:val="annotation reference"/>
    <w:basedOn w:val="17"/>
    <w:qFormat/>
    <w:uiPriority w:val="0"/>
    <w:rPr>
      <w:sz w:val="21"/>
      <w:szCs w:val="21"/>
    </w:rPr>
  </w:style>
  <w:style w:type="paragraph" w:customStyle="1" w:styleId="20">
    <w:name w:val="6级正文"/>
    <w:basedOn w:val="1"/>
    <w:qFormat/>
    <w:uiPriority w:val="0"/>
    <w:pPr>
      <w:spacing w:line="360" w:lineRule="auto"/>
      <w:ind w:firstLine="444" w:firstLineChars="200"/>
    </w:pPr>
    <w:rPr>
      <w:rFonts w:ascii="宋体" w:hAnsi="宋体"/>
      <w:spacing w:val="6"/>
      <w:szCs w:val="21"/>
    </w:rPr>
  </w:style>
  <w:style w:type="paragraph" w:customStyle="1" w:styleId="21">
    <w:name w:val="GEDI正文(无编号)"/>
    <w:basedOn w:val="1"/>
    <w:qFormat/>
    <w:uiPriority w:val="0"/>
    <w:pPr>
      <w:adjustRightInd w:val="0"/>
      <w:snapToGrid w:val="0"/>
      <w:spacing w:line="360" w:lineRule="auto"/>
      <w:ind w:left="420"/>
    </w:pPr>
    <w:rPr>
      <w:rFonts w:hAnsi="宋体"/>
    </w:rPr>
  </w:style>
  <w:style w:type="paragraph" w:customStyle="1" w:styleId="22">
    <w:name w:val="Table"/>
    <w:basedOn w:val="1"/>
    <w:qFormat/>
    <w:uiPriority w:val="0"/>
    <w:pPr>
      <w:widowControl/>
      <w:spacing w:before="40" w:after="40"/>
      <w:jc w:val="left"/>
    </w:pPr>
    <w:rPr>
      <w:rFonts w:ascii="Futura Bk" w:hAnsi="Futura Bk" w:eastAsia="宋体" w:cs="Times New Roman"/>
      <w:kern w:val="0"/>
      <w:sz w:val="20"/>
      <w:szCs w:val="20"/>
      <w:lang w:eastAsia="en-US"/>
    </w:rPr>
  </w:style>
  <w:style w:type="paragraph" w:customStyle="1" w:styleId="23">
    <w:name w:val="修订1"/>
    <w:hidden/>
    <w:unhideWhenUsed/>
    <w:qFormat/>
    <w:uiPriority w:val="99"/>
    <w:rPr>
      <w:rFonts w:asciiTheme="minorHAnsi" w:hAnsiTheme="minorHAnsi" w:eastAsiaTheme="minorEastAsia" w:cstheme="minorBidi"/>
      <w:kern w:val="2"/>
      <w:sz w:val="21"/>
      <w:szCs w:val="24"/>
      <w:lang w:val="en-US" w:eastAsia="zh-CN" w:bidi="ar-SA"/>
    </w:rPr>
  </w:style>
  <w:style w:type="character" w:customStyle="1" w:styleId="24">
    <w:name w:val="批注文字 字符"/>
    <w:basedOn w:val="17"/>
    <w:link w:val="8"/>
    <w:qFormat/>
    <w:uiPriority w:val="0"/>
    <w:rPr>
      <w:rFonts w:asciiTheme="minorHAnsi" w:hAnsiTheme="minorHAnsi" w:eastAsiaTheme="minorEastAsia" w:cstheme="minorBidi"/>
      <w:kern w:val="2"/>
      <w:sz w:val="21"/>
      <w:szCs w:val="24"/>
    </w:rPr>
  </w:style>
  <w:style w:type="character" w:customStyle="1" w:styleId="25">
    <w:name w:val="批注主题 字符"/>
    <w:basedOn w:val="24"/>
    <w:link w:val="15"/>
    <w:qFormat/>
    <w:uiPriority w:val="0"/>
    <w:rPr>
      <w:rFonts w:asciiTheme="minorHAnsi" w:hAnsiTheme="minorHAnsi" w:eastAsiaTheme="minorEastAsia" w:cstheme="minorBidi"/>
      <w:b/>
      <w:bCs/>
      <w:kern w:val="2"/>
      <w:sz w:val="21"/>
      <w:szCs w:val="24"/>
    </w:rPr>
  </w:style>
  <w:style w:type="paragraph" w:customStyle="1" w:styleId="26">
    <w:name w:val="null3"/>
    <w:basedOn w:val="1"/>
    <w:qFormat/>
    <w:uiPriority w:val="0"/>
    <w:pPr>
      <w:widowControl/>
      <w:jc w:val="left"/>
    </w:pPr>
    <w:rPr>
      <w:rFonts w:ascii="Calibri" w:hAnsi="Calibri" w:eastAsia="宋体" w:cs="Times New Roman"/>
      <w:kern w:val="0"/>
      <w:sz w:val="20"/>
      <w:szCs w:val="20"/>
    </w:rPr>
  </w:style>
  <w:style w:type="paragraph" w:customStyle="1" w:styleId="27">
    <w:name w:val="修订2"/>
    <w:hidden/>
    <w:unhideWhenUsed/>
    <w:qFormat/>
    <w:uiPriority w:val="99"/>
    <w:rPr>
      <w:rFonts w:asciiTheme="minorHAnsi" w:hAnsiTheme="minorHAnsi" w:eastAsiaTheme="minorEastAsia" w:cstheme="minorBidi"/>
      <w:kern w:val="2"/>
      <w:sz w:val="21"/>
      <w:szCs w:val="24"/>
      <w:lang w:val="en-US" w:eastAsia="zh-CN" w:bidi="ar-SA"/>
    </w:rPr>
  </w:style>
  <w:style w:type="paragraph" w:customStyle="1" w:styleId="28">
    <w:name w:val="修订3"/>
    <w:hidden/>
    <w:unhideWhenUsed/>
    <w:qFormat/>
    <w:uiPriority w:val="99"/>
    <w:rPr>
      <w:rFonts w:asciiTheme="minorHAnsi" w:hAnsiTheme="minorHAnsi" w:eastAsiaTheme="minorEastAsia" w:cstheme="minorBidi"/>
      <w:kern w:val="2"/>
      <w:sz w:val="21"/>
      <w:szCs w:val="24"/>
      <w:lang w:val="en-US" w:eastAsia="zh-CN" w:bidi="ar-SA"/>
    </w:rPr>
  </w:style>
  <w:style w:type="paragraph" w:customStyle="1" w:styleId="29">
    <w:name w:val="Revision"/>
    <w:hidden/>
    <w:unhideWhenUsed/>
    <w:qFormat/>
    <w:uiPriority w:val="99"/>
    <w:rPr>
      <w:rFonts w:asciiTheme="minorHAnsi" w:hAnsiTheme="minorHAnsi" w:eastAsiaTheme="minorEastAsia" w:cstheme="minorBidi"/>
      <w:kern w:val="2"/>
      <w:sz w:val="21"/>
      <w:szCs w:val="24"/>
      <w:lang w:val="en-US" w:eastAsia="zh-CN" w:bidi="ar-SA"/>
    </w:rPr>
  </w:style>
  <w:style w:type="paragraph" w:customStyle="1" w:styleId="30">
    <w:name w:val="WPSOffice手动目录 1"/>
    <w:qFormat/>
    <w:uiPriority w:val="0"/>
    <w:pPr>
      <w:ind w:leftChars="0"/>
    </w:pPr>
    <w:rPr>
      <w:rFonts w:ascii="Times New Roman" w:hAnsi="Times New Roman" w:eastAsia="宋体" w:cs="Times New Roman"/>
      <w:sz w:val="20"/>
      <w:szCs w:val="20"/>
    </w:rPr>
  </w:style>
  <w:style w:type="paragraph" w:customStyle="1" w:styleId="31">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3.png"/><Relationship Id="rId8" Type="http://schemas.openxmlformats.org/officeDocument/2006/relationships/image" Target="media/image2.png"/><Relationship Id="rId7" Type="http://schemas.openxmlformats.org/officeDocument/2006/relationships/image" Target="media/image1.png"/><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52</Pages>
  <Words>28648</Words>
  <Characters>30409</Characters>
  <Lines>236</Lines>
  <Paragraphs>66</Paragraphs>
  <TotalTime>0</TotalTime>
  <ScaleCrop>false</ScaleCrop>
  <LinksUpToDate>false</LinksUpToDate>
  <CharactersWithSpaces>31618</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2026-02-26T18:16:00Z</dcterms:created>
  <dc:creator>我爱物理书</dc:creator>
  <cp:lastModifiedBy>张佳祺</cp:lastModifiedBy>
  <cp:lastPrinted>2026-02-14T00:41:00Z</cp:lastPrinted>
  <dcterms:modified xsi:type="dcterms:W3CDTF">2026-04-28T01:06:49Z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2052-12.8.2.21549</vt:lpwstr>
  </property>
  <property fmtid="{D5CDD505-2E9C-101B-9397-08002B2CF9AE}" pid="3" name="ICV">
    <vt:lpwstr>010EFCE4166249554EA3BC69E27AC5C3_43</vt:lpwstr>
  </property>
  <property fmtid="{D5CDD505-2E9C-101B-9397-08002B2CF9AE}" pid="4" name="KSOTemplateDocerSaveRecord">
    <vt:lpwstr>eyJoZGlkIjoiNWUyYzM0M2NkYzE0MTAzYTE4Y2FjYjIxNWI4ZTQzNmIiLCJ1c2VySWQiOiIzMTAwMTI2MTIifQ==</vt:lpwstr>
  </property>
</Properties>
</file>