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hd w:val="clear" w:color="auto" w:fill="FFFFFF"/>
        <w:spacing w:before="156" w:beforeLines="50" w:beforeAutospacing="0" w:after="156" w:afterLines="50" w:afterAutospacing="0" w:line="560" w:lineRule="exact"/>
        <w:jc w:val="center"/>
        <w:outlineLvl w:val="0"/>
        <w:rPr>
          <w:rFonts w:hint="eastAsia" w:cs="仿宋_GB2312"/>
          <w:b/>
          <w:sz w:val="44"/>
          <w:szCs w:val="44"/>
        </w:rPr>
      </w:pPr>
      <w:r>
        <w:rPr>
          <w:rFonts w:hint="eastAsia"/>
          <w:b/>
          <w:sz w:val="44"/>
          <w:szCs w:val="44"/>
        </w:rPr>
        <w:t>海口供电局</w:t>
      </w:r>
      <w:r>
        <w:rPr>
          <w:rFonts w:hint="eastAsia" w:cs="仿宋_GB2312"/>
          <w:b/>
          <w:sz w:val="44"/>
          <w:szCs w:val="44"/>
        </w:rPr>
        <w:t>2026</w:t>
      </w:r>
      <w:r>
        <w:rPr>
          <w:rFonts w:hint="eastAsia"/>
          <w:b/>
          <w:sz w:val="44"/>
          <w:szCs w:val="44"/>
        </w:rPr>
        <w:t>年常用管理工具应用培训</w:t>
      </w:r>
      <w:r>
        <w:rPr>
          <w:rFonts w:hint="eastAsia" w:cs="___WRD_EMBED_SUB_1294"/>
          <w:b/>
          <w:sz w:val="44"/>
          <w:szCs w:val="44"/>
        </w:rPr>
        <w:t>项目</w:t>
      </w:r>
      <w:r>
        <w:rPr>
          <w:rFonts w:hint="eastAsia" w:cs="仿宋_GB2312"/>
          <w:b/>
          <w:sz w:val="44"/>
          <w:szCs w:val="44"/>
        </w:rPr>
        <w:t>技术规范书</w:t>
      </w: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
          <w:sz w:val="32"/>
          <w:szCs w:val="32"/>
        </w:rPr>
      </w:pPr>
      <w:r>
        <w:rPr>
          <w:rFonts w:hint="eastAsia" w:ascii="黑体" w:hAnsi="黑体" w:eastAsia="黑体" w:cs="仿宋_GB2312"/>
          <w:sz w:val="32"/>
          <w:szCs w:val="32"/>
          <w:lang w:val="zh-CN"/>
        </w:rPr>
        <w:t>一、</w:t>
      </w:r>
      <w:bookmarkStart w:id="0" w:name="_Toc423360642"/>
      <w:bookmarkStart w:id="1" w:name="_Toc390164105"/>
      <w:bookmarkStart w:id="2" w:name="_Toc390762743"/>
      <w:bookmarkStart w:id="3" w:name="_Toc343919570"/>
      <w:bookmarkStart w:id="4" w:name="_Toc343919571"/>
      <w:bookmarkStart w:id="5" w:name="_Toc390164106"/>
      <w:r>
        <w:rPr>
          <w:rFonts w:hint="eastAsia" w:ascii="黑体" w:hAnsi="黑体" w:eastAsia="黑体" w:cs="仿宋"/>
          <w:sz w:val="32"/>
          <w:szCs w:val="32"/>
        </w:rPr>
        <w:t>项目概况</w:t>
      </w:r>
      <w:bookmarkEnd w:id="0"/>
      <w:bookmarkEnd w:id="1"/>
      <w:bookmarkEnd w:id="2"/>
      <w:bookmarkEnd w:id="3"/>
    </w:p>
    <w:p>
      <w:pPr>
        <w:outlineLvl w:val="1"/>
        <w:rPr>
          <w:rFonts w:hint="eastAsia" w:ascii="仿宋" w:hAnsi="仿宋" w:eastAsia="仿宋"/>
          <w:b/>
          <w:sz w:val="32"/>
        </w:rPr>
      </w:pPr>
      <w:bookmarkStart w:id="6" w:name="_Toc390762744"/>
      <w:bookmarkStart w:id="7" w:name="_Toc423360643"/>
      <w:r>
        <w:rPr>
          <w:rFonts w:hint="eastAsia" w:ascii="仿宋" w:hAnsi="仿宋" w:eastAsia="仿宋"/>
          <w:b/>
          <w:sz w:val="32"/>
        </w:rPr>
        <w:t>（一）背景及现状</w:t>
      </w:r>
      <w:bookmarkEnd w:id="4"/>
      <w:bookmarkEnd w:id="5"/>
      <w:bookmarkEnd w:id="6"/>
      <w:bookmarkEnd w:id="7"/>
    </w:p>
    <w:p>
      <w:pPr>
        <w:pStyle w:val="11"/>
        <w:spacing w:line="580" w:lineRule="exact"/>
        <w:ind w:firstLine="643"/>
        <w:textAlignment w:val="baseline"/>
        <w:outlineLvl w:val="2"/>
        <w:rPr>
          <w:rFonts w:hint="eastAsia" w:ascii="仿宋" w:hAnsi="仿宋" w:eastAsia="仿宋" w:cs="仿宋"/>
          <w:b/>
          <w:bCs/>
          <w:sz w:val="32"/>
          <w:szCs w:val="32"/>
        </w:rPr>
      </w:pPr>
      <w:r>
        <w:rPr>
          <w:rFonts w:hint="eastAsia" w:ascii="仿宋" w:hAnsi="仿宋" w:eastAsia="仿宋" w:cs="仿宋"/>
          <w:b/>
          <w:bCs/>
          <w:sz w:val="32"/>
          <w:szCs w:val="32"/>
        </w:rPr>
        <w:t>1</w:t>
      </w:r>
      <w:r>
        <w:rPr>
          <w:rFonts w:ascii="仿宋" w:hAnsi="仿宋" w:eastAsia="仿宋" w:cs="仿宋"/>
          <w:b/>
          <w:bCs/>
          <w:sz w:val="32"/>
          <w:szCs w:val="32"/>
        </w:rPr>
        <w:t>.</w:t>
      </w:r>
      <w:r>
        <w:rPr>
          <w:rFonts w:hint="eastAsia" w:ascii="仿宋" w:hAnsi="仿宋" w:eastAsia="仿宋" w:cs="仿宋"/>
          <w:b/>
          <w:bCs/>
          <w:sz w:val="32"/>
          <w:szCs w:val="32"/>
        </w:rPr>
        <w:t>项目背景</w:t>
      </w:r>
    </w:p>
    <w:p>
      <w:pPr>
        <w:spacing w:line="360" w:lineRule="auto"/>
        <w:ind w:firstLine="560" w:firstLineChars="200"/>
        <w:rPr>
          <w:rFonts w:ascii="Calibri" w:hAnsi="Calibri" w:eastAsia="仿宋"/>
        </w:rPr>
      </w:pPr>
      <w:r>
        <w:rPr>
          <w:rFonts w:hint="eastAsia" w:ascii="Calibri" w:hAnsi="Calibri" w:eastAsia="仿宋"/>
        </w:rPr>
        <w:t>为贯彻落实《中共中央国务院关于开展质量提升行动的指导意见》“坚持以企业为质量提升主体，加强全面质量管理，推广应用先进质量管理方法，提高全员全过程全方位质量控制水平”的有关精神，以及《中共海南省委海南省人民政府关于开展质量提升行动加快建设质量强省的实施意见》“大力开展质量提升行动，加快建设质量强省，全面提升我省质量总体水平，推动全省经济发展进入质量时代”的有关要求，海口供电局拟举办2026年管理工具应用大赛，提升海口供电局“新质生产力”和干部员工管理素养。</w:t>
      </w:r>
    </w:p>
    <w:p>
      <w:pPr>
        <w:pStyle w:val="11"/>
        <w:spacing w:after="156" w:afterLines="50" w:line="580" w:lineRule="exact"/>
        <w:ind w:firstLine="643"/>
        <w:textAlignment w:val="baseline"/>
        <w:outlineLvl w:val="2"/>
        <w:rPr>
          <w:rFonts w:hint="eastAsia" w:ascii="仿宋" w:hAnsi="仿宋" w:eastAsia="仿宋" w:cs="仿宋"/>
          <w:b/>
          <w:bCs/>
          <w:sz w:val="32"/>
          <w:szCs w:val="32"/>
        </w:rPr>
      </w:pPr>
      <w:r>
        <w:rPr>
          <w:rFonts w:hint="eastAsia" w:ascii="仿宋" w:hAnsi="仿宋" w:eastAsia="仿宋" w:cs="仿宋"/>
          <w:b/>
          <w:bCs/>
          <w:sz w:val="32"/>
          <w:szCs w:val="32"/>
        </w:rPr>
        <w:t>2</w:t>
      </w:r>
      <w:r>
        <w:rPr>
          <w:rFonts w:ascii="仿宋" w:hAnsi="仿宋" w:eastAsia="仿宋" w:cs="仿宋"/>
          <w:b/>
          <w:bCs/>
          <w:sz w:val="32"/>
          <w:szCs w:val="32"/>
        </w:rPr>
        <w:t>.</w:t>
      </w:r>
      <w:r>
        <w:rPr>
          <w:rFonts w:hint="eastAsia" w:ascii="仿宋" w:hAnsi="仿宋" w:eastAsia="仿宋" w:cs="仿宋"/>
          <w:b/>
          <w:bCs/>
          <w:sz w:val="32"/>
          <w:szCs w:val="32"/>
        </w:rPr>
        <w:t>现状</w:t>
      </w:r>
    </w:p>
    <w:p>
      <w:pPr>
        <w:widowControl/>
        <w:adjustRightInd w:val="0"/>
        <w:snapToGrid w:val="0"/>
        <w:spacing w:line="360" w:lineRule="auto"/>
        <w:ind w:firstLine="560" w:firstLineChars="200"/>
        <w:rPr>
          <w:rFonts w:ascii="Calibri" w:hAnsi="Calibri" w:eastAsia="仿宋"/>
        </w:rPr>
      </w:pPr>
      <w:r>
        <w:rPr>
          <w:rFonts w:hint="eastAsia" w:ascii="Calibri" w:hAnsi="Calibri" w:eastAsia="仿宋"/>
        </w:rPr>
        <w:t>按照公司质量强企部署，2025年海口供电局在网</w:t>
      </w:r>
      <w:r>
        <w:rPr>
          <w:rFonts w:hint="eastAsia" w:ascii="Calibri" w:hAnsi="Calibri" w:eastAsia="仿宋"/>
          <w:lang w:val="en-US" w:eastAsia="zh-CN"/>
        </w:rPr>
        <w:t>省</w:t>
      </w:r>
      <w:r>
        <w:rPr>
          <w:rFonts w:hint="eastAsia" w:ascii="Calibri" w:hAnsi="Calibri" w:eastAsia="仿宋"/>
        </w:rPr>
        <w:t>公司管理工具应用大赛中涌现出一批高质量成果，全面质量管理理念深入人心。</w:t>
      </w:r>
    </w:p>
    <w:p>
      <w:pPr>
        <w:spacing w:line="360" w:lineRule="auto"/>
        <w:ind w:firstLine="560" w:firstLineChars="200"/>
        <w:rPr>
          <w:rFonts w:ascii="Calibri" w:hAnsi="Calibri" w:eastAsia="仿宋"/>
        </w:rPr>
      </w:pPr>
      <w:r>
        <w:rPr>
          <w:rFonts w:ascii="Calibri" w:hAnsi="Calibri" w:eastAsia="仿宋"/>
        </w:rPr>
        <w:t>202</w:t>
      </w:r>
      <w:r>
        <w:rPr>
          <w:rFonts w:hint="eastAsia" w:ascii="Calibri" w:hAnsi="Calibri" w:eastAsia="仿宋"/>
        </w:rPr>
        <w:t>6</w:t>
      </w:r>
      <w:r>
        <w:rPr>
          <w:rFonts w:ascii="Calibri" w:hAnsi="Calibri" w:eastAsia="仿宋"/>
        </w:rPr>
        <w:t>年</w:t>
      </w:r>
      <w:r>
        <w:rPr>
          <w:rFonts w:hint="eastAsia" w:ascii="Calibri" w:hAnsi="Calibri" w:eastAsia="仿宋"/>
        </w:rPr>
        <w:t>海口供电局各类管理课题和质量活动依然较多，但质量活动类型复杂、各业务场景与质量管理工具难以较好融合等问题亟待解决。如何抓住项目立项、项目实施、项目评价、成果发布与转化的关键里程碑节点，如何组织课题辅导落地、过程管控与跟踪辅导、管理工具应用大赛的举办与奖项申报以及成果转化成为海口局今年的重点工作。</w:t>
      </w:r>
    </w:p>
    <w:p>
      <w:pPr>
        <w:outlineLvl w:val="1"/>
        <w:rPr>
          <w:rFonts w:hint="eastAsia" w:ascii="仿宋" w:hAnsi="仿宋" w:eastAsia="仿宋"/>
          <w:b/>
          <w:sz w:val="32"/>
        </w:rPr>
      </w:pPr>
      <w:r>
        <w:rPr>
          <w:rFonts w:hint="eastAsia" w:ascii="仿宋" w:hAnsi="仿宋" w:eastAsia="仿宋"/>
          <w:b/>
          <w:sz w:val="32"/>
        </w:rPr>
        <w:t>（二）项目名称、工期及地点</w:t>
      </w:r>
    </w:p>
    <w:p>
      <w:pPr>
        <w:autoSpaceDE w:val="0"/>
        <w:autoSpaceDN w:val="0"/>
        <w:adjustRightInd w:val="0"/>
        <w:spacing w:line="560" w:lineRule="exact"/>
        <w:ind w:firstLine="281" w:firstLineChars="100"/>
        <w:rPr>
          <w:rFonts w:hint="eastAsia" w:ascii="仿宋" w:hAnsi="仿宋" w:eastAsia="仿宋"/>
          <w:sz w:val="24"/>
          <w:szCs w:val="28"/>
        </w:rPr>
      </w:pPr>
      <w:r>
        <w:rPr>
          <w:rFonts w:hint="eastAsia" w:ascii="仿宋" w:hAnsi="仿宋" w:eastAsia="仿宋" w:cs="仿宋"/>
          <w:b/>
          <w:szCs w:val="28"/>
        </w:rPr>
        <w:t>项目名称：</w:t>
      </w:r>
      <w:r>
        <w:rPr>
          <w:rFonts w:hint="eastAsia" w:ascii="仿宋" w:hAnsi="仿宋" w:eastAsia="仿宋"/>
          <w:szCs w:val="32"/>
        </w:rPr>
        <w:t>海口供电局2026年常用管理工具应用培训项目</w:t>
      </w:r>
    </w:p>
    <w:p>
      <w:pPr>
        <w:autoSpaceDE w:val="0"/>
        <w:autoSpaceDN w:val="0"/>
        <w:adjustRightInd w:val="0"/>
        <w:spacing w:line="560" w:lineRule="exact"/>
        <w:ind w:firstLine="281" w:firstLineChars="100"/>
        <w:rPr>
          <w:rFonts w:hint="eastAsia" w:ascii="仿宋" w:hAnsi="仿宋" w:eastAsia="仿宋" w:cs="仿宋"/>
          <w:szCs w:val="28"/>
        </w:rPr>
      </w:pPr>
      <w:r>
        <w:rPr>
          <w:rFonts w:hint="eastAsia" w:ascii="仿宋" w:hAnsi="仿宋" w:eastAsia="仿宋" w:cs="仿宋"/>
          <w:b/>
          <w:szCs w:val="28"/>
        </w:rPr>
        <w:t>项目实施工期：</w:t>
      </w:r>
      <w:r>
        <w:rPr>
          <w:rFonts w:hint="eastAsia" w:ascii="仿宋" w:hAnsi="仿宋" w:eastAsia="仿宋" w:cs="仿宋"/>
          <w:szCs w:val="28"/>
        </w:rPr>
        <w:t>自合同签订之日起至2026年</w:t>
      </w:r>
      <w:r>
        <w:rPr>
          <w:rFonts w:ascii="仿宋" w:hAnsi="仿宋" w:eastAsia="仿宋" w:cs="仿宋"/>
          <w:szCs w:val="28"/>
        </w:rPr>
        <w:t>1</w:t>
      </w:r>
      <w:r>
        <w:rPr>
          <w:rFonts w:hint="eastAsia" w:ascii="仿宋" w:hAnsi="仿宋" w:eastAsia="仿宋" w:cs="仿宋"/>
          <w:szCs w:val="28"/>
        </w:rPr>
        <w:t>1月30日。</w:t>
      </w:r>
    </w:p>
    <w:p>
      <w:pPr>
        <w:autoSpaceDE w:val="0"/>
        <w:autoSpaceDN w:val="0"/>
        <w:adjustRightInd w:val="0"/>
        <w:spacing w:line="560" w:lineRule="exact"/>
        <w:ind w:firstLine="281" w:firstLineChars="100"/>
        <w:rPr>
          <w:rFonts w:hint="eastAsia" w:ascii="仿宋" w:hAnsi="仿宋" w:eastAsia="仿宋" w:cs="仿宋"/>
          <w:szCs w:val="28"/>
        </w:rPr>
      </w:pPr>
      <w:r>
        <w:rPr>
          <w:rFonts w:hint="eastAsia" w:ascii="仿宋" w:hAnsi="仿宋" w:eastAsia="仿宋" w:cs="仿宋"/>
          <w:b/>
          <w:szCs w:val="28"/>
        </w:rPr>
        <w:t>项目实施地点：</w:t>
      </w:r>
      <w:bookmarkStart w:id="8" w:name="_Toc390762746"/>
      <w:bookmarkStart w:id="9" w:name="_Toc343919574"/>
      <w:bookmarkStart w:id="10" w:name="_Toc423360645"/>
      <w:bookmarkStart w:id="11" w:name="_Toc390164108"/>
      <w:r>
        <w:rPr>
          <w:rFonts w:hint="eastAsia" w:ascii="仿宋" w:hAnsi="仿宋" w:eastAsia="仿宋" w:cs="仿宋"/>
          <w:szCs w:val="28"/>
        </w:rPr>
        <w:t>海口供电局</w:t>
      </w:r>
    </w:p>
    <w:p>
      <w:pPr>
        <w:outlineLvl w:val="1"/>
        <w:rPr>
          <w:rFonts w:hint="eastAsia" w:ascii="仿宋" w:hAnsi="仿宋" w:eastAsia="仿宋"/>
          <w:b/>
          <w:sz w:val="32"/>
        </w:rPr>
      </w:pPr>
      <w:r>
        <w:rPr>
          <w:rFonts w:hint="eastAsia" w:ascii="仿宋" w:hAnsi="仿宋" w:eastAsia="仿宋"/>
          <w:b/>
          <w:sz w:val="32"/>
        </w:rPr>
        <w:t>（三）项目</w:t>
      </w:r>
      <w:bookmarkEnd w:id="8"/>
      <w:bookmarkEnd w:id="9"/>
      <w:bookmarkEnd w:id="10"/>
      <w:bookmarkEnd w:id="11"/>
      <w:r>
        <w:rPr>
          <w:rFonts w:hint="eastAsia" w:ascii="仿宋" w:hAnsi="仿宋" w:eastAsia="仿宋"/>
          <w:b/>
          <w:sz w:val="32"/>
        </w:rPr>
        <w:t>技术要求</w:t>
      </w:r>
    </w:p>
    <w:p>
      <w:pPr>
        <w:pStyle w:val="9"/>
        <w:shd w:val="clear" w:color="auto" w:fill="FFFFFF"/>
        <w:spacing w:before="0" w:beforeAutospacing="0" w:after="0" w:afterAutospacing="0" w:line="360" w:lineRule="auto"/>
        <w:ind w:firstLine="560" w:firstLineChars="200"/>
        <w:outlineLvl w:val="0"/>
        <w:rPr>
          <w:rFonts w:ascii="Calibri" w:hAnsi="Calibri" w:eastAsia="仿宋" w:cstheme="minorBidi"/>
          <w:kern w:val="2"/>
          <w:sz w:val="28"/>
          <w:szCs w:val="22"/>
        </w:rPr>
      </w:pPr>
      <w:r>
        <w:rPr>
          <w:rFonts w:hint="eastAsia" w:ascii="Calibri" w:hAnsi="Calibri" w:eastAsia="仿宋" w:cstheme="minorBidi"/>
          <w:kern w:val="2"/>
          <w:sz w:val="28"/>
          <w:szCs w:val="22"/>
        </w:rPr>
        <w:t>1.响应方为中华人民共和国境内注册合法运营的法人或其他组织，具有独立履行合同的能力，营业执照或其他执业执照在有效期内。</w:t>
      </w:r>
    </w:p>
    <w:p>
      <w:pPr>
        <w:pStyle w:val="9"/>
        <w:shd w:val="clear" w:color="auto" w:fill="FFFFFF"/>
        <w:spacing w:before="0" w:beforeAutospacing="0" w:after="0" w:afterAutospacing="0" w:line="360" w:lineRule="auto"/>
        <w:ind w:firstLine="560" w:firstLineChars="200"/>
        <w:outlineLvl w:val="0"/>
        <w:rPr>
          <w:rFonts w:ascii="Calibri" w:hAnsi="Calibri" w:eastAsia="仿宋" w:cstheme="minorBidi"/>
          <w:kern w:val="2"/>
          <w:sz w:val="28"/>
          <w:szCs w:val="22"/>
        </w:rPr>
      </w:pPr>
      <w:r>
        <w:rPr>
          <w:rFonts w:hint="eastAsia" w:ascii="Calibri" w:hAnsi="Calibri" w:eastAsia="仿宋" w:cstheme="minorBidi"/>
          <w:kern w:val="2"/>
          <w:sz w:val="28"/>
          <w:szCs w:val="22"/>
        </w:rPr>
        <w:t>2.服务团队应包括项目经理和团队成员（人数不少于3人），项目经理应具备副高级及以上职称证书，团队成员应具有5年以上全面质量管理、管理工具应用或卓越绩效培训经验。</w:t>
      </w:r>
    </w:p>
    <w:p>
      <w:pPr>
        <w:pStyle w:val="9"/>
        <w:shd w:val="clear" w:color="auto" w:fill="FFFFFF"/>
        <w:spacing w:before="0" w:beforeAutospacing="0" w:after="0" w:afterAutospacing="0" w:line="360" w:lineRule="auto"/>
        <w:ind w:firstLine="560" w:firstLineChars="200"/>
        <w:outlineLvl w:val="0"/>
        <w:rPr>
          <w:rFonts w:ascii="Calibri" w:hAnsi="Calibri" w:eastAsia="仿宋" w:cstheme="minorBidi"/>
          <w:kern w:val="2"/>
          <w:sz w:val="28"/>
          <w:szCs w:val="22"/>
        </w:rPr>
      </w:pPr>
      <w:r>
        <w:rPr>
          <w:rFonts w:hint="eastAsia" w:ascii="Calibri" w:hAnsi="Calibri" w:eastAsia="仿宋" w:cstheme="minorBidi"/>
          <w:kern w:val="2"/>
          <w:sz w:val="28"/>
          <w:szCs w:val="22"/>
        </w:rPr>
        <w:t>3.响应方必须向采购方保证项目人员组织的稳定性，除约定的现场培训外，团队需在海口供电局驻场培训与指导不少于25个工作日。在本项目结束前，参加本项目的人员变动必须取得采购方同意，并立即安排候补人员予以补充。</w:t>
      </w:r>
      <w:bookmarkStart w:id="14" w:name="_GoBack"/>
      <w:bookmarkEnd w:id="14"/>
    </w:p>
    <w:p>
      <w:pPr>
        <w:pStyle w:val="9"/>
        <w:shd w:val="clear" w:color="auto" w:fill="FFFFFF"/>
        <w:spacing w:before="156" w:beforeLines="50" w:beforeAutospacing="0" w:after="156" w:afterLines="50" w:afterAutospacing="0" w:line="560" w:lineRule="exact"/>
        <w:ind w:firstLine="640" w:firstLineChars="200"/>
        <w:outlineLvl w:val="0"/>
        <w:rPr>
          <w:rFonts w:hint="eastAsia" w:ascii="黑体" w:hAnsi="黑体" w:eastAsia="黑体" w:cs="仿宋_GB2312"/>
          <w:sz w:val="32"/>
          <w:szCs w:val="32"/>
          <w:lang w:val="zh-CN"/>
        </w:rPr>
      </w:pPr>
      <w:r>
        <w:rPr>
          <w:rFonts w:hint="eastAsia" w:ascii="黑体" w:hAnsi="黑体" w:eastAsia="黑体" w:cs="仿宋_GB2312"/>
          <w:sz w:val="32"/>
          <w:szCs w:val="32"/>
          <w:lang w:val="zh-CN"/>
        </w:rPr>
        <w:t>二、项目成果</w:t>
      </w:r>
    </w:p>
    <w:p>
      <w:pPr>
        <w:pStyle w:val="11"/>
        <w:spacing w:line="580" w:lineRule="exact"/>
        <w:ind w:firstLine="560"/>
        <w:textAlignment w:val="baseline"/>
        <w:rPr>
          <w:rFonts w:hint="eastAsia" w:ascii="仿宋" w:hAnsi="仿宋" w:eastAsia="仿宋" w:cs="仿宋_GB2312"/>
          <w:color w:val="000000"/>
          <w:sz w:val="28"/>
          <w:szCs w:val="32"/>
        </w:rPr>
      </w:pPr>
      <w:bookmarkStart w:id="12" w:name="_Toc213331647"/>
      <w:bookmarkStart w:id="13" w:name="_Toc213331616"/>
      <w:r>
        <w:rPr>
          <w:rFonts w:hint="eastAsia" w:ascii="仿宋" w:hAnsi="仿宋" w:eastAsia="仿宋" w:cs="仿宋_GB2312"/>
          <w:color w:val="000000"/>
          <w:sz w:val="28"/>
          <w:szCs w:val="32"/>
        </w:rPr>
        <w:t>本辅导培训</w:t>
      </w:r>
      <w:r>
        <w:rPr>
          <w:rFonts w:hint="eastAsia" w:ascii="仿宋" w:hAnsi="仿宋" w:eastAsia="仿宋" w:cs="仿宋_GB2312"/>
          <w:color w:val="000000"/>
          <w:sz w:val="28"/>
          <w:szCs w:val="32"/>
          <w:lang w:val="en-US" w:eastAsia="zh-CN"/>
        </w:rPr>
        <w:t>按照</w:t>
      </w:r>
      <w:r>
        <w:rPr>
          <w:rFonts w:hint="eastAsia" w:ascii="仿宋" w:hAnsi="仿宋" w:eastAsia="仿宋" w:cs="仿宋_GB2312"/>
          <w:color w:val="000000"/>
          <w:sz w:val="28"/>
          <w:szCs w:val="32"/>
        </w:rPr>
        <w:t>以下四个结合进行管理工具应用培训。</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w:t>
      </w:r>
      <w:r>
        <w:rPr>
          <w:rFonts w:ascii="仿宋" w:hAnsi="仿宋" w:eastAsia="仿宋" w:cs="仿宋_GB2312"/>
          <w:color w:val="000000"/>
          <w:sz w:val="28"/>
          <w:szCs w:val="32"/>
        </w:rPr>
        <w:t>1）与专业化管理要求结合</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w:t>
      </w:r>
      <w:r>
        <w:rPr>
          <w:rFonts w:ascii="仿宋" w:hAnsi="仿宋" w:eastAsia="仿宋" w:cs="仿宋_GB2312"/>
          <w:color w:val="000000"/>
          <w:sz w:val="28"/>
          <w:szCs w:val="32"/>
        </w:rPr>
        <w:t>2）与差异化特点结合</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w:t>
      </w:r>
      <w:r>
        <w:rPr>
          <w:rFonts w:ascii="仿宋" w:hAnsi="仿宋" w:eastAsia="仿宋" w:cs="仿宋_GB2312"/>
          <w:color w:val="000000"/>
          <w:sz w:val="28"/>
          <w:szCs w:val="32"/>
        </w:rPr>
        <w:t>3）与先进方法结合</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w:t>
      </w:r>
      <w:r>
        <w:rPr>
          <w:rFonts w:ascii="仿宋" w:hAnsi="仿宋" w:eastAsia="仿宋" w:cs="仿宋_GB2312"/>
          <w:color w:val="000000"/>
          <w:sz w:val="28"/>
          <w:szCs w:val="32"/>
        </w:rPr>
        <w:t>4）与</w:t>
      </w:r>
      <w:r>
        <w:rPr>
          <w:rFonts w:hint="eastAsia" w:ascii="仿宋" w:hAnsi="仿宋" w:eastAsia="仿宋" w:cs="仿宋_GB2312"/>
          <w:color w:val="000000"/>
          <w:sz w:val="28"/>
          <w:szCs w:val="32"/>
        </w:rPr>
        <w:t>海口供电局</w:t>
      </w:r>
      <w:r>
        <w:rPr>
          <w:rFonts w:ascii="仿宋" w:hAnsi="仿宋" w:eastAsia="仿宋" w:cs="仿宋_GB2312"/>
          <w:color w:val="000000"/>
          <w:sz w:val="28"/>
          <w:szCs w:val="32"/>
        </w:rPr>
        <w:t>实际管理水平相结合</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预期成果：</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w:t>
      </w:r>
      <w:r>
        <w:rPr>
          <w:rFonts w:ascii="仿宋" w:hAnsi="仿宋" w:eastAsia="仿宋" w:cs="仿宋_GB2312"/>
          <w:color w:val="000000"/>
          <w:sz w:val="28"/>
          <w:szCs w:val="32"/>
        </w:rPr>
        <w:t>1）</w:t>
      </w:r>
      <w:r>
        <w:rPr>
          <w:rFonts w:hint="eastAsia" w:ascii="仿宋" w:hAnsi="仿宋" w:eastAsia="仿宋" w:cs="仿宋_GB2312"/>
          <w:color w:val="000000"/>
          <w:sz w:val="28"/>
          <w:szCs w:val="32"/>
        </w:rPr>
        <w:t>指导各专业撰写管理工具应用参赛报告，不少于10份</w:t>
      </w:r>
      <w:r>
        <w:rPr>
          <w:rFonts w:ascii="仿宋" w:hAnsi="仿宋" w:eastAsia="仿宋" w:cs="仿宋_GB2312"/>
          <w:color w:val="000000"/>
          <w:sz w:val="28"/>
          <w:szCs w:val="32"/>
        </w:rPr>
        <w:t>；</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（2）常用管理工具应用现场培训，2天；</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（3</w:t>
      </w:r>
      <w:r>
        <w:rPr>
          <w:rFonts w:ascii="仿宋" w:hAnsi="仿宋" w:eastAsia="仿宋" w:cs="仿宋_GB2312"/>
          <w:color w:val="000000"/>
          <w:sz w:val="28"/>
          <w:szCs w:val="32"/>
        </w:rPr>
        <w:t>）</w:t>
      </w:r>
      <w:r>
        <w:rPr>
          <w:rFonts w:hint="eastAsia" w:ascii="仿宋" w:hAnsi="仿宋" w:eastAsia="仿宋" w:cs="仿宋_GB2312"/>
          <w:color w:val="000000"/>
          <w:sz w:val="28"/>
          <w:szCs w:val="32"/>
        </w:rPr>
        <w:t>常用管理工具类应用培训课件，1份</w:t>
      </w:r>
      <w:r>
        <w:rPr>
          <w:rFonts w:ascii="仿宋" w:hAnsi="仿宋" w:eastAsia="仿宋" w:cs="仿宋_GB2312"/>
          <w:color w:val="000000"/>
          <w:sz w:val="28"/>
          <w:szCs w:val="32"/>
        </w:rPr>
        <w:t>；</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（4</w:t>
      </w:r>
      <w:r>
        <w:rPr>
          <w:rFonts w:ascii="仿宋" w:hAnsi="仿宋" w:eastAsia="仿宋" w:cs="仿宋_GB2312"/>
          <w:color w:val="000000"/>
          <w:sz w:val="28"/>
          <w:szCs w:val="32"/>
        </w:rPr>
        <w:t>）</w:t>
      </w:r>
      <w:r>
        <w:rPr>
          <w:rFonts w:hint="eastAsia" w:ascii="仿宋" w:hAnsi="仿宋" w:eastAsia="仿宋" w:cs="仿宋_GB2312"/>
          <w:color w:val="000000"/>
          <w:sz w:val="28"/>
          <w:szCs w:val="32"/>
        </w:rPr>
        <w:t>卓越绩效工具类培训课件，1份</w:t>
      </w:r>
      <w:r>
        <w:rPr>
          <w:rFonts w:ascii="仿宋" w:hAnsi="仿宋" w:eastAsia="仿宋" w:cs="仿宋_GB2312"/>
          <w:color w:val="000000"/>
          <w:sz w:val="28"/>
          <w:szCs w:val="32"/>
        </w:rPr>
        <w:t>；</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（5</w:t>
      </w:r>
      <w:r>
        <w:rPr>
          <w:rFonts w:ascii="仿宋" w:hAnsi="仿宋" w:eastAsia="仿宋" w:cs="仿宋_GB2312"/>
          <w:color w:val="000000"/>
          <w:sz w:val="28"/>
          <w:szCs w:val="32"/>
        </w:rPr>
        <w:t>）</w:t>
      </w:r>
      <w:r>
        <w:rPr>
          <w:rFonts w:hint="eastAsia" w:ascii="仿宋" w:hAnsi="仿宋" w:eastAsia="仿宋" w:cs="仿宋_GB2312"/>
          <w:color w:val="000000"/>
          <w:sz w:val="28"/>
          <w:szCs w:val="32"/>
        </w:rPr>
        <w:t>质量强企中层领导思维培训课件，1份</w:t>
      </w:r>
      <w:r>
        <w:rPr>
          <w:rFonts w:ascii="仿宋" w:hAnsi="仿宋" w:eastAsia="仿宋" w:cs="仿宋_GB2312"/>
          <w:color w:val="000000"/>
          <w:sz w:val="28"/>
          <w:szCs w:val="32"/>
        </w:rPr>
        <w:t>；</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（6</w:t>
      </w:r>
      <w:r>
        <w:rPr>
          <w:rFonts w:ascii="仿宋" w:hAnsi="仿宋" w:eastAsia="仿宋" w:cs="仿宋_GB2312"/>
          <w:color w:val="000000"/>
          <w:sz w:val="28"/>
          <w:szCs w:val="32"/>
        </w:rPr>
        <w:t>）</w:t>
      </w:r>
      <w:r>
        <w:rPr>
          <w:rFonts w:hint="eastAsia" w:ascii="仿宋" w:hAnsi="仿宋" w:eastAsia="仿宋" w:cs="仿宋_GB2312"/>
          <w:color w:val="000000"/>
          <w:sz w:val="28"/>
          <w:szCs w:val="32"/>
        </w:rPr>
        <w:t>常用管理工具应用培训试题，2份；</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（7）现场调研海口局基层所队业务场景，开发“三基”建设工具库，1套</w:t>
      </w:r>
      <w:r>
        <w:rPr>
          <w:rFonts w:ascii="仿宋" w:hAnsi="仿宋" w:eastAsia="仿宋" w:cs="仿宋_GB2312"/>
          <w:color w:val="000000"/>
          <w:sz w:val="28"/>
          <w:szCs w:val="32"/>
        </w:rPr>
        <w:t>；</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（8）现场调研海口局基层所队业务场景，开发“三基”建设指标分析与提升标准化流程模板，1套；</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（9</w:t>
      </w:r>
      <w:r>
        <w:rPr>
          <w:rFonts w:ascii="仿宋" w:hAnsi="仿宋" w:eastAsia="仿宋" w:cs="仿宋_GB2312"/>
          <w:color w:val="000000"/>
          <w:sz w:val="28"/>
          <w:szCs w:val="32"/>
        </w:rPr>
        <w:t>）</w:t>
      </w:r>
      <w:r>
        <w:rPr>
          <w:rFonts w:hint="eastAsia" w:ascii="仿宋" w:hAnsi="仿宋" w:eastAsia="仿宋" w:cs="仿宋_GB2312"/>
          <w:color w:val="000000"/>
          <w:sz w:val="28"/>
          <w:szCs w:val="32"/>
        </w:rPr>
        <w:t>常用管理工具大赛评委现场指导，1天。</w:t>
      </w:r>
    </w:p>
    <w:p>
      <w:pPr>
        <w:pStyle w:val="11"/>
        <w:spacing w:line="580" w:lineRule="exact"/>
        <w:ind w:firstLine="560"/>
        <w:textAlignment w:val="baseline"/>
        <w:rPr>
          <w:rFonts w:hint="eastAsia" w:ascii="仿宋" w:hAnsi="仿宋" w:eastAsia="仿宋" w:cs="仿宋_GB2312"/>
          <w:color w:val="000000"/>
          <w:sz w:val="28"/>
          <w:szCs w:val="32"/>
        </w:rPr>
      </w:pPr>
      <w:r>
        <w:rPr>
          <w:rFonts w:hint="eastAsia" w:ascii="仿宋" w:hAnsi="仿宋" w:eastAsia="仿宋" w:cs="仿宋_GB2312"/>
          <w:color w:val="000000"/>
          <w:sz w:val="28"/>
          <w:szCs w:val="32"/>
        </w:rPr>
        <w:t>成果中包含的报告、专有技术、版权、著作权等的归属要求：</w:t>
      </w:r>
    </w:p>
    <w:bookmarkEnd w:id="12"/>
    <w:bookmarkEnd w:id="13"/>
    <w:p>
      <w:pPr>
        <w:spacing w:line="580" w:lineRule="exact"/>
        <w:ind w:firstLine="560" w:firstLineChars="200"/>
        <w:textAlignment w:val="baseline"/>
        <w:rPr>
          <w:rFonts w:hint="eastAsia" w:ascii="仿宋" w:hAnsi="仿宋" w:eastAsia="仿宋" w:cs="Times New Roman"/>
          <w:color w:val="000000"/>
          <w:szCs w:val="20"/>
        </w:rPr>
      </w:pPr>
      <w:r>
        <w:rPr>
          <w:rFonts w:hint="eastAsia" w:ascii="仿宋" w:hAnsi="仿宋" w:eastAsia="仿宋" w:cs="Times New Roman"/>
          <w:color w:val="000000"/>
          <w:szCs w:val="20"/>
        </w:rPr>
        <w:t>本项目的咨询成果著作权及其他相关知识产权属</w:t>
      </w:r>
      <w:r>
        <w:rPr>
          <w:rFonts w:hint="eastAsia" w:ascii="仿宋" w:hAnsi="仿宋" w:eastAsia="仿宋" w:cs="Times New Roman"/>
          <w:color w:val="000000"/>
          <w:szCs w:val="20"/>
          <w:lang w:val="en-US" w:eastAsia="zh-CN"/>
        </w:rPr>
        <w:t>海口供电局</w:t>
      </w:r>
      <w:r>
        <w:rPr>
          <w:rFonts w:hint="eastAsia" w:ascii="仿宋" w:hAnsi="仿宋" w:eastAsia="仿宋" w:cs="Times New Roman"/>
          <w:color w:val="000000"/>
          <w:szCs w:val="20"/>
        </w:rPr>
        <w:t>所有。上述知识产权及相关权利主要包括但不限于专利权申请权、版权（著作权）、研究成果署名权、奖项申报申请权、获得报酬权、非专利技术所有权、商誉等。</w:t>
      </w:r>
    </w:p>
    <w:p>
      <w:pPr>
        <w:spacing w:line="580" w:lineRule="exact"/>
        <w:ind w:firstLine="560" w:firstLineChars="200"/>
        <w:textAlignment w:val="baseline"/>
        <w:rPr>
          <w:rFonts w:hint="eastAsia" w:ascii="仿宋" w:hAnsi="仿宋" w:eastAsia="仿宋" w:cs="Times New Roman"/>
          <w:color w:val="000000"/>
          <w:szCs w:val="20"/>
        </w:rPr>
      </w:pPr>
      <w:r>
        <w:rPr>
          <w:rFonts w:hint="eastAsia" w:ascii="仿宋" w:hAnsi="仿宋" w:eastAsia="仿宋" w:cs="Times New Roman"/>
          <w:color w:val="000000"/>
          <w:szCs w:val="20"/>
        </w:rPr>
        <w:t>投标方提交的咨询成果不应存在任何权利瑕疵，投标方应保证招标方免于遭受因第三方提起侵权索赔所产生的任何损失。如果任何第三方向招标方提起侵权索赔，投标方应负责与之进行交涉，并承担由此引起的一切责任。</w:t>
      </w:r>
    </w:p>
    <w:p>
      <w:pPr>
        <w:widowControl/>
        <w:jc w:val="left"/>
        <w:rPr>
          <w:rFonts w:hint="eastAsia" w:ascii="黑体" w:hAnsi="黑体" w:eastAsia="黑体" w:cs="仿宋_GB2312"/>
          <w:kern w:val="0"/>
          <w:sz w:val="32"/>
          <w:szCs w:val="32"/>
          <w:lang w:val="zh-CN"/>
        </w:rPr>
      </w:pPr>
      <w:r>
        <w:rPr>
          <w:rFonts w:hint="eastAsia" w:ascii="黑体" w:hAnsi="黑体" w:eastAsia="黑体" w:cs="仿宋_GB2312"/>
          <w:sz w:val="32"/>
          <w:szCs w:val="32"/>
          <w:lang w:val="zh-CN"/>
        </w:rPr>
        <w:br w:type="page"/>
      </w:r>
    </w:p>
    <w:p>
      <w:pPr>
        <w:pStyle w:val="9"/>
        <w:shd w:val="clear" w:color="auto" w:fill="FFFFFF"/>
        <w:spacing w:before="156" w:beforeLines="50" w:beforeAutospacing="0" w:after="156" w:afterLines="50" w:afterAutospacing="0" w:line="560" w:lineRule="exact"/>
        <w:ind w:firstLine="640" w:firstLineChars="200"/>
        <w:outlineLvl w:val="0"/>
        <w:rPr>
          <w:rFonts w:hint="eastAsia" w:ascii="黑体" w:hAnsi="黑体" w:eastAsia="黑体" w:cs="仿宋_GB2312"/>
          <w:sz w:val="32"/>
          <w:szCs w:val="32"/>
          <w:lang w:val="zh-CN"/>
        </w:rPr>
      </w:pPr>
      <w:r>
        <w:rPr>
          <w:rFonts w:hint="eastAsia" w:ascii="黑体" w:hAnsi="黑体" w:eastAsia="黑体" w:cs="仿宋_GB2312"/>
          <w:sz w:val="32"/>
          <w:szCs w:val="32"/>
          <w:lang w:val="zh-CN"/>
        </w:rPr>
        <w:t>三、服务承诺</w:t>
      </w:r>
    </w:p>
    <w:p>
      <w:pPr>
        <w:spacing w:line="580" w:lineRule="exact"/>
        <w:ind w:left="280" w:leftChars="100" w:firstLine="560" w:firstLineChars="200"/>
        <w:textAlignment w:val="baseline"/>
        <w:rPr>
          <w:rFonts w:hint="eastAsia" w:ascii="仿宋" w:hAnsi="仿宋" w:eastAsia="仿宋" w:cs="Times New Roman"/>
          <w:color w:val="000000"/>
          <w:lang w:val="zh-CN"/>
        </w:rPr>
      </w:pPr>
      <w:r>
        <w:rPr>
          <w:rFonts w:hint="eastAsia" w:ascii="仿宋" w:hAnsi="仿宋" w:eastAsia="仿宋" w:cs="Times New Roman"/>
          <w:color w:val="000000"/>
          <w:lang w:val="zh-CN"/>
        </w:rPr>
        <w:t>为保证此项目的正常、平稳运转，投标方需保证提供以下服务承诺：</w:t>
      </w:r>
    </w:p>
    <w:p>
      <w:pPr>
        <w:spacing w:line="580" w:lineRule="exact"/>
        <w:ind w:left="280" w:leftChars="100" w:firstLine="560" w:firstLineChars="200"/>
        <w:textAlignment w:val="baseline"/>
        <w:rPr>
          <w:rFonts w:hint="eastAsia" w:ascii="仿宋" w:hAnsi="仿宋" w:eastAsia="仿宋" w:cs="Times New Roman"/>
          <w:color w:val="000000"/>
          <w:lang w:val="zh-CN"/>
        </w:rPr>
      </w:pPr>
      <w:r>
        <w:rPr>
          <w:rFonts w:hint="eastAsia" w:ascii="仿宋" w:hAnsi="仿宋" w:eastAsia="仿宋" w:cs="Times New Roman"/>
          <w:color w:val="000000"/>
          <w:szCs w:val="20"/>
        </w:rPr>
        <w:t>（1）</w:t>
      </w:r>
      <w:r>
        <w:rPr>
          <w:rFonts w:hint="eastAsia" w:ascii="仿宋" w:hAnsi="仿宋" w:eastAsia="仿宋" w:cs="Times New Roman"/>
          <w:color w:val="000000"/>
          <w:lang w:val="zh-CN"/>
        </w:rPr>
        <w:t>工作质量和工作进度承诺</w:t>
      </w:r>
    </w:p>
    <w:p>
      <w:pPr>
        <w:spacing w:line="580" w:lineRule="exact"/>
        <w:ind w:left="280" w:leftChars="100" w:firstLine="560" w:firstLineChars="200"/>
        <w:textAlignment w:val="baseline"/>
        <w:rPr>
          <w:rFonts w:hint="eastAsia" w:ascii="仿宋" w:hAnsi="仿宋" w:eastAsia="仿宋" w:cs="Times New Roman"/>
          <w:color w:val="000000"/>
          <w:lang w:val="zh-CN"/>
        </w:rPr>
      </w:pPr>
      <w:r>
        <w:rPr>
          <w:rFonts w:hint="eastAsia" w:ascii="仿宋" w:hAnsi="仿宋" w:eastAsia="仿宋" w:cs="Times New Roman"/>
          <w:color w:val="000000"/>
          <w:lang w:val="zh-CN"/>
        </w:rPr>
        <w:t>投标方应保证按预计的时间完成项目服务内容，保证项目质量，提供优质的服务和充足的驻场资源，确保招标方管理水平的提高。</w:t>
      </w:r>
    </w:p>
    <w:p>
      <w:pPr>
        <w:spacing w:line="580" w:lineRule="exact"/>
        <w:ind w:left="280" w:leftChars="100" w:firstLine="560" w:firstLineChars="200"/>
        <w:textAlignment w:val="baseline"/>
        <w:rPr>
          <w:rFonts w:hint="eastAsia" w:ascii="仿宋" w:hAnsi="仿宋" w:eastAsia="仿宋" w:cs="Times New Roman"/>
          <w:color w:val="000000"/>
          <w:lang w:val="zh-CN"/>
        </w:rPr>
      </w:pPr>
      <w:r>
        <w:rPr>
          <w:rFonts w:hint="eastAsia" w:ascii="仿宋" w:hAnsi="仿宋" w:eastAsia="仿宋" w:cs="Times New Roman"/>
          <w:color w:val="000000"/>
          <w:szCs w:val="20"/>
        </w:rPr>
        <w:t>（2）</w:t>
      </w:r>
      <w:r>
        <w:rPr>
          <w:rFonts w:hint="eastAsia" w:ascii="仿宋" w:hAnsi="仿宋" w:eastAsia="仿宋" w:cs="Times New Roman"/>
          <w:color w:val="000000"/>
          <w:lang w:val="zh-CN"/>
        </w:rPr>
        <w:t>文件资料及保密承诺</w:t>
      </w:r>
    </w:p>
    <w:p>
      <w:pPr>
        <w:spacing w:line="580" w:lineRule="exact"/>
        <w:ind w:left="280" w:leftChars="100" w:firstLine="560" w:firstLineChars="200"/>
        <w:textAlignment w:val="baseline"/>
        <w:rPr>
          <w:rFonts w:hint="eastAsia" w:ascii="仿宋" w:hAnsi="仿宋" w:eastAsia="仿宋" w:cs="Times New Roman"/>
          <w:color w:val="000000"/>
          <w:lang w:val="zh-CN"/>
        </w:rPr>
      </w:pPr>
      <w:r>
        <w:rPr>
          <w:rFonts w:hint="eastAsia" w:ascii="仿宋" w:hAnsi="仿宋" w:eastAsia="仿宋" w:cs="Times New Roman"/>
          <w:color w:val="000000"/>
          <w:lang w:val="zh-CN"/>
        </w:rPr>
        <w:t>投标方应按项目要求编制形成各类型技术文件及研究报告，需根据</w:t>
      </w:r>
      <w:r>
        <w:rPr>
          <w:rFonts w:hint="eastAsia" w:ascii="仿宋" w:hAnsi="仿宋" w:eastAsia="仿宋" w:cs="Times New Roman"/>
          <w:color w:val="000000"/>
        </w:rPr>
        <w:t>招标方</w:t>
      </w:r>
      <w:r>
        <w:rPr>
          <w:rFonts w:hint="eastAsia" w:ascii="仿宋" w:hAnsi="仿宋" w:eastAsia="仿宋" w:cs="Times New Roman"/>
          <w:color w:val="000000"/>
          <w:lang w:val="zh-CN"/>
        </w:rPr>
        <w:t>的实际情况提供相应参考资料、案例、素材等。全部资料应遵守保密要求，项目组成员履行保密协定。</w:t>
      </w:r>
    </w:p>
    <w:p>
      <w:pPr>
        <w:spacing w:line="580" w:lineRule="exact"/>
        <w:ind w:left="280" w:leftChars="100" w:firstLine="560" w:firstLineChars="200"/>
        <w:textAlignment w:val="baseline"/>
        <w:rPr>
          <w:rFonts w:hint="eastAsia" w:ascii="仿宋" w:hAnsi="仿宋" w:eastAsia="仿宋" w:cs="Times New Roman"/>
          <w:color w:val="000000"/>
          <w:lang w:val="zh-CN"/>
        </w:rPr>
      </w:pPr>
      <w:r>
        <w:rPr>
          <w:rFonts w:hint="eastAsia" w:ascii="仿宋" w:hAnsi="仿宋" w:eastAsia="仿宋" w:cs="Times New Roman"/>
          <w:color w:val="000000"/>
          <w:szCs w:val="20"/>
        </w:rPr>
        <w:t>（3）</w:t>
      </w:r>
      <w:r>
        <w:rPr>
          <w:rFonts w:hint="eastAsia" w:ascii="仿宋" w:hAnsi="仿宋" w:eastAsia="仿宋" w:cs="Times New Roman"/>
          <w:color w:val="000000"/>
          <w:lang w:val="zh-CN"/>
        </w:rPr>
        <w:t>定期回访的承诺</w:t>
      </w:r>
    </w:p>
    <w:p>
      <w:pPr>
        <w:spacing w:line="580" w:lineRule="exact"/>
        <w:ind w:left="280" w:leftChars="100" w:firstLine="560" w:firstLineChars="200"/>
        <w:textAlignment w:val="baseline"/>
        <w:rPr>
          <w:rFonts w:hint="eastAsia" w:ascii="仿宋" w:hAnsi="仿宋" w:eastAsia="仿宋" w:cs="Times New Roman"/>
          <w:color w:val="000000"/>
          <w:lang w:val="zh-CN"/>
        </w:rPr>
      </w:pPr>
      <w:r>
        <w:rPr>
          <w:rFonts w:hint="eastAsia" w:ascii="仿宋" w:hAnsi="仿宋" w:eastAsia="仿宋" w:cs="Times New Roman"/>
          <w:color w:val="000000"/>
          <w:lang w:val="zh-CN"/>
        </w:rPr>
        <w:t>投标方应进行定期回访，以了解项目运行的最新状况，解答客户的疑问，了解客户的最新需求并及时予以响应。</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ED09284-0733-4620-8551-09034E283B5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543F0D3-B2DD-41C2-9535-37AE76798A6A}"/>
  </w:font>
  <w:font w:name="等线">
    <w:panose1 w:val="02010600030101010101"/>
    <w:charset w:val="86"/>
    <w:family w:val="auto"/>
    <w:pitch w:val="default"/>
    <w:sig w:usb0="A00002BF" w:usb1="38CF7CFA" w:usb2="00000016" w:usb3="00000000" w:csb0="0004000F" w:csb1="00000000"/>
    <w:embedRegular r:id="rId3" w:fontKey="{EC44CF43-EB7C-4523-88FA-38DCFC464DBF}"/>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embedRegular r:id="rId4" w:fontKey="{01F68FF0-3B82-461A-A83E-622322E966B7}"/>
  </w:font>
  <w:font w:name="___WRD_EMBED_SUB_1294">
    <w:altName w:val="宋体"/>
    <w:panose1 w:val="00000000000000000000"/>
    <w:charset w:val="86"/>
    <w:family w:val="auto"/>
    <w:pitch w:val="default"/>
    <w:sig w:usb0="00000000" w:usb1="00000000" w:usb2="00000000" w:usb3="00000000" w:csb0="00040000" w:csb1="00000000"/>
    <w:embedRegular r:id="rId5" w:fontKey="{FE36E31C-7199-4450-82F0-AAED557DC0F7}"/>
  </w:font>
  <w:font w:name="仿宋">
    <w:panose1 w:val="02010609060101010101"/>
    <w:charset w:val="86"/>
    <w:family w:val="modern"/>
    <w:pitch w:val="default"/>
    <w:sig w:usb0="800002BF" w:usb1="38CF7CFA" w:usb2="00000016" w:usb3="00000000" w:csb0="00040001" w:csb1="00000000"/>
    <w:embedRegular r:id="rId6" w:fontKey="{C6651BF6-E4DD-4A9D-BDF1-40320DFB63B5}"/>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0958962"/>
    </w:sdtPr>
    <w:sdtContent>
      <w:p>
        <w:pPr>
          <w:pStyle w:val="5"/>
          <w:jc w:val="center"/>
          <w:rPr>
            <w:rFonts w:hint="eastAsia"/>
          </w:rPr>
        </w:pPr>
        <w:r>
          <w:fldChar w:fldCharType="begin"/>
        </w:r>
        <w:r>
          <w:instrText xml:space="preserve">PAGE   \* MERGEFORMAT</w:instrText>
        </w:r>
        <w:r>
          <w:fldChar w:fldCharType="separate"/>
        </w:r>
        <w:r>
          <w:rPr>
            <w:lang w:val="zh-CN"/>
          </w:rPr>
          <w:t>2</w:t>
        </w:r>
        <w:r>
          <w:fldChar w:fldCharType="end"/>
        </w:r>
      </w:p>
    </w:sdtContent>
  </w:sdt>
  <w:p>
    <w:pPr>
      <w:pStyle w:val="5"/>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CA0192"/>
    <w:rsid w:val="00000994"/>
    <w:rsid w:val="00036B95"/>
    <w:rsid w:val="00076558"/>
    <w:rsid w:val="0008440D"/>
    <w:rsid w:val="000B4FF8"/>
    <w:rsid w:val="000C17A0"/>
    <w:rsid w:val="000E1F40"/>
    <w:rsid w:val="00157A61"/>
    <w:rsid w:val="001C0902"/>
    <w:rsid w:val="0023160F"/>
    <w:rsid w:val="00264B88"/>
    <w:rsid w:val="002C56DE"/>
    <w:rsid w:val="002E5670"/>
    <w:rsid w:val="00360CA0"/>
    <w:rsid w:val="00361CE0"/>
    <w:rsid w:val="0036472F"/>
    <w:rsid w:val="003B2F4A"/>
    <w:rsid w:val="003B2F87"/>
    <w:rsid w:val="003C0E5D"/>
    <w:rsid w:val="003C11AD"/>
    <w:rsid w:val="003D6723"/>
    <w:rsid w:val="003E332C"/>
    <w:rsid w:val="004053ED"/>
    <w:rsid w:val="00440E9A"/>
    <w:rsid w:val="0045129D"/>
    <w:rsid w:val="0046718C"/>
    <w:rsid w:val="00485040"/>
    <w:rsid w:val="004C0EA5"/>
    <w:rsid w:val="00523F58"/>
    <w:rsid w:val="005314F1"/>
    <w:rsid w:val="00566BE4"/>
    <w:rsid w:val="00594260"/>
    <w:rsid w:val="00613E00"/>
    <w:rsid w:val="00675E90"/>
    <w:rsid w:val="006B652A"/>
    <w:rsid w:val="006C510D"/>
    <w:rsid w:val="006C6C19"/>
    <w:rsid w:val="006D1423"/>
    <w:rsid w:val="006D7D91"/>
    <w:rsid w:val="006F0842"/>
    <w:rsid w:val="00763CFF"/>
    <w:rsid w:val="00772913"/>
    <w:rsid w:val="007918D4"/>
    <w:rsid w:val="007B4717"/>
    <w:rsid w:val="007D7E24"/>
    <w:rsid w:val="008B056A"/>
    <w:rsid w:val="00907B70"/>
    <w:rsid w:val="00910233"/>
    <w:rsid w:val="00934A1A"/>
    <w:rsid w:val="009554D3"/>
    <w:rsid w:val="009A616F"/>
    <w:rsid w:val="009C3F68"/>
    <w:rsid w:val="00A943DB"/>
    <w:rsid w:val="00AA0ED7"/>
    <w:rsid w:val="00AA2B23"/>
    <w:rsid w:val="00AE737C"/>
    <w:rsid w:val="00B52DB1"/>
    <w:rsid w:val="00B831AB"/>
    <w:rsid w:val="00BA0D6D"/>
    <w:rsid w:val="00BE3505"/>
    <w:rsid w:val="00C07D4C"/>
    <w:rsid w:val="00C12724"/>
    <w:rsid w:val="00C164B6"/>
    <w:rsid w:val="00C25819"/>
    <w:rsid w:val="00C53232"/>
    <w:rsid w:val="00CA0192"/>
    <w:rsid w:val="00CE4C78"/>
    <w:rsid w:val="00CF6374"/>
    <w:rsid w:val="00D02BED"/>
    <w:rsid w:val="00D05F02"/>
    <w:rsid w:val="00D31F5F"/>
    <w:rsid w:val="00DD0F80"/>
    <w:rsid w:val="00DF0A85"/>
    <w:rsid w:val="00DF7BA4"/>
    <w:rsid w:val="00E16512"/>
    <w:rsid w:val="00E31C1D"/>
    <w:rsid w:val="00EB2AC0"/>
    <w:rsid w:val="00ED2FE5"/>
    <w:rsid w:val="00EE1C61"/>
    <w:rsid w:val="00F24AD3"/>
    <w:rsid w:val="00F41D55"/>
    <w:rsid w:val="00F71ADB"/>
    <w:rsid w:val="00FD3068"/>
    <w:rsid w:val="21D355A1"/>
    <w:rsid w:val="2A60215E"/>
    <w:rsid w:val="33EB180B"/>
    <w:rsid w:val="36C26992"/>
    <w:rsid w:val="3E22427B"/>
    <w:rsid w:val="497D06E5"/>
    <w:rsid w:val="5C425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HAnsi" w:hAnsiTheme="minorHAnsi" w:cstheme="minorBidi"/>
      <w:kern w:val="2"/>
      <w:sz w:val="28"/>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3"/>
    <w:basedOn w:val="1"/>
    <w:next w:val="4"/>
    <w:link w:val="10"/>
    <w:qFormat/>
    <w:uiPriority w:val="0"/>
    <w:pPr>
      <w:keepNext/>
      <w:keepLines/>
      <w:spacing w:before="60" w:after="60" w:line="400" w:lineRule="exact"/>
      <w:ind w:firstLine="510"/>
      <w:outlineLvl w:val="2"/>
    </w:pPr>
    <w:rPr>
      <w:rFonts w:ascii="宋体" w:hAnsi="Times New Roman" w:eastAsia="宋体" w:cs="Times New Roman"/>
      <w:b/>
      <w:kern w:val="0"/>
      <w:sz w:val="24"/>
      <w:szCs w:val="20"/>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semiHidden/>
    <w:unhideWhenUsed/>
    <w:qFormat/>
    <w:uiPriority w:val="99"/>
    <w:pPr>
      <w:ind w:firstLine="420" w:firstLineChars="200"/>
    </w:p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0">
    <w:name w:val="标题 3 字符"/>
    <w:basedOn w:val="8"/>
    <w:link w:val="3"/>
    <w:qFormat/>
    <w:uiPriority w:val="0"/>
    <w:rPr>
      <w:rFonts w:ascii="宋体" w:hAnsi="Times New Roman" w:eastAsia="宋体" w:cs="Times New Roman"/>
      <w:b/>
      <w:kern w:val="0"/>
      <w:sz w:val="24"/>
      <w:szCs w:val="20"/>
    </w:rPr>
  </w:style>
  <w:style w:type="paragraph" w:customStyle="1" w:styleId="11">
    <w:name w:val="列表段落1"/>
    <w:basedOn w:val="1"/>
    <w:semiHidden/>
    <w:qFormat/>
    <w:uiPriority w:val="0"/>
    <w:pPr>
      <w:ind w:firstLine="420" w:firstLineChars="200"/>
    </w:pPr>
    <w:rPr>
      <w:rFonts w:ascii="Times New Roman" w:hAnsi="Times New Roman" w:eastAsia="宋体" w:cs="Times New Roman"/>
      <w:sz w:val="21"/>
      <w:szCs w:val="20"/>
    </w:rPr>
  </w:style>
  <w:style w:type="character" w:customStyle="1" w:styleId="12">
    <w:name w:val="标题 1 字符"/>
    <w:basedOn w:val="8"/>
    <w:link w:val="2"/>
    <w:qFormat/>
    <w:uiPriority w:val="9"/>
    <w:rPr>
      <w:rFonts w:eastAsia="微软雅黑"/>
      <w:b/>
      <w:bCs/>
      <w:kern w:val="44"/>
      <w:sz w:val="44"/>
      <w:szCs w:val="44"/>
    </w:rPr>
  </w:style>
  <w:style w:type="character" w:customStyle="1" w:styleId="13">
    <w:name w:val="页眉 字符"/>
    <w:basedOn w:val="8"/>
    <w:link w:val="6"/>
    <w:qFormat/>
    <w:uiPriority w:val="99"/>
    <w:rPr>
      <w:rFonts w:eastAsia="微软雅黑"/>
      <w:sz w:val="18"/>
      <w:szCs w:val="18"/>
    </w:rPr>
  </w:style>
  <w:style w:type="character" w:customStyle="1" w:styleId="14">
    <w:name w:val="页脚 字符"/>
    <w:basedOn w:val="8"/>
    <w:link w:val="5"/>
    <w:qFormat/>
    <w:uiPriority w:val="99"/>
    <w:rPr>
      <w:rFonts w:eastAsia="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8B86B-B8C7-4670-A77D-633BA7E4AAE9}">
  <ds:schemaRefs/>
</ds:datastoreItem>
</file>

<file path=docProps/app.xml><?xml version="1.0" encoding="utf-8"?>
<Properties xmlns="http://schemas.openxmlformats.org/officeDocument/2006/extended-properties" xmlns:vt="http://schemas.openxmlformats.org/officeDocument/2006/docPropsVTypes">
  <Template>Normal</Template>
  <Pages>4</Pages>
  <Words>254</Words>
  <Characters>1453</Characters>
  <Lines>12</Lines>
  <Paragraphs>3</Paragraphs>
  <TotalTime>121</TotalTime>
  <ScaleCrop>false</ScaleCrop>
  <LinksUpToDate>false</LinksUpToDate>
  <CharactersWithSpaces>1704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2024-09-21T11:51:00Z</dcterms:created>
  <dc:creator>CDF</dc:creator>
  <cp:lastModifiedBy>陈倩</cp:lastModifiedBy>
  <dcterms:modified xsi:type="dcterms:W3CDTF">2026-05-27T08:19:45Z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18AECE2A9DF34762A526B89E19EA5945</vt:lpwstr>
  </property>
</Properties>
</file>