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黑体" w:hAnsi="黑体" w:eastAsia="黑体" w:cs="黑体"/>
          <w:kern w:val="0"/>
          <w:sz w:val="52"/>
          <w:szCs w:val="52"/>
        </w:rPr>
      </w:pPr>
    </w:p>
    <w:p>
      <w:pPr>
        <w:jc w:val="both"/>
        <w:rPr>
          <w:rFonts w:ascii="黑体" w:hAnsi="黑体" w:eastAsia="黑体" w:cs="黑体"/>
          <w:kern w:val="0"/>
          <w:sz w:val="52"/>
          <w:szCs w:val="52"/>
        </w:rPr>
      </w:pPr>
    </w:p>
    <w:p>
      <w:pPr>
        <w:jc w:val="center"/>
        <w:rPr>
          <w:rFonts w:ascii="黑体" w:hAnsi="黑体" w:eastAsia="黑体" w:cs="黑体"/>
          <w:kern w:val="0"/>
          <w:sz w:val="52"/>
          <w:szCs w:val="52"/>
        </w:rPr>
      </w:pPr>
      <w:r>
        <w:rPr>
          <w:rFonts w:hint="eastAsia" w:ascii="黑体" w:hAnsi="黑体" w:eastAsia="黑体" w:cs="黑体"/>
          <w:kern w:val="0"/>
          <w:sz w:val="52"/>
          <w:szCs w:val="52"/>
          <w:lang w:eastAsia="zh-CN"/>
        </w:rPr>
        <w:t>《</w:t>
      </w:r>
      <w:r>
        <w:rPr>
          <w:rFonts w:hint="eastAsia" w:ascii="黑体" w:hAnsi="黑体" w:eastAsia="黑体" w:cs="黑体"/>
          <w:kern w:val="0"/>
          <w:sz w:val="52"/>
          <w:szCs w:val="52"/>
        </w:rPr>
        <w:t>一种面向防误操作的双保险挂钩智能闭锁技术及装置研制</w:t>
      </w:r>
      <w:r>
        <w:rPr>
          <w:rFonts w:hint="eastAsia" w:ascii="黑体" w:hAnsi="黑体" w:eastAsia="黑体" w:cs="黑体"/>
          <w:kern w:val="0"/>
          <w:sz w:val="52"/>
          <w:szCs w:val="52"/>
          <w:lang w:eastAsia="zh-CN"/>
        </w:rPr>
        <w:t>》</w:t>
      </w:r>
      <w:r>
        <w:rPr>
          <w:rFonts w:hint="eastAsia" w:ascii="黑体" w:hAnsi="黑体" w:eastAsia="黑体" w:cs="黑体"/>
          <w:kern w:val="0"/>
          <w:sz w:val="52"/>
          <w:szCs w:val="52"/>
        </w:rPr>
        <w:t>项目物资采购技术要求</w:t>
      </w:r>
    </w:p>
    <w:p>
      <w:pPr>
        <w:pStyle w:val="2"/>
        <w:ind w:firstLine="1044"/>
        <w:outlineLvl w:val="9"/>
        <w:rPr>
          <w:rFonts w:ascii="黑体" w:hAnsi="黑体" w:eastAsia="黑体" w:cs="黑体"/>
          <w:kern w:val="0"/>
          <w:sz w:val="52"/>
          <w:szCs w:val="52"/>
        </w:rPr>
      </w:pPr>
    </w:p>
    <w:p>
      <w:pPr>
        <w:pStyle w:val="3"/>
        <w:outlineLvl w:val="9"/>
        <w:rPr>
          <w:rFonts w:ascii="黑体" w:hAnsi="黑体" w:eastAsia="黑体" w:cs="黑体"/>
          <w:kern w:val="0"/>
          <w:sz w:val="52"/>
          <w:szCs w:val="52"/>
        </w:rPr>
      </w:pPr>
    </w:p>
    <w:p>
      <w:pPr>
        <w:rPr>
          <w:rFonts w:ascii="黑体" w:hAnsi="黑体" w:eastAsia="黑体" w:cs="黑体"/>
          <w:kern w:val="0"/>
          <w:sz w:val="52"/>
          <w:szCs w:val="52"/>
        </w:rPr>
      </w:pPr>
    </w:p>
    <w:p>
      <w:pPr>
        <w:pStyle w:val="2"/>
        <w:ind w:firstLine="1044"/>
        <w:outlineLvl w:val="9"/>
        <w:rPr>
          <w:rFonts w:hint="eastAsia" w:ascii="黑体" w:hAnsi="黑体" w:eastAsia="黑体" w:cs="黑体"/>
          <w:kern w:val="0"/>
          <w:sz w:val="52"/>
          <w:szCs w:val="52"/>
          <w:lang w:eastAsia="zh-CN"/>
        </w:rPr>
      </w:pPr>
    </w:p>
    <w:p>
      <w:pPr>
        <w:pStyle w:val="3"/>
        <w:rPr>
          <w:rFonts w:hint="eastAsia"/>
          <w:lang w:eastAsia="zh-CN"/>
        </w:rPr>
      </w:pPr>
    </w:p>
    <w:p>
      <w:pPr>
        <w:rPr>
          <w:rFonts w:ascii="黑体" w:hAnsi="黑体" w:eastAsia="黑体" w:cs="黑体"/>
          <w:kern w:val="0"/>
          <w:sz w:val="52"/>
          <w:szCs w:val="52"/>
          <w:highlight w:val="none"/>
        </w:rPr>
      </w:pPr>
    </w:p>
    <w:p>
      <w:pPr>
        <w:spacing w:line="480" w:lineRule="auto"/>
        <w:jc w:val="center"/>
        <w:outlineLvl w:val="0"/>
        <w:rPr>
          <w:rStyle w:val="6"/>
          <w:rFonts w:ascii="黑体" w:hAnsi="黑体" w:eastAsia="黑体" w:cs="黑体"/>
          <w:kern w:val="2"/>
          <w:szCs w:val="24"/>
          <w:highlight w:val="none"/>
        </w:rPr>
      </w:pPr>
      <w:bookmarkStart w:id="0" w:name="_Toc17721"/>
      <w:r>
        <w:rPr>
          <w:rStyle w:val="6"/>
          <w:rFonts w:hint="eastAsia" w:ascii="黑体" w:hAnsi="黑体" w:eastAsia="黑体" w:cs="黑体"/>
          <w:kern w:val="2"/>
          <w:szCs w:val="24"/>
          <w:highlight w:val="none"/>
        </w:rPr>
        <w:t>二〇二六年</w:t>
      </w:r>
      <w:r>
        <w:rPr>
          <w:rStyle w:val="6"/>
          <w:rFonts w:hint="eastAsia" w:ascii="黑体" w:hAnsi="黑体" w:eastAsia="黑体" w:cs="黑体"/>
          <w:kern w:val="2"/>
          <w:szCs w:val="24"/>
          <w:highlight w:val="none"/>
          <w:lang w:val="en-US" w:eastAsia="zh-CN"/>
        </w:rPr>
        <w:t>五</w:t>
      </w:r>
      <w:r>
        <w:rPr>
          <w:rStyle w:val="6"/>
          <w:rFonts w:hint="eastAsia" w:ascii="黑体" w:hAnsi="黑体" w:eastAsia="黑体" w:cs="黑体"/>
          <w:kern w:val="2"/>
          <w:szCs w:val="24"/>
          <w:highlight w:val="none"/>
        </w:rPr>
        <w:t>月</w:t>
      </w:r>
      <w:bookmarkEnd w:id="0"/>
    </w:p>
    <w:p>
      <w:pPr>
        <w:rPr>
          <w:rFonts w:ascii="宋体" w:hAnsi="宋体"/>
          <w:b/>
          <w:sz w:val="32"/>
        </w:rPr>
      </w:pPr>
      <w:bookmarkStart w:id="1" w:name="_Toc32374"/>
      <w:bookmarkStart w:id="2" w:name="_Toc266713645"/>
      <w:bookmarkStart w:id="3" w:name="_Toc19589"/>
      <w:bookmarkStart w:id="4" w:name="_Toc17586"/>
      <w:bookmarkStart w:id="5" w:name="_Toc150452272"/>
      <w:r>
        <w:rPr>
          <w:rFonts w:hint="eastAsia" w:ascii="宋体" w:hAnsi="宋体"/>
          <w:b/>
          <w:sz w:val="32"/>
        </w:rPr>
        <w:br w:type="page"/>
      </w:r>
    </w:p>
    <w:p>
      <w:pPr>
        <w:rPr>
          <w:rFonts w:ascii="宋体" w:hAnsi="宋体"/>
          <w:b/>
          <w:sz w:val="32"/>
        </w:rPr>
      </w:pPr>
    </w:p>
    <w:sdt>
      <w:sdtPr>
        <w:rPr>
          <w:rFonts w:ascii="宋体" w:hAnsi="宋体" w:eastAsia="宋体" w:cs="Arial"/>
          <w:b/>
          <w:bCs/>
          <w:sz w:val="32"/>
          <w:szCs w:val="20"/>
        </w:rPr>
        <w:id w:val="147455733"/>
        <w15:color w:val="DBDBDB"/>
        <w:docPartObj>
          <w:docPartGallery w:val="Table of Contents"/>
          <w:docPartUnique/>
        </w:docPartObj>
      </w:sdtPr>
      <w:sdtEndPr>
        <w:rPr>
          <w:rFonts w:hint="eastAsia" w:ascii="仿宋_GB2312" w:hAnsi="仿宋_GB2312" w:eastAsia="仿宋_GB2312" w:cs="Arial"/>
          <w:b/>
          <w:bCs/>
          <w:sz w:val="32"/>
          <w:szCs w:val="20"/>
        </w:rPr>
      </w:sdtEndPr>
      <w:sdtContent>
        <w:p>
          <w:pPr>
            <w:jc w:val="center"/>
          </w:pPr>
          <w:r>
            <w:rPr>
              <w:rFonts w:ascii="宋体" w:hAnsi="宋体" w:eastAsia="宋体"/>
            </w:rPr>
            <w:t>目录</w:t>
          </w:r>
        </w:p>
        <w:p>
          <w:pPr>
            <w:pStyle w:val="8"/>
            <w:tabs>
              <w:tab w:val="right" w:leader="dot" w:pos="8306"/>
            </w:tabs>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"_Toc12187" </w:instrText>
          </w:r>
          <w:r>
            <w:fldChar w:fldCharType="separate"/>
          </w:r>
          <w:r>
            <w:rPr>
              <w:rFonts w:hint="eastAsia" w:ascii="宋体" w:hAnsi="宋体"/>
            </w:rPr>
            <w:t>总 则</w:t>
          </w:r>
          <w:r>
            <w:tab/>
          </w:r>
          <w:r>
            <w:fldChar w:fldCharType="begin"/>
          </w:r>
          <w:r>
            <w:instrText xml:space="preserve"> PAGEREF _Toc12187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"_Toc2053" </w:instrText>
          </w:r>
          <w:r>
            <w:fldChar w:fldCharType="separate"/>
          </w:r>
          <w:r>
            <w:rPr>
              <w:rFonts w:hint="eastAsia" w:ascii="黑体" w:hAnsi="黑体" w:eastAsia="黑体" w:cs="黑体"/>
              <w:szCs w:val="28"/>
            </w:rPr>
            <w:t>1  标的概况</w:t>
          </w:r>
          <w:r>
            <w:tab/>
          </w:r>
          <w:r>
            <w:fldChar w:fldCharType="begin"/>
          </w:r>
          <w:r>
            <w:instrText xml:space="preserve"> PAGEREF _Toc2053 \h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"_Toc19396" </w:instrText>
          </w:r>
          <w:r>
            <w:fldChar w:fldCharType="separate"/>
          </w:r>
          <w:r>
            <w:rPr>
              <w:rFonts w:hint="eastAsia" w:ascii="黑体" w:hAnsi="黑体" w:eastAsia="黑体" w:cs="黑体"/>
              <w:szCs w:val="28"/>
            </w:rPr>
            <w:t>2  采购物资清单</w:t>
          </w:r>
          <w:r>
            <w:tab/>
          </w:r>
          <w:r>
            <w:fldChar w:fldCharType="begin"/>
          </w:r>
          <w:r>
            <w:instrText xml:space="preserve"> PAGEREF _Toc19396 \h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"_Toc7809" </w:instrText>
          </w:r>
          <w:r>
            <w:fldChar w:fldCharType="separate"/>
          </w:r>
          <w:r>
            <w:rPr>
              <w:rFonts w:hint="eastAsia" w:ascii="黑体" w:hAnsi="黑体" w:eastAsia="黑体" w:cs="黑体"/>
              <w:szCs w:val="28"/>
            </w:rPr>
            <w:t>3  供应商资质要求</w:t>
          </w:r>
          <w:r>
            <w:tab/>
          </w:r>
          <w:r>
            <w:fldChar w:fldCharType="begin"/>
          </w:r>
          <w:r>
            <w:instrText xml:space="preserve"> PAGEREF _Toc7809 \h </w:instrText>
          </w:r>
          <w:r>
            <w:fldChar w:fldCharType="separate"/>
          </w:r>
          <w:r>
            <w:t>5</w:t>
          </w:r>
          <w:r>
            <w:fldChar w:fldCharType="end"/>
          </w:r>
          <w:r>
            <w:fldChar w:fldCharType="end"/>
          </w:r>
        </w:p>
        <w:p>
          <w:pPr>
            <w:pStyle w:val="2"/>
            <w:ind w:firstLine="643"/>
          </w:pPr>
          <w:r>
            <w:rPr>
              <w:rFonts w:hint="eastAsia"/>
            </w:rPr>
            <w:fldChar w:fldCharType="end"/>
          </w:r>
        </w:p>
      </w:sdtContent>
    </w:sdt>
    <w:p>
      <w:pPr>
        <w:rPr>
          <w:rFonts w:ascii="宋体" w:hAnsi="宋体"/>
          <w:b/>
          <w:sz w:val="32"/>
        </w:rPr>
      </w:pPr>
      <w:bookmarkStart w:id="6" w:name="_Toc12187"/>
      <w:r>
        <w:rPr>
          <w:rFonts w:hint="eastAsia" w:ascii="宋体" w:hAnsi="宋体"/>
          <w:b/>
          <w:sz w:val="32"/>
        </w:rPr>
        <w:br w:type="page"/>
      </w:r>
    </w:p>
    <w:p>
      <w:pPr>
        <w:spacing w:line="480" w:lineRule="auto"/>
        <w:jc w:val="center"/>
        <w:outlineLvl w:val="0"/>
        <w:rPr>
          <w:rFonts w:ascii="宋体" w:hAnsi="宋体"/>
          <w:b/>
          <w:sz w:val="32"/>
        </w:rPr>
      </w:pPr>
      <w:r>
        <w:rPr>
          <w:rFonts w:hint="eastAsia" w:ascii="宋体" w:hAnsi="宋体"/>
          <w:b/>
          <w:sz w:val="32"/>
        </w:rPr>
        <w:t>总 则</w:t>
      </w:r>
      <w:bookmarkEnd w:id="1"/>
      <w:bookmarkEnd w:id="2"/>
      <w:bookmarkEnd w:id="3"/>
      <w:bookmarkEnd w:id="4"/>
      <w:bookmarkEnd w:id="5"/>
      <w:bookmarkEnd w:id="6"/>
    </w:p>
    <w:p>
      <w:pPr>
        <w:numPr>
          <w:ilvl w:val="0"/>
          <w:numId w:val="1"/>
        </w:numPr>
        <w:spacing w:line="360" w:lineRule="auto"/>
        <w:rPr>
          <w:rFonts w:ascii="宋体" w:hAnsi="宋体"/>
          <w:bCs/>
          <w:sz w:val="24"/>
        </w:rPr>
      </w:pPr>
      <w:r>
        <w:rPr>
          <w:rFonts w:hint="eastAsia" w:ascii="宋体" w:hAnsi="宋体"/>
          <w:bCs/>
          <w:sz w:val="24"/>
        </w:rPr>
        <w:t>本文件为</w:t>
      </w:r>
      <w:r>
        <w:rPr>
          <w:rFonts w:hint="eastAsia" w:ascii="宋体" w:hAnsi="宋体" w:cs="宋体"/>
          <w:sz w:val="24"/>
        </w:rPr>
        <w:t>一种面向防误操作的双保险挂钩智能闭锁技术及装置研制</w:t>
      </w:r>
      <w:r>
        <w:rPr>
          <w:rFonts w:hint="eastAsia" w:ascii="宋体" w:hAnsi="宋体"/>
          <w:bCs/>
          <w:sz w:val="24"/>
          <w:u w:val="none"/>
        </w:rPr>
        <w:t>项目物资采购</w:t>
      </w:r>
      <w:r>
        <w:rPr>
          <w:rFonts w:hint="eastAsia" w:ascii="宋体" w:hAnsi="宋体"/>
          <w:bCs/>
          <w:sz w:val="24"/>
        </w:rPr>
        <w:t>项目技术招标文件。</w:t>
      </w:r>
    </w:p>
    <w:p>
      <w:pPr>
        <w:numPr>
          <w:ilvl w:val="0"/>
          <w:numId w:val="1"/>
        </w:numPr>
        <w:spacing w:line="360" w:lineRule="auto"/>
        <w:rPr>
          <w:rFonts w:ascii="宋体" w:hAnsi="宋体"/>
          <w:bCs/>
          <w:sz w:val="24"/>
        </w:rPr>
      </w:pPr>
      <w:r>
        <w:rPr>
          <w:rFonts w:hint="eastAsia" w:ascii="宋体" w:hAnsi="宋体"/>
          <w:bCs/>
          <w:sz w:val="24"/>
        </w:rPr>
        <w:t>本文件所描述的各</w:t>
      </w:r>
      <w:r>
        <w:rPr>
          <w:rFonts w:hint="eastAsia" w:hAnsi="宋体"/>
          <w:bCs/>
          <w:sz w:val="24"/>
        </w:rPr>
        <w:t>项技术要求</w:t>
      </w:r>
      <w:r>
        <w:rPr>
          <w:rFonts w:hint="eastAsia" w:ascii="宋体" w:hAnsi="宋体"/>
          <w:bCs/>
          <w:sz w:val="24"/>
        </w:rPr>
        <w:t>仅供投标方编制投标文件之用。</w:t>
      </w:r>
    </w:p>
    <w:p>
      <w:pPr>
        <w:numPr>
          <w:ilvl w:val="0"/>
          <w:numId w:val="1"/>
        </w:numPr>
        <w:spacing w:line="360" w:lineRule="auto"/>
        <w:rPr>
          <w:rFonts w:ascii="宋体" w:hAnsi="宋体"/>
          <w:bCs/>
          <w:sz w:val="24"/>
        </w:rPr>
      </w:pPr>
      <w:r>
        <w:rPr>
          <w:rFonts w:hint="eastAsia" w:ascii="宋体" w:hAnsi="宋体"/>
          <w:bCs/>
          <w:sz w:val="24"/>
        </w:rPr>
        <w:t>本标书仅描述基本的技术需求，并未对一切技术细节做出规定，也未充分引述有关标准和技术条文，投标方应根据需求目标提供进一步具体的可满足要求的</w:t>
      </w:r>
      <w:r>
        <w:rPr>
          <w:rFonts w:hint="eastAsia" w:hAnsi="宋体"/>
          <w:bCs/>
          <w:sz w:val="24"/>
        </w:rPr>
        <w:t>技术</w:t>
      </w:r>
      <w:r>
        <w:rPr>
          <w:rFonts w:hint="eastAsia" w:ascii="宋体" w:hAnsi="宋体"/>
          <w:bCs/>
          <w:sz w:val="24"/>
        </w:rPr>
        <w:t>指标。</w:t>
      </w:r>
    </w:p>
    <w:p>
      <w:pPr>
        <w:numPr>
          <w:ilvl w:val="0"/>
          <w:numId w:val="1"/>
        </w:numPr>
        <w:spacing w:line="360" w:lineRule="auto"/>
        <w:rPr>
          <w:rFonts w:ascii="宋体" w:hAnsi="宋体"/>
          <w:bCs/>
          <w:sz w:val="24"/>
        </w:rPr>
      </w:pPr>
      <w:r>
        <w:rPr>
          <w:rFonts w:hint="eastAsia" w:ascii="宋体" w:hAnsi="宋体"/>
          <w:bCs/>
          <w:sz w:val="24"/>
        </w:rPr>
        <w:t>投标技术文件要求文字精练、数据准确、表述及图示清晰明确，具有针对性。</w:t>
      </w:r>
    </w:p>
    <w:p>
      <w:pPr>
        <w:numPr>
          <w:ilvl w:val="0"/>
          <w:numId w:val="1"/>
        </w:numPr>
        <w:spacing w:line="360" w:lineRule="auto"/>
        <w:rPr>
          <w:rFonts w:ascii="宋体" w:hAnsi="宋体"/>
          <w:bCs/>
          <w:sz w:val="24"/>
        </w:rPr>
      </w:pPr>
      <w:r>
        <w:rPr>
          <w:rFonts w:hint="eastAsia" w:ascii="宋体" w:hAnsi="宋体"/>
          <w:bCs/>
          <w:sz w:val="24"/>
          <w:szCs w:val="22"/>
        </w:rPr>
        <w:t>投标方在投标技术文件中应对本标书逐项予以说明和答复,应如实反映投标</w:t>
      </w:r>
      <w:r>
        <w:rPr>
          <w:rFonts w:hint="eastAsia" w:hAnsi="宋体"/>
          <w:bCs/>
          <w:sz w:val="24"/>
          <w:szCs w:val="22"/>
        </w:rPr>
        <w:t>服务</w:t>
      </w:r>
      <w:r>
        <w:rPr>
          <w:rFonts w:hint="eastAsia" w:ascii="宋体" w:hAnsi="宋体"/>
          <w:bCs/>
          <w:sz w:val="24"/>
          <w:szCs w:val="22"/>
        </w:rPr>
        <w:t>与本技术规范书的技术差异。如果投标方没有提出技术差异，而在执行合同的过程中，招标方发现投标方提供的</w:t>
      </w:r>
      <w:r>
        <w:rPr>
          <w:rFonts w:hint="eastAsia" w:hAnsi="宋体"/>
          <w:bCs/>
          <w:sz w:val="24"/>
          <w:szCs w:val="22"/>
        </w:rPr>
        <w:t>服务</w:t>
      </w:r>
      <w:r>
        <w:rPr>
          <w:rFonts w:hint="eastAsia" w:ascii="宋体" w:hAnsi="宋体"/>
          <w:bCs/>
          <w:sz w:val="24"/>
          <w:szCs w:val="22"/>
        </w:rPr>
        <w:t>与其投标技术文件的条文存在差异，招标方</w:t>
      </w:r>
      <w:r>
        <w:rPr>
          <w:rFonts w:hint="eastAsia" w:hAnsi="宋体"/>
          <w:bCs/>
          <w:sz w:val="24"/>
          <w:szCs w:val="22"/>
        </w:rPr>
        <w:t>将</w:t>
      </w:r>
      <w:r>
        <w:rPr>
          <w:rFonts w:hint="eastAsia" w:ascii="宋体" w:hAnsi="宋体"/>
          <w:bCs/>
          <w:sz w:val="24"/>
          <w:szCs w:val="22"/>
        </w:rPr>
        <w:t>追究投标方违约责任</w:t>
      </w:r>
      <w:r>
        <w:rPr>
          <w:rFonts w:hint="eastAsia" w:ascii="宋体" w:hAnsi="宋体"/>
          <w:bCs/>
          <w:sz w:val="24"/>
        </w:rPr>
        <w:t>。</w:t>
      </w:r>
    </w:p>
    <w:p>
      <w:pPr>
        <w:numPr>
          <w:ilvl w:val="0"/>
          <w:numId w:val="1"/>
        </w:numPr>
        <w:spacing w:line="360" w:lineRule="auto"/>
        <w:rPr>
          <w:rFonts w:ascii="宋体" w:hAnsi="宋体"/>
          <w:bCs/>
          <w:sz w:val="24"/>
        </w:rPr>
      </w:pPr>
      <w:r>
        <w:rPr>
          <w:rFonts w:hint="eastAsia" w:ascii="宋体" w:hAnsi="宋体"/>
          <w:bCs/>
          <w:sz w:val="24"/>
          <w:szCs w:val="22"/>
        </w:rPr>
        <w:t>投标方应在投标技术部分按本技术规范书的要求</w:t>
      </w:r>
      <w:r>
        <w:rPr>
          <w:rFonts w:hint="eastAsia" w:hAnsi="宋体"/>
          <w:bCs/>
          <w:sz w:val="24"/>
          <w:szCs w:val="22"/>
        </w:rPr>
        <w:t>内容</w:t>
      </w:r>
      <w:r>
        <w:rPr>
          <w:rFonts w:hint="eastAsia" w:ascii="宋体" w:hAnsi="宋体"/>
          <w:bCs/>
          <w:sz w:val="24"/>
          <w:szCs w:val="22"/>
        </w:rPr>
        <w:t>如实详细填写投标</w:t>
      </w:r>
      <w:r>
        <w:rPr>
          <w:rFonts w:hint="eastAsia" w:hAnsi="宋体"/>
          <w:bCs/>
          <w:sz w:val="24"/>
          <w:szCs w:val="22"/>
        </w:rPr>
        <w:t>服务</w:t>
      </w:r>
      <w:r>
        <w:rPr>
          <w:rFonts w:hint="eastAsia" w:ascii="宋体" w:hAnsi="宋体"/>
          <w:bCs/>
          <w:sz w:val="24"/>
          <w:szCs w:val="22"/>
        </w:rPr>
        <w:t>的</w:t>
      </w:r>
      <w:r>
        <w:rPr>
          <w:rFonts w:hint="eastAsia" w:hAnsi="宋体"/>
          <w:bCs/>
          <w:sz w:val="24"/>
          <w:szCs w:val="22"/>
        </w:rPr>
        <w:t>范围及明细</w:t>
      </w:r>
      <w:r>
        <w:rPr>
          <w:rFonts w:hint="eastAsia" w:ascii="宋体" w:hAnsi="宋体"/>
          <w:bCs/>
          <w:sz w:val="24"/>
          <w:szCs w:val="22"/>
        </w:rPr>
        <w:t>，并在投标商务部分</w:t>
      </w:r>
      <w:r>
        <w:rPr>
          <w:rFonts w:hint="eastAsia" w:hAnsi="宋体"/>
          <w:bCs/>
          <w:sz w:val="24"/>
          <w:szCs w:val="22"/>
        </w:rPr>
        <w:t>（或报价部分）</w:t>
      </w:r>
      <w:r>
        <w:rPr>
          <w:rFonts w:hint="eastAsia" w:ascii="宋体" w:hAnsi="宋体"/>
          <w:bCs/>
          <w:sz w:val="24"/>
          <w:szCs w:val="22"/>
        </w:rPr>
        <w:t>按</w:t>
      </w:r>
      <w:r>
        <w:rPr>
          <w:rFonts w:hint="eastAsia" w:hAnsi="宋体"/>
          <w:bCs/>
          <w:sz w:val="24"/>
          <w:szCs w:val="22"/>
        </w:rPr>
        <w:t>此范围及明细</w:t>
      </w:r>
      <w:r>
        <w:rPr>
          <w:rFonts w:hint="eastAsia" w:ascii="宋体" w:hAnsi="宋体"/>
          <w:bCs/>
          <w:sz w:val="24"/>
          <w:szCs w:val="22"/>
        </w:rPr>
        <w:t>进行</w:t>
      </w:r>
      <w:r>
        <w:rPr>
          <w:rFonts w:hint="eastAsia" w:hAnsi="宋体"/>
          <w:bCs/>
          <w:sz w:val="24"/>
          <w:szCs w:val="22"/>
        </w:rPr>
        <w:t>分项</w:t>
      </w:r>
      <w:r>
        <w:rPr>
          <w:rFonts w:hint="eastAsia" w:ascii="宋体" w:hAnsi="宋体"/>
          <w:bCs/>
          <w:sz w:val="24"/>
          <w:szCs w:val="22"/>
        </w:rPr>
        <w:t>报价，如发现</w:t>
      </w:r>
      <w:r>
        <w:rPr>
          <w:rFonts w:hint="eastAsia" w:hAnsi="宋体"/>
          <w:bCs/>
          <w:sz w:val="24"/>
          <w:szCs w:val="22"/>
        </w:rPr>
        <w:t>总报价与分项报价</w:t>
      </w:r>
      <w:r>
        <w:rPr>
          <w:rFonts w:hint="eastAsia" w:ascii="宋体" w:hAnsi="宋体"/>
          <w:bCs/>
          <w:sz w:val="24"/>
          <w:szCs w:val="22"/>
        </w:rPr>
        <w:t>有矛盾之处，将按有利于招标方的条款执行</w:t>
      </w:r>
      <w:r>
        <w:rPr>
          <w:rFonts w:hint="eastAsia" w:hAnsi="宋体"/>
          <w:bCs/>
          <w:sz w:val="24"/>
          <w:szCs w:val="22"/>
        </w:rPr>
        <w:t>。</w:t>
      </w:r>
      <w:r>
        <w:rPr>
          <w:rFonts w:hint="eastAsia" w:ascii="宋体" w:hAnsi="宋体"/>
          <w:bCs/>
          <w:sz w:val="24"/>
          <w:szCs w:val="22"/>
        </w:rPr>
        <w:t xml:space="preserve"> </w:t>
      </w:r>
    </w:p>
    <w:p>
      <w:pPr>
        <w:numPr>
          <w:ilvl w:val="0"/>
          <w:numId w:val="1"/>
        </w:numPr>
        <w:spacing w:line="360" w:lineRule="auto"/>
        <w:rPr>
          <w:rFonts w:ascii="宋体" w:hAnsi="宋体"/>
          <w:bCs/>
          <w:sz w:val="24"/>
          <w:szCs w:val="22"/>
        </w:rPr>
      </w:pPr>
      <w:r>
        <w:rPr>
          <w:rFonts w:hint="eastAsia" w:ascii="宋体" w:hAnsi="宋体"/>
          <w:bCs/>
          <w:sz w:val="24"/>
          <w:szCs w:val="22"/>
        </w:rPr>
        <w:t>投标方必须仔细阅读采购文件的全部条款，并作出明确响应。采购文件带“★”号的条款及要求，报价方必须满足，若有一项不满足将否决投标。</w:t>
      </w:r>
    </w:p>
    <w:p>
      <w:pPr>
        <w:numPr>
          <w:ilvl w:val="0"/>
          <w:numId w:val="1"/>
        </w:numPr>
        <w:spacing w:line="360" w:lineRule="auto"/>
        <w:rPr>
          <w:rFonts w:ascii="宋体" w:hAnsi="宋体"/>
          <w:bCs/>
          <w:sz w:val="24"/>
          <w:szCs w:val="22"/>
        </w:rPr>
      </w:pPr>
      <w:r>
        <w:rPr>
          <w:rFonts w:hint="eastAsia" w:ascii="宋体" w:hAnsi="宋体"/>
          <w:bCs/>
          <w:sz w:val="24"/>
          <w:szCs w:val="22"/>
        </w:rPr>
        <w:t>本技术规范书经买、卖双方确认后作为订货合同的技术附件，与合同正文具有同等的法律效力。</w:t>
      </w:r>
    </w:p>
    <w:p>
      <w:pPr>
        <w:numPr>
          <w:ilvl w:val="0"/>
          <w:numId w:val="1"/>
        </w:numPr>
        <w:spacing w:line="360" w:lineRule="auto"/>
        <w:rPr>
          <w:rFonts w:ascii="宋体" w:hAnsi="宋体"/>
          <w:bCs/>
          <w:sz w:val="24"/>
          <w:szCs w:val="22"/>
        </w:rPr>
      </w:pPr>
      <w:r>
        <w:rPr>
          <w:rFonts w:hint="eastAsia" w:ascii="宋体" w:hAnsi="宋体"/>
          <w:bCs/>
          <w:sz w:val="24"/>
          <w:szCs w:val="22"/>
        </w:rPr>
        <w:t>本技术规范书未尽事宜，由买、卖双方协商确定。</w:t>
      </w:r>
    </w:p>
    <w:p>
      <w:pPr>
        <w:numPr>
          <w:ilvl w:val="0"/>
          <w:numId w:val="1"/>
        </w:numPr>
        <w:spacing w:line="360" w:lineRule="auto"/>
        <w:rPr>
          <w:rFonts w:ascii="宋体" w:hAnsi="宋体"/>
          <w:bCs/>
          <w:sz w:val="24"/>
        </w:rPr>
      </w:pPr>
      <w:r>
        <w:rPr>
          <w:rFonts w:hint="eastAsia" w:ascii="宋体" w:hAnsi="宋体"/>
          <w:bCs/>
          <w:sz w:val="24"/>
        </w:rPr>
        <w:t>本标书的最终解释权归招标方。</w:t>
      </w:r>
    </w:p>
    <w:p>
      <w:r>
        <w:rPr>
          <w:rFonts w:hint="eastAsia"/>
        </w:rPr>
        <w:br w:type="page"/>
      </w:r>
    </w:p>
    <w:p>
      <w:pPr>
        <w:pStyle w:val="9"/>
        <w:spacing w:before="312"/>
        <w:outlineLvl w:val="0"/>
        <w:rPr>
          <w:rFonts w:ascii="黑体" w:hAnsi="黑体" w:eastAsia="黑体" w:cs="黑体"/>
          <w:sz w:val="28"/>
          <w:szCs w:val="28"/>
        </w:rPr>
      </w:pPr>
      <w:bookmarkStart w:id="7" w:name="_Toc150452273"/>
      <w:bookmarkStart w:id="8" w:name="_Toc2053"/>
      <w:r>
        <w:rPr>
          <w:rFonts w:hint="eastAsia" w:ascii="黑体" w:hAnsi="黑体" w:eastAsia="黑体" w:cs="黑体"/>
          <w:sz w:val="28"/>
          <w:szCs w:val="28"/>
        </w:rPr>
        <w:t xml:space="preserve">1  </w:t>
      </w:r>
      <w:r>
        <w:rPr>
          <w:rFonts w:hint="eastAsia" w:ascii="黑体" w:hAnsi="黑体" w:eastAsia="黑体" w:cs="黑体"/>
          <w:sz w:val="28"/>
          <w:szCs w:val="28"/>
          <w:lang w:val="en-US" w:eastAsia="zh-CN"/>
        </w:rPr>
        <w:t>项目</w:t>
      </w:r>
      <w:r>
        <w:rPr>
          <w:rFonts w:hint="eastAsia" w:ascii="黑体" w:hAnsi="黑体" w:eastAsia="黑体" w:cs="黑体"/>
          <w:sz w:val="28"/>
          <w:szCs w:val="28"/>
        </w:rPr>
        <w:t>概况</w:t>
      </w:r>
      <w:bookmarkEnd w:id="7"/>
      <w:bookmarkEnd w:id="8"/>
    </w:p>
    <w:p>
      <w:pPr>
        <w:spacing w:line="360" w:lineRule="auto"/>
        <w:ind w:firstLine="480" w:firstLineChars="200"/>
        <w:rPr>
          <w:rFonts w:ascii="宋体" w:hAnsi="宋体" w:cs="宋体"/>
          <w:sz w:val="24"/>
        </w:rPr>
      </w:pPr>
      <w:r>
        <w:rPr>
          <w:rFonts w:hint="eastAsia" w:ascii="宋体" w:hAnsi="宋体" w:cs="宋体"/>
          <w:sz w:val="24"/>
        </w:rPr>
        <w:t>电线杆攀爬作业作为配网运维、检修的基础环节，在作业过程中，</w:t>
      </w:r>
      <w:r>
        <w:rPr>
          <w:rFonts w:hint="eastAsia" w:ascii="宋体" w:hAnsi="宋体"/>
          <w:sz w:val="24"/>
        </w:rPr>
        <w:t>双保险挂钩中的主勾与副勾在实际作业过程中，由于频繁移位、操作繁琐、人为疏忽等原因，出现解除后未及时复位、挂钩手持或腰挂等违规行为。此类违规状态下，作业人员易产生 “仍有单侧保险防护” 的误判，进而违规解除剩余侧保险挂钩，最终导致双保险完全缺失，一旦发生失足、重心失衡等情况，将直接引发高空坠落事故，现有安全挂钩依赖人员自觉与监护提醒，缺乏对主、副勾状态的识别和互锁联控能力，存在明显安全隐患。</w:t>
      </w:r>
    </w:p>
    <w:p>
      <w:pPr>
        <w:spacing w:line="360" w:lineRule="auto"/>
        <w:ind w:firstLine="480" w:firstLineChars="200"/>
        <w:rPr>
          <w:rFonts w:hint="eastAsia" w:ascii="宋体" w:hAnsi="宋体" w:cs="宋体" w:eastAsiaTheme="minorEastAsia"/>
          <w:sz w:val="24"/>
          <w:lang w:eastAsia="zh-CN"/>
        </w:rPr>
      </w:pPr>
      <w:r>
        <w:rPr>
          <w:rFonts w:hint="eastAsia" w:ascii="宋体" w:hAnsi="宋体" w:cs="宋体"/>
          <w:sz w:val="24"/>
        </w:rPr>
        <w:t>本项目针对双保险挂钩的使用规范和日常作业中发现的攀爬过程中经常出现的违规操作问题，</w:t>
      </w:r>
      <w:bookmarkStart w:id="9" w:name="_Toc150452274"/>
      <w:bookmarkStart w:id="10" w:name="_Toc19396"/>
      <w:r>
        <w:rPr>
          <w:rFonts w:hint="eastAsia" w:ascii="宋体" w:hAnsi="宋体" w:cs="宋体"/>
          <w:sz w:val="24"/>
          <w:lang w:val="en-US" w:eastAsia="zh-CN"/>
        </w:rPr>
        <w:t>开展</w:t>
      </w:r>
      <w:r>
        <w:rPr>
          <w:rFonts w:hint="eastAsia" w:ascii="宋体" w:hAnsi="宋体" w:cs="宋体"/>
          <w:sz w:val="24"/>
        </w:rPr>
        <w:t>一种面向防误操作的双保险挂钩智能闭锁技术及装置研制</w:t>
      </w:r>
      <w:r>
        <w:rPr>
          <w:rFonts w:hint="eastAsia" w:ascii="宋体" w:hAnsi="宋体" w:cs="宋体"/>
          <w:sz w:val="24"/>
          <w:lang w:val="en-US" w:eastAsia="zh-CN"/>
        </w:rPr>
        <w:t>工作</w:t>
      </w:r>
      <w:r>
        <w:rPr>
          <w:rFonts w:hint="eastAsia" w:ascii="宋体" w:hAnsi="宋体" w:cs="宋体"/>
          <w:sz w:val="24"/>
          <w:lang w:eastAsia="zh-CN"/>
        </w:rPr>
        <w:t>。</w:t>
      </w:r>
    </w:p>
    <w:p>
      <w:pPr>
        <w:pStyle w:val="9"/>
        <w:spacing w:before="312"/>
        <w:outlineLvl w:val="0"/>
        <w:rPr>
          <w:rFonts w:ascii="黑体" w:hAnsi="黑体" w:eastAsia="黑体" w:cs="黑体"/>
          <w:sz w:val="28"/>
          <w:szCs w:val="28"/>
        </w:rPr>
      </w:pPr>
      <w:r>
        <w:rPr>
          <w:rFonts w:hint="eastAsia" w:ascii="黑体" w:hAnsi="黑体" w:eastAsia="黑体" w:cs="黑体"/>
          <w:sz w:val="28"/>
          <w:szCs w:val="28"/>
        </w:rPr>
        <w:t xml:space="preserve">2  </w:t>
      </w:r>
      <w:bookmarkEnd w:id="9"/>
      <w:r>
        <w:rPr>
          <w:rFonts w:hint="eastAsia" w:ascii="黑体" w:hAnsi="黑体" w:eastAsia="黑体" w:cs="黑体"/>
          <w:sz w:val="28"/>
          <w:szCs w:val="28"/>
        </w:rPr>
        <w:t>采购物资清单</w:t>
      </w:r>
      <w:bookmarkEnd w:id="10"/>
    </w:p>
    <w:tbl>
      <w:tblPr>
        <w:tblStyle w:val="4"/>
        <w:tblW w:w="0" w:type="auto"/>
        <w:tblInd w:w="93" w:type="dxa"/>
        <w:tblLayout w:type="fixed"/>
        <w:tblCellMar>
          <w:top w:w="0" w:type="dxa"/>
          <w:left w:w="108" w:type="dxa"/>
          <w:bottom w:w="0" w:type="dxa"/>
          <w:right w:w="108" w:type="dxa"/>
        </w:tblCellMar>
      </w:tblPr>
      <w:tblGrid>
        <w:gridCol w:w="656"/>
        <w:gridCol w:w="2416"/>
        <w:gridCol w:w="3296"/>
        <w:gridCol w:w="886"/>
        <w:gridCol w:w="985"/>
      </w:tblGrid>
      <w:tr>
        <w:tblPrEx>
          <w:tblCellMar>
            <w:top w:w="0" w:type="dxa"/>
            <w:left w:w="108" w:type="dxa"/>
            <w:bottom w:w="0" w:type="dxa"/>
            <w:right w:w="108" w:type="dxa"/>
          </w:tblCellMar>
        </w:tblPrEx>
        <w:trPr>
          <w:trHeight w:val="473" w:hRule="atLeast"/>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b/>
                <w:bCs/>
                <w:color w:val="000000"/>
                <w:sz w:val="22"/>
                <w:szCs w:val="22"/>
              </w:rPr>
            </w:pPr>
            <w:bookmarkStart w:id="11" w:name="_Toc7809"/>
            <w:r>
              <w:rPr>
                <w:rFonts w:hint="eastAsia" w:ascii="等线" w:hAnsi="等线" w:eastAsia="等线" w:cs="等线"/>
                <w:b/>
                <w:bCs/>
                <w:color w:val="000000"/>
                <w:kern w:val="0"/>
                <w:sz w:val="22"/>
                <w:szCs w:val="22"/>
                <w:lang w:bidi="ar"/>
              </w:rPr>
              <w:t>序号</w:t>
            </w:r>
          </w:p>
        </w:tc>
        <w:tc>
          <w:tcPr>
            <w:tcW w:w="2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b/>
                <w:bCs/>
                <w:color w:val="000000"/>
                <w:sz w:val="22"/>
                <w:szCs w:val="22"/>
              </w:rPr>
            </w:pPr>
            <w:r>
              <w:rPr>
                <w:rFonts w:hint="eastAsia" w:ascii="等线" w:hAnsi="等线" w:eastAsia="等线" w:cs="等线"/>
                <w:b/>
                <w:bCs/>
                <w:color w:val="000000"/>
                <w:kern w:val="0"/>
                <w:sz w:val="22"/>
                <w:szCs w:val="22"/>
                <w:lang w:bidi="ar"/>
              </w:rPr>
              <w:t>材料名称</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default" w:ascii="等线" w:hAnsi="等线" w:eastAsia="等线" w:cs="等线"/>
                <w:b/>
                <w:bCs/>
                <w:color w:val="000000"/>
                <w:kern w:val="0"/>
                <w:sz w:val="22"/>
                <w:szCs w:val="22"/>
                <w:lang w:val="en-US" w:eastAsia="zh-CN" w:bidi="ar"/>
              </w:rPr>
            </w:pPr>
            <w:r>
              <w:rPr>
                <w:rFonts w:hint="eastAsia" w:ascii="等线" w:hAnsi="等线" w:eastAsia="等线" w:cs="等线"/>
                <w:b/>
                <w:bCs/>
                <w:color w:val="000000"/>
                <w:kern w:val="0"/>
                <w:sz w:val="22"/>
                <w:szCs w:val="22"/>
                <w:lang w:val="en-US" w:eastAsia="zh-CN" w:bidi="ar"/>
              </w:rPr>
              <w:t>规格参数</w:t>
            </w: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等线" w:hAnsi="等线" w:eastAsia="等线" w:cs="等线"/>
                <w:b/>
                <w:bCs/>
                <w:color w:val="000000"/>
                <w:sz w:val="22"/>
                <w:szCs w:val="22"/>
              </w:rPr>
            </w:pPr>
            <w:r>
              <w:rPr>
                <w:rFonts w:hint="eastAsia" w:ascii="等线" w:hAnsi="等线" w:eastAsia="等线" w:cs="等线"/>
                <w:b/>
                <w:bCs/>
                <w:color w:val="000000"/>
                <w:kern w:val="0"/>
                <w:sz w:val="22"/>
                <w:szCs w:val="22"/>
                <w:lang w:bidi="ar"/>
              </w:rPr>
              <w:t>数量</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等线" w:hAnsi="等线" w:eastAsia="等线" w:cs="等线"/>
                <w:b/>
                <w:bCs/>
                <w:color w:val="000000"/>
                <w:sz w:val="22"/>
                <w:szCs w:val="22"/>
              </w:rPr>
            </w:pPr>
            <w:r>
              <w:rPr>
                <w:rFonts w:hint="eastAsia" w:ascii="等线" w:hAnsi="等线" w:eastAsia="等线" w:cs="等线"/>
                <w:b/>
                <w:bCs/>
                <w:color w:val="000000"/>
                <w:sz w:val="22"/>
                <w:szCs w:val="22"/>
              </w:rPr>
              <w:t>单位</w:t>
            </w:r>
          </w:p>
        </w:tc>
      </w:tr>
      <w:tr>
        <w:tblPrEx>
          <w:tblCellMar>
            <w:top w:w="0" w:type="dxa"/>
            <w:left w:w="108" w:type="dxa"/>
            <w:bottom w:w="0" w:type="dxa"/>
            <w:right w:w="108" w:type="dxa"/>
          </w:tblCellMar>
        </w:tblPrEx>
        <w:trPr>
          <w:trHeight w:val="361" w:hRule="atLeast"/>
        </w:trPr>
        <w:tc>
          <w:tcPr>
            <w:tcW w:w="65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1</w:t>
            </w:r>
          </w:p>
        </w:tc>
        <w:tc>
          <w:tcPr>
            <w:tcW w:w="241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压力传感器选型及验证</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等线" w:hAnsi="等线" w:eastAsia="等线"/>
                <w:color w:val="000000"/>
                <w:sz w:val="22"/>
                <w:szCs w:val="22"/>
              </w:rPr>
            </w:pPr>
            <w:r>
              <w:rPr>
                <w:rFonts w:hint="eastAsia"/>
                <w:color w:val="000000"/>
                <w:sz w:val="22"/>
                <w:szCs w:val="22"/>
              </w:rPr>
              <w:t>符合本项目研究应用的功能要求</w:t>
            </w: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3</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套</w:t>
            </w:r>
          </w:p>
        </w:tc>
      </w:tr>
      <w:tr>
        <w:tblPrEx>
          <w:tblCellMar>
            <w:top w:w="0" w:type="dxa"/>
            <w:left w:w="108" w:type="dxa"/>
            <w:bottom w:w="0" w:type="dxa"/>
            <w:right w:w="108" w:type="dxa"/>
          </w:tblCellMar>
        </w:tblPrEx>
        <w:trPr>
          <w:trHeight w:val="90" w:hRule="atLeast"/>
        </w:trPr>
        <w:tc>
          <w:tcPr>
            <w:tcW w:w="65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2</w:t>
            </w:r>
          </w:p>
        </w:tc>
        <w:tc>
          <w:tcPr>
            <w:tcW w:w="241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霍尔传感器选型及验证</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等线" w:hAnsi="等线" w:eastAsia="等线"/>
                <w:color w:val="000000"/>
                <w:sz w:val="22"/>
                <w:szCs w:val="22"/>
              </w:rPr>
            </w:pPr>
            <w:r>
              <w:rPr>
                <w:rFonts w:hint="eastAsia"/>
                <w:color w:val="000000"/>
                <w:sz w:val="22"/>
                <w:szCs w:val="22"/>
              </w:rPr>
              <w:t>符合本项目研究应用的功能要求</w:t>
            </w: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3</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color w:val="000000"/>
                <w:sz w:val="22"/>
                <w:szCs w:val="22"/>
              </w:rPr>
              <w:t>套</w:t>
            </w:r>
          </w:p>
        </w:tc>
      </w:tr>
      <w:tr>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3</w:t>
            </w:r>
          </w:p>
        </w:tc>
        <w:tc>
          <w:tcPr>
            <w:tcW w:w="241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便携电池选型及验证</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等线" w:hAnsi="等线" w:eastAsia="等线"/>
                <w:color w:val="000000"/>
                <w:sz w:val="22"/>
                <w:szCs w:val="22"/>
              </w:rPr>
            </w:pPr>
            <w:r>
              <w:rPr>
                <w:rFonts w:hint="eastAsia"/>
                <w:color w:val="000000"/>
                <w:sz w:val="22"/>
                <w:szCs w:val="22"/>
              </w:rPr>
              <w:t>符合本项目研究应用的功能要求</w:t>
            </w: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3</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个</w:t>
            </w:r>
          </w:p>
        </w:tc>
      </w:tr>
      <w:tr>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4</w:t>
            </w:r>
          </w:p>
        </w:tc>
        <w:tc>
          <w:tcPr>
            <w:tcW w:w="241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定制结构外壳部件</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等线" w:hAnsi="等线" w:eastAsia="等线"/>
                <w:color w:val="000000"/>
                <w:sz w:val="22"/>
                <w:szCs w:val="22"/>
              </w:rPr>
            </w:pPr>
            <w:r>
              <w:rPr>
                <w:rFonts w:hint="eastAsia"/>
                <w:color w:val="000000"/>
                <w:sz w:val="22"/>
                <w:szCs w:val="22"/>
              </w:rPr>
              <w:t>符合本项目研究应用的功能要求</w:t>
            </w: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color w:val="000000"/>
                <w:sz w:val="22"/>
                <w:szCs w:val="22"/>
              </w:rPr>
              <w:t>套</w:t>
            </w:r>
          </w:p>
        </w:tc>
      </w:tr>
      <w:tr>
        <w:tblPrEx>
          <w:tblCellMar>
            <w:top w:w="0" w:type="dxa"/>
            <w:left w:w="108" w:type="dxa"/>
            <w:bottom w:w="0" w:type="dxa"/>
            <w:right w:w="108" w:type="dxa"/>
          </w:tblCellMar>
        </w:tblPrEx>
        <w:trPr>
          <w:trHeight w:val="331" w:hRule="atLeast"/>
        </w:trPr>
        <w:tc>
          <w:tcPr>
            <w:tcW w:w="656" w:type="dxa"/>
            <w:tcBorders>
              <w:top w:val="single" w:color="000000" w:sz="4" w:space="0"/>
              <w:left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s="等线"/>
                <w:color w:val="000000"/>
                <w:kern w:val="0"/>
                <w:sz w:val="22"/>
                <w:szCs w:val="22"/>
                <w:lang w:bidi="ar"/>
              </w:rPr>
              <w:t>5</w:t>
            </w:r>
          </w:p>
        </w:tc>
        <w:tc>
          <w:tcPr>
            <w:tcW w:w="2416"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ascii="等线" w:hAnsi="等线" w:eastAsia="等线"/>
                <w:color w:val="000000"/>
                <w:sz w:val="22"/>
                <w:szCs w:val="22"/>
              </w:rPr>
              <w:t>蓝牙模块选型及验证</w:t>
            </w:r>
          </w:p>
        </w:tc>
        <w:tc>
          <w:tcPr>
            <w:tcW w:w="32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hint="eastAsia" w:ascii="等线" w:hAnsi="等线" w:eastAsia="等线"/>
                <w:color w:val="000000"/>
                <w:sz w:val="22"/>
                <w:szCs w:val="22"/>
              </w:rPr>
            </w:pPr>
            <w:r>
              <w:rPr>
                <w:rFonts w:hint="eastAsia"/>
                <w:color w:val="000000"/>
                <w:sz w:val="22"/>
                <w:szCs w:val="22"/>
              </w:rPr>
              <w:t>符合本项目研究应用的功能要求</w:t>
            </w:r>
          </w:p>
        </w:tc>
        <w:tc>
          <w:tcPr>
            <w:tcW w:w="8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color w:val="000000"/>
                <w:sz w:val="22"/>
                <w:szCs w:val="22"/>
              </w:rPr>
              <w:t>3</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color w:val="000000"/>
                <w:sz w:val="22"/>
                <w:szCs w:val="22"/>
              </w:rPr>
              <w:t>套</w:t>
            </w:r>
          </w:p>
        </w:tc>
      </w:tr>
      <w:tr>
        <w:tblPrEx>
          <w:tblCellMar>
            <w:top w:w="0" w:type="dxa"/>
            <w:left w:w="108" w:type="dxa"/>
            <w:bottom w:w="0" w:type="dxa"/>
            <w:right w:w="108" w:type="dxa"/>
          </w:tblCellMar>
        </w:tblPrEx>
        <w:trPr>
          <w:trHeight w:val="351" w:hRule="atLeast"/>
        </w:trPr>
        <w:tc>
          <w:tcPr>
            <w:tcW w:w="656" w:type="dxa"/>
            <w:tcBorders>
              <w:top w:val="single" w:color="000000" w:sz="4" w:space="0"/>
              <w:left w:val="single" w:color="000000" w:sz="4" w:space="0"/>
              <w:right w:val="single" w:color="auto" w:sz="4" w:space="0"/>
            </w:tcBorders>
            <w:shd w:val="clear" w:color="auto" w:fill="auto"/>
            <w:noWrap/>
            <w:vAlign w:val="center"/>
          </w:tcPr>
          <w:p>
            <w:pPr>
              <w:jc w:val="center"/>
              <w:rPr>
                <w:rFonts w:ascii="等线" w:hAnsi="等线" w:eastAsia="等线" w:cs="等线"/>
                <w:color w:val="000000"/>
                <w:sz w:val="22"/>
                <w:szCs w:val="22"/>
              </w:rPr>
            </w:pPr>
            <w:r>
              <w:rPr>
                <w:rFonts w:hint="eastAsia" w:ascii="等线" w:hAnsi="等线" w:eastAsia="等线" w:cs="等线"/>
                <w:color w:val="000000"/>
                <w:sz w:val="22"/>
                <w:szCs w:val="22"/>
              </w:rPr>
              <w:t>6</w:t>
            </w:r>
          </w:p>
        </w:tc>
        <w:tc>
          <w:tcPr>
            <w:tcW w:w="241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等线" w:hAnsi="等线" w:eastAsia="等线" w:cs="等线"/>
                <w:color w:val="000000"/>
                <w:sz w:val="22"/>
                <w:szCs w:val="22"/>
              </w:rPr>
            </w:pPr>
            <w:r>
              <w:rPr>
                <w:rFonts w:hint="eastAsia" w:ascii="等线" w:hAnsi="等线" w:eastAsia="等线"/>
                <w:color w:val="000000"/>
                <w:sz w:val="22"/>
                <w:szCs w:val="22"/>
              </w:rPr>
              <w:t>定制驱动控制部件</w:t>
            </w:r>
          </w:p>
        </w:tc>
        <w:tc>
          <w:tcPr>
            <w:tcW w:w="3296"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等线" w:hAnsi="等线" w:eastAsia="等线"/>
                <w:color w:val="000000"/>
                <w:sz w:val="22"/>
                <w:szCs w:val="22"/>
              </w:rPr>
            </w:pPr>
            <w:r>
              <w:rPr>
                <w:rFonts w:hint="eastAsia"/>
                <w:color w:val="000000"/>
                <w:sz w:val="22"/>
                <w:szCs w:val="22"/>
              </w:rPr>
              <w:t>符合本项目研究应用的功能要求</w:t>
            </w:r>
          </w:p>
        </w:tc>
        <w:tc>
          <w:tcPr>
            <w:tcW w:w="886"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sz w:val="22"/>
                <w:szCs w:val="22"/>
              </w:rPr>
            </w:pPr>
            <w:r>
              <w:rPr>
                <w:rFonts w:hint="eastAsia"/>
                <w:color w:val="000000"/>
                <w:sz w:val="22"/>
                <w:szCs w:val="22"/>
              </w:rPr>
              <w:t>1</w:t>
            </w: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套</w:t>
            </w:r>
          </w:p>
        </w:tc>
      </w:tr>
      <w:tr>
        <w:tblPrEx>
          <w:tblCellMar>
            <w:top w:w="0" w:type="dxa"/>
            <w:left w:w="108" w:type="dxa"/>
            <w:bottom w:w="0" w:type="dxa"/>
            <w:right w:w="108" w:type="dxa"/>
          </w:tblCellMar>
        </w:tblPrEx>
        <w:trPr>
          <w:trHeight w:val="351" w:hRule="atLeast"/>
        </w:trPr>
        <w:tc>
          <w:tcPr>
            <w:tcW w:w="65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等线" w:hAnsi="等线" w:eastAsia="等线" w:cs="等线"/>
                <w:color w:val="000000"/>
                <w:sz w:val="22"/>
                <w:szCs w:val="22"/>
              </w:rPr>
            </w:pPr>
            <w:r>
              <w:rPr>
                <w:rFonts w:hint="eastAsia" w:ascii="等线" w:hAnsi="等线" w:eastAsia="等线" w:cs="等线"/>
                <w:color w:val="000000"/>
                <w:sz w:val="22"/>
                <w:szCs w:val="22"/>
              </w:rPr>
              <w:t>7</w:t>
            </w:r>
          </w:p>
        </w:tc>
        <w:tc>
          <w:tcPr>
            <w:tcW w:w="241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ascii="等线" w:hAnsi="等线" w:eastAsia="等线" w:cs="等线"/>
                <w:color w:val="000000"/>
                <w:sz w:val="22"/>
                <w:szCs w:val="22"/>
              </w:rPr>
            </w:pPr>
            <w:r>
              <w:rPr>
                <w:rFonts w:hint="eastAsia" w:ascii="等线" w:hAnsi="等线" w:eastAsia="等线"/>
                <w:color w:val="000000"/>
                <w:sz w:val="22"/>
                <w:szCs w:val="22"/>
              </w:rPr>
              <w:t>定制式机械自锁部件</w:t>
            </w:r>
          </w:p>
        </w:tc>
        <w:tc>
          <w:tcPr>
            <w:tcW w:w="3296"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等线" w:hAnsi="等线" w:eastAsia="等线"/>
                <w:color w:val="000000"/>
                <w:sz w:val="22"/>
                <w:szCs w:val="22"/>
              </w:rPr>
            </w:pPr>
            <w:r>
              <w:rPr>
                <w:rFonts w:hint="eastAsia"/>
                <w:color w:val="000000"/>
                <w:sz w:val="22"/>
                <w:szCs w:val="22"/>
              </w:rPr>
              <w:t>符合本项目研究应用的功能要求</w:t>
            </w:r>
          </w:p>
        </w:tc>
        <w:tc>
          <w:tcPr>
            <w:tcW w:w="886"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1</w:t>
            </w:r>
          </w:p>
        </w:tc>
        <w:tc>
          <w:tcPr>
            <w:tcW w:w="985"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textAlignment w:val="center"/>
              <w:rPr>
                <w:rFonts w:ascii="等线" w:hAnsi="等线" w:eastAsia="等线" w:cs="等线"/>
                <w:color w:val="000000"/>
                <w:kern w:val="0"/>
                <w:sz w:val="22"/>
                <w:szCs w:val="22"/>
                <w:lang w:bidi="ar"/>
              </w:rPr>
            </w:pPr>
            <w:r>
              <w:rPr>
                <w:rFonts w:hint="eastAsia"/>
                <w:color w:val="000000"/>
                <w:sz w:val="22"/>
                <w:szCs w:val="22"/>
              </w:rPr>
              <w:t>套</w:t>
            </w:r>
          </w:p>
        </w:tc>
      </w:tr>
    </w:tbl>
    <w:p>
      <w:pPr>
        <w:pStyle w:val="9"/>
        <w:spacing w:before="312"/>
        <w:outlineLvl w:val="0"/>
        <w:rPr>
          <w:rFonts w:ascii="黑体" w:hAnsi="黑体" w:eastAsia="黑体" w:cs="黑体"/>
          <w:sz w:val="28"/>
          <w:szCs w:val="28"/>
        </w:rPr>
      </w:pPr>
      <w:r>
        <w:rPr>
          <w:rFonts w:hint="eastAsia" w:ascii="黑体" w:hAnsi="黑体" w:eastAsia="黑体" w:cs="黑体"/>
          <w:sz w:val="28"/>
          <w:szCs w:val="28"/>
        </w:rPr>
        <w:t>3  供应商资质要求</w:t>
      </w:r>
      <w:bookmarkEnd w:id="11"/>
    </w:p>
    <w:p>
      <w:pPr>
        <w:spacing w:line="360" w:lineRule="auto"/>
        <w:ind w:firstLine="480" w:firstLineChars="200"/>
        <w:rPr>
          <w:sz w:val="24"/>
        </w:rPr>
      </w:pPr>
      <w:r>
        <w:rPr>
          <w:sz w:val="24"/>
        </w:rPr>
        <w:t>报价单位必须是中华人民共和国境内注册合法运作的法人或其他组织，具有独立承担民事责任的能力、独立承担零星采购项目的能力和独立履行合同的能力。</w:t>
      </w:r>
    </w:p>
    <w:p>
      <w:pPr>
        <w:spacing w:line="360" w:lineRule="auto"/>
        <w:ind w:firstLine="480" w:firstLineChars="200"/>
        <w:rPr>
          <w:rFonts w:hint="eastAsia"/>
          <w:sz w:val="24"/>
          <w:lang w:val="en-US" w:eastAsia="zh-CN"/>
        </w:rPr>
      </w:pPr>
      <w:r>
        <w:rPr>
          <w:rFonts w:hint="eastAsia"/>
          <w:sz w:val="24"/>
        </w:rPr>
        <w:t>★</w:t>
      </w:r>
      <w:r>
        <w:rPr>
          <w:rFonts w:hint="eastAsia"/>
          <w:sz w:val="24"/>
          <w:lang w:val="en-US" w:eastAsia="zh-CN"/>
        </w:rPr>
        <w:t>所需证明文件：1）、营业执照；2）、有效期内的IS09001、IS014001、IS045001质量体系标准；3）、为保障本项目的选型和研究的顺利开展，需提供相关能力证明(响应文件、与本项目相关的检验检测报告等)；4）、供应商须提供承诺至少安排两人专职驻点与甲方对接项目选型和研究配合及协助开展后期试点工作的承诺函（时间不少于2个月）；5）、供应商提供的有限报价在概算金额90%以下（含90%）的须附上成本分析报告。</w:t>
      </w:r>
    </w:p>
    <w:p>
      <w:pPr>
        <w:spacing w:line="360" w:lineRule="auto"/>
        <w:ind w:firstLine="480" w:firstLineChars="200"/>
      </w:pPr>
      <w:r>
        <w:rPr>
          <w:sz w:val="24"/>
        </w:rPr>
        <w:t>所报价格包括：设备材料价格、运输装卸费（包到各县局、施工现场的运输费、装卸费及零散物资配送费）、运输保险费、税费（包括13%的增值税）、指导调试安装、现场施工/服务费等在内的一揽子价格；如中标后不供货、或所供产品货不对板、或产品在质保期发生质量问题，愿接受梅州供电局包括无偿更换、退货、补偿损失、通报、取消资格等相应处罚。</w:t>
      </w:r>
      <w:bookmarkStart w:id="12" w:name="_GoBack"/>
      <w:bookmarkEnd w:id="1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AC6B07"/>
    <w:rsid w:val="54AC6B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ind w:firstLine="880" w:firstLineChars="200"/>
    </w:pPr>
    <w:rPr>
      <w:rFonts w:ascii="仿宋_GB2312" w:hAnsi="仿宋_GB2312" w:eastAsia="仿宋_GB2312" w:cs="Arial"/>
      <w:szCs w:val="20"/>
    </w:rPr>
  </w:style>
  <w:style w:type="paragraph" w:styleId="3">
    <w:name w:val="Title"/>
    <w:basedOn w:val="1"/>
    <w:next w:val="1"/>
    <w:qFormat/>
    <w:uiPriority w:val="0"/>
    <w:pPr>
      <w:spacing w:before="240" w:after="60"/>
      <w:jc w:val="center"/>
      <w:outlineLvl w:val="0"/>
    </w:pPr>
    <w:rPr>
      <w:rFonts w:ascii="Cambria" w:hAnsi="Cambria" w:eastAsia="宋体" w:cs="Times New Roman"/>
      <w:b/>
      <w:bCs/>
      <w:sz w:val="32"/>
      <w:szCs w:val="32"/>
    </w:rPr>
  </w:style>
  <w:style w:type="character" w:customStyle="1" w:styleId="6">
    <w:name w:val="首页日期 Char"/>
    <w:link w:val="7"/>
    <w:qFormat/>
    <w:uiPriority w:val="0"/>
    <w:rPr>
      <w:rFonts w:eastAsia="楷体"/>
      <w:kern w:val="0"/>
      <w:sz w:val="32"/>
      <w:szCs w:val="20"/>
    </w:rPr>
  </w:style>
  <w:style w:type="paragraph" w:customStyle="1" w:styleId="7">
    <w:name w:val="首页日期"/>
    <w:basedOn w:val="1"/>
    <w:link w:val="6"/>
    <w:qFormat/>
    <w:uiPriority w:val="0"/>
    <w:pPr>
      <w:jc w:val="center"/>
    </w:pPr>
    <w:rPr>
      <w:rFonts w:eastAsia="楷体"/>
      <w:kern w:val="0"/>
      <w:sz w:val="32"/>
      <w:szCs w:val="20"/>
    </w:rPr>
  </w:style>
  <w:style w:type="paragraph" w:customStyle="1" w:styleId="8">
    <w:name w:val="WPSOffice手动目录 1"/>
    <w:qFormat/>
    <w:uiPriority w:val="0"/>
    <w:rPr>
      <w:rFonts w:ascii="Times New Roman" w:hAnsi="Times New Roman" w:eastAsia="宋体" w:cs="Times New Roman"/>
      <w:lang w:val="en-US" w:eastAsia="zh-CN" w:bidi="ar-SA"/>
    </w:rPr>
  </w:style>
  <w:style w:type="paragraph" w:customStyle="1" w:styleId="9">
    <w:name w:val="一标题"/>
    <w:qFormat/>
    <w:uiPriority w:val="0"/>
    <w:pPr>
      <w:spacing w:before="100" w:beforeLines="100" w:line="360" w:lineRule="auto"/>
    </w:pPr>
    <w:rPr>
      <w:rFonts w:ascii="宋体" w:hAnsi="宋体" w:eastAsia="宋体" w:cs="Times New Roman"/>
      <w:b/>
      <w:sz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2026-06-03T02:28:00Z</dcterms:created>
  <dc:creator>NTKO</dc:creator>
  <cp:lastModifiedBy>NTKO</cp:lastModifiedBy>
  <dcterms:modified xsi:type="dcterms:W3CDTF">2026-06-03T02:28:54Z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C3427B1299294F62B1783970C9A164AF</vt:lpwstr>
  </property>
</Properties>
</file>