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BA6B6">
      <w:pPr>
        <w:rPr>
          <w:rFonts w:hint="eastAsia" w:ascii="微软雅黑" w:hAnsi="微软雅黑" w:eastAsia="微软雅黑" w:cs="微软雅黑"/>
          <w:b/>
          <w:bCs/>
          <w:sz w:val="28"/>
          <w:szCs w:val="28"/>
          <w:lang w:val="en-US" w:eastAsia="zh-CN"/>
        </w:rPr>
      </w:pPr>
      <w:bookmarkStart w:id="0" w:name="_GoBack"/>
      <w:r>
        <w:rPr>
          <w:rFonts w:hint="eastAsia" w:ascii="微软雅黑" w:hAnsi="微软雅黑" w:eastAsia="微软雅黑" w:cs="微软雅黑"/>
          <w:b/>
          <w:bCs/>
          <w:sz w:val="28"/>
          <w:szCs w:val="28"/>
        </w:rPr>
        <w:t>海口110kV金牛岭输变电新建工程（不含建筑部分）</w:t>
      </w:r>
      <w:r>
        <w:rPr>
          <w:rFonts w:hint="eastAsia" w:ascii="微软雅黑" w:hAnsi="微软雅黑" w:eastAsia="微软雅黑" w:cs="微软雅黑"/>
          <w:b/>
          <w:bCs/>
          <w:sz w:val="28"/>
          <w:szCs w:val="28"/>
          <w:lang w:val="en-US" w:eastAsia="zh-CN"/>
        </w:rPr>
        <w:t>-线路部分</w:t>
      </w:r>
    </w:p>
    <w:p w14:paraId="1513BC13">
      <w:pPr>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6074BECF">
      <w:pPr>
        <w:pStyle w:val="6"/>
        <w:keepNext w:val="0"/>
        <w:keepLines w:val="0"/>
        <w:pageBreakBefore w:val="0"/>
        <w:numPr>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val="en-US" w:eastAsia="zh-CN"/>
        </w:rPr>
        <w:t>采购范围：</w:t>
      </w:r>
    </w:p>
    <w:p w14:paraId="4C1C0CC2">
      <w:pPr>
        <w:pStyle w:val="6"/>
        <w:keepNext w:val="0"/>
        <w:keepLines w:val="0"/>
        <w:pageBreakBefore w:val="0"/>
        <w:numPr>
          <w:ilvl w:val="0"/>
          <w:numId w:val="0"/>
        </w:numPr>
        <w:shd w:val="clear" w:color="auto" w:fill="auto"/>
        <w:kinsoku/>
        <w:wordWrap/>
        <w:overflowPunct/>
        <w:topLinePunct w:val="0"/>
        <w:bidi w:val="0"/>
        <w:adjustRightInd w:val="0"/>
        <w:snapToGrid w:val="0"/>
        <w:spacing w:line="360" w:lineRule="auto"/>
        <w:jc w:val="left"/>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w:t>
      </w:r>
      <w:r>
        <w:rPr>
          <w:rFonts w:hint="eastAsia" w:hAnsi="宋体" w:eastAsia="宋体" w:cs="宋体"/>
          <w:color w:val="auto"/>
          <w:sz w:val="21"/>
          <w:szCs w:val="21"/>
          <w:highlight w:val="none"/>
          <w:lang w:val="en-US" w:eastAsia="zh-CN"/>
        </w:rPr>
        <w:t>招标范围内有要求完成青苗赔偿的内容，在限价表里面没有青赔费的金额，请明确该项目是否包含青苗赔偿，如有，请明确青苗赔偿费用。</w:t>
      </w:r>
      <w:bookmarkEnd w:id="0"/>
      <w:r>
        <w:drawing>
          <wp:inline distT="0" distB="0" distL="114300" distR="114300">
            <wp:extent cx="5904865" cy="3257550"/>
            <wp:effectExtent l="0" t="0" r="63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904865" cy="3257550"/>
                    </a:xfrm>
                    <a:prstGeom prst="rect">
                      <a:avLst/>
                    </a:prstGeom>
                    <a:noFill/>
                    <a:ln>
                      <a:noFill/>
                    </a:ln>
                  </pic:spPr>
                </pic:pic>
              </a:graphicData>
            </a:graphic>
          </wp:inline>
        </w:drawing>
      </w:r>
      <w:r>
        <w:drawing>
          <wp:inline distT="0" distB="0" distL="114300" distR="114300">
            <wp:extent cx="5769610" cy="3307080"/>
            <wp:effectExtent l="0" t="0" r="254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769610" cy="3307080"/>
                    </a:xfrm>
                    <a:prstGeom prst="rect">
                      <a:avLst/>
                    </a:prstGeom>
                    <a:noFill/>
                    <a:ln>
                      <a:noFill/>
                    </a:ln>
                  </pic:spPr>
                </pic:pic>
              </a:graphicData>
            </a:graphic>
          </wp:inline>
        </w:drawing>
      </w:r>
    </w:p>
    <w:p w14:paraId="1B2FF5D5">
      <w:pPr>
        <w:rPr>
          <w:rFonts w:hint="default" w:asciiTheme="minorEastAsia" w:hAnsiTheme="minorEastAsia" w:eastAsiaTheme="minorEastAsia" w:cstheme="minorEastAsia"/>
          <w:b/>
          <w:bCs/>
          <w:snapToGrid w:val="0"/>
          <w:color w:val="auto"/>
          <w:kern w:val="0"/>
          <w:sz w:val="32"/>
          <w:szCs w:val="32"/>
          <w:highlight w:val="none"/>
          <w:u w:val="single"/>
          <w:lang w:val="en-US" w:eastAsia="zh-CN"/>
        </w:rPr>
      </w:pPr>
    </w:p>
    <w:p w14:paraId="52A69FB5">
      <w:pPr>
        <w:pStyle w:val="2"/>
        <w:rPr>
          <w:rFonts w:hint="default"/>
          <w:lang w:val="en-US" w:eastAsia="zh-CN"/>
        </w:rPr>
      </w:pPr>
    </w:p>
    <w:p w14:paraId="3AC11B6A">
      <w:pPr>
        <w:pStyle w:val="2"/>
        <w:spacing w:line="360" w:lineRule="auto"/>
        <w:ind w:left="0" w:leftChars="0" w:firstLine="0" w:firstLineChars="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跨越及河流封航（如有，则铁路部门和航道管理部门收取的文件规定的费用不计入报价，据实结算）。招标范围不计算铁路部门的费用不计入报价。其他的第4点，按88万元/处暂估入合同控制价，中标金额不包含该88万。签订合同时计入合同价？请明确。</w:t>
      </w:r>
    </w:p>
    <w:p w14:paraId="185A9C95">
      <w:pPr>
        <w:jc w:val="center"/>
      </w:pPr>
      <w:r>
        <w:drawing>
          <wp:inline distT="0" distB="0" distL="114300" distR="114300">
            <wp:extent cx="5905500" cy="3197860"/>
            <wp:effectExtent l="0" t="0" r="0" b="25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905500" cy="3197860"/>
                    </a:xfrm>
                    <a:prstGeom prst="rect">
                      <a:avLst/>
                    </a:prstGeom>
                    <a:noFill/>
                    <a:ln>
                      <a:noFill/>
                    </a:ln>
                  </pic:spPr>
                </pic:pic>
              </a:graphicData>
            </a:graphic>
          </wp:inline>
        </w:drawing>
      </w:r>
    </w:p>
    <w:p w14:paraId="394F0EEF">
      <w:pPr>
        <w:jc w:val="center"/>
      </w:pPr>
    </w:p>
    <w:p w14:paraId="0F0A9EE3">
      <w:pPr>
        <w:jc w:val="center"/>
      </w:pPr>
      <w:r>
        <w:drawing>
          <wp:inline distT="0" distB="0" distL="114300" distR="114300">
            <wp:extent cx="6020435" cy="2961640"/>
            <wp:effectExtent l="0" t="0" r="18415" b="1016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6020435" cy="2961640"/>
                    </a:xfrm>
                    <a:prstGeom prst="rect">
                      <a:avLst/>
                    </a:prstGeom>
                    <a:noFill/>
                    <a:ln>
                      <a:noFill/>
                    </a:ln>
                  </pic:spPr>
                </pic:pic>
              </a:graphicData>
            </a:graphic>
          </wp:inline>
        </w:drawing>
      </w:r>
    </w:p>
    <w:p w14:paraId="5E1F7381">
      <w:pPr>
        <w:pStyle w:val="2"/>
        <w:rPr>
          <w:rFonts w:hint="default"/>
          <w:lang w:val="en-US" w:eastAsia="zh-CN"/>
        </w:rPr>
      </w:pPr>
    </w:p>
    <w:p w14:paraId="08DC2C88">
      <w:pPr>
        <w:numPr>
          <w:numId w:val="0"/>
        </w:numPr>
        <w:rPr>
          <w:rFonts w:hint="default"/>
          <w:lang w:val="en-US" w:eastAsia="zh-CN"/>
        </w:rPr>
      </w:pPr>
      <w:r>
        <w:rPr>
          <w:rFonts w:hint="eastAsia"/>
          <w:lang w:val="en-US" w:eastAsia="zh-CN"/>
        </w:rPr>
        <w:t>3、双回路排管，请提供埋管截面大样图。明确埋管深度、开挖土方量、原土回填还是外购石粉等其他材料回填。</w:t>
      </w:r>
    </w:p>
    <w:p w14:paraId="28FD1164">
      <w:pPr>
        <w:numPr>
          <w:ilvl w:val="0"/>
          <w:numId w:val="0"/>
        </w:numPr>
      </w:pPr>
      <w:r>
        <w:drawing>
          <wp:inline distT="0" distB="0" distL="114300" distR="114300">
            <wp:extent cx="6207760" cy="282575"/>
            <wp:effectExtent l="0" t="0" r="254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8"/>
                    <a:stretch>
                      <a:fillRect/>
                    </a:stretch>
                  </pic:blipFill>
                  <pic:spPr>
                    <a:xfrm>
                      <a:off x="0" y="0"/>
                      <a:ext cx="6207760" cy="282575"/>
                    </a:xfrm>
                    <a:prstGeom prst="rect">
                      <a:avLst/>
                    </a:prstGeom>
                    <a:noFill/>
                    <a:ln>
                      <a:noFill/>
                    </a:ln>
                  </pic:spPr>
                </pic:pic>
              </a:graphicData>
            </a:graphic>
          </wp:inline>
        </w:drawing>
      </w:r>
    </w:p>
    <w:p w14:paraId="72957CBA">
      <w:r>
        <w:br w:type="page"/>
      </w:r>
    </w:p>
    <w:p w14:paraId="6B588509">
      <w:pPr>
        <w:pStyle w:val="2"/>
      </w:pPr>
    </w:p>
    <w:p w14:paraId="165EE8EC">
      <w:pPr>
        <w:numPr>
          <w:numId w:val="0"/>
        </w:numPr>
        <w:rPr>
          <w:rFonts w:hint="default"/>
          <w:lang w:val="en-US" w:eastAsia="zh-CN"/>
        </w:rPr>
      </w:pPr>
      <w:r>
        <w:rPr>
          <w:rFonts w:hint="eastAsia"/>
          <w:lang w:val="en-US" w:eastAsia="zh-CN"/>
        </w:rPr>
        <w:t>4、四回路排管，请提供埋管截面大样图。明确埋管深度、开挖土方量、原土回填还是外购石粉等其他材料回填。</w:t>
      </w:r>
    </w:p>
    <w:p w14:paraId="484AEF96">
      <w:pPr>
        <w:numPr>
          <w:ilvl w:val="0"/>
          <w:numId w:val="0"/>
        </w:numPr>
        <w:rPr>
          <w:rFonts w:hint="default"/>
          <w:lang w:val="en-US" w:eastAsia="zh-CN"/>
        </w:rPr>
      </w:pPr>
    </w:p>
    <w:p w14:paraId="1669F626">
      <w:pPr>
        <w:numPr>
          <w:ilvl w:val="0"/>
          <w:numId w:val="0"/>
        </w:numPr>
      </w:pPr>
      <w:r>
        <w:drawing>
          <wp:inline distT="0" distB="0" distL="114300" distR="114300">
            <wp:extent cx="6256655" cy="314325"/>
            <wp:effectExtent l="0" t="0" r="1079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6256655" cy="314325"/>
                    </a:xfrm>
                    <a:prstGeom prst="rect">
                      <a:avLst/>
                    </a:prstGeom>
                    <a:noFill/>
                    <a:ln>
                      <a:noFill/>
                    </a:ln>
                  </pic:spPr>
                </pic:pic>
              </a:graphicData>
            </a:graphic>
          </wp:inline>
        </w:drawing>
      </w:r>
    </w:p>
    <w:p w14:paraId="5D5A049B">
      <w:pPr>
        <w:numPr>
          <w:numId w:val="0"/>
        </w:numPr>
        <w:ind w:leftChars="0"/>
        <w:rPr>
          <w:rFonts w:hint="eastAsia"/>
          <w:lang w:val="en-US" w:eastAsia="zh-CN"/>
        </w:rPr>
      </w:pPr>
      <w:r>
        <w:rPr>
          <w:rFonts w:hint="eastAsia"/>
          <w:lang w:val="en-US" w:eastAsia="zh-CN"/>
        </w:rPr>
        <w:t>5、排水管，请提供埋管截面大样图。明确埋管深度、开挖土方量、回填材质、埋管地面破复情况、需明确中间接头个数、管壁厚度、图纸上写的规格Φ200是否包含壁厚？</w:t>
      </w:r>
    </w:p>
    <w:p w14:paraId="4A44BA7A">
      <w:r>
        <w:drawing>
          <wp:inline distT="0" distB="0" distL="114300" distR="114300">
            <wp:extent cx="6145530" cy="203200"/>
            <wp:effectExtent l="0" t="0" r="7620" b="635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6145530" cy="203200"/>
                    </a:xfrm>
                    <a:prstGeom prst="rect">
                      <a:avLst/>
                    </a:prstGeom>
                    <a:noFill/>
                    <a:ln>
                      <a:noFill/>
                    </a:ln>
                  </pic:spPr>
                </pic:pic>
              </a:graphicData>
            </a:graphic>
          </wp:inline>
        </w:drawing>
      </w:r>
    </w:p>
    <w:p w14:paraId="2D6F848F">
      <w:pPr>
        <w:numPr>
          <w:numId w:val="0"/>
        </w:numPr>
        <w:ind w:leftChars="0"/>
        <w:rPr>
          <w:rFonts w:hint="eastAsia"/>
          <w:lang w:val="en-US" w:eastAsia="zh-CN"/>
        </w:rPr>
      </w:pPr>
      <w:r>
        <w:rPr>
          <w:rFonts w:hint="eastAsia"/>
          <w:lang w:val="en-US" w:eastAsia="zh-CN"/>
        </w:rPr>
        <w:t>6、余土外运多少公里，余土外运后找地方堆放的费用如何解决？</w:t>
      </w:r>
    </w:p>
    <w:p w14:paraId="248CC1E8">
      <w:pPr>
        <w:numPr>
          <w:numId w:val="0"/>
        </w:numPr>
        <w:ind w:leftChars="0"/>
        <w:rPr>
          <w:rFonts w:hint="eastAsia"/>
          <w:lang w:val="en-US" w:eastAsia="zh-CN"/>
        </w:rPr>
      </w:pPr>
      <w:r>
        <w:rPr>
          <w:rFonts w:hint="eastAsia"/>
          <w:lang w:val="en-US" w:eastAsia="zh-CN"/>
        </w:rPr>
        <w:t>7、埋管，顶管的管材上的直径，是否包含管壁厚度？</w:t>
      </w:r>
    </w:p>
    <w:p w14:paraId="652ACD80">
      <w:pPr>
        <w:numPr>
          <w:ilvl w:val="0"/>
          <w:numId w:val="0"/>
        </w:numPr>
        <w:ind w:leftChars="0"/>
        <w:rPr>
          <w:rFonts w:hint="eastAsia"/>
          <w:lang w:val="en-US" w:eastAsia="zh-CN"/>
        </w:rPr>
      </w:pPr>
      <w:r>
        <w:drawing>
          <wp:inline distT="0" distB="0" distL="114300" distR="114300">
            <wp:extent cx="6126480" cy="797560"/>
            <wp:effectExtent l="0" t="0" r="7620" b="254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1"/>
                    <a:stretch>
                      <a:fillRect/>
                    </a:stretch>
                  </pic:blipFill>
                  <pic:spPr>
                    <a:xfrm>
                      <a:off x="0" y="0"/>
                      <a:ext cx="6126480" cy="797560"/>
                    </a:xfrm>
                    <a:prstGeom prst="rect">
                      <a:avLst/>
                    </a:prstGeom>
                    <a:noFill/>
                    <a:ln>
                      <a:noFill/>
                    </a:ln>
                  </pic:spPr>
                </pic:pic>
              </a:graphicData>
            </a:graphic>
          </wp:inline>
        </w:drawing>
      </w:r>
      <w:r>
        <w:rPr>
          <w:rFonts w:hint="eastAsia"/>
          <w:lang w:val="en-US" w:eastAsia="zh-CN"/>
        </w:rPr>
        <w:t>8、拖拉管通道采用惯性陀螺仪定位测量，是每孔管都要测量嘛？还是只测量其中一孔管即可？</w:t>
      </w:r>
    </w:p>
    <w:p w14:paraId="4FEF0765">
      <w:pPr>
        <w:numPr>
          <w:numId w:val="0"/>
        </w:numPr>
        <w:ind w:leftChars="0"/>
        <w:rPr>
          <w:rFonts w:hint="default"/>
          <w:lang w:val="en-US" w:eastAsia="zh-CN"/>
        </w:rPr>
      </w:pPr>
      <w:r>
        <w:rPr>
          <w:rFonts w:hint="eastAsia"/>
          <w:lang w:val="en-US" w:eastAsia="zh-CN"/>
        </w:rPr>
        <w:t>9、地下管线迁改第1至第8项，请明确各个位置迁改的大样图。请明确各个位置迁改的开挖土方工程量、路面破复情况、新旧管道衔接情况。</w:t>
      </w:r>
    </w:p>
    <w:p w14:paraId="65744C26">
      <w:pPr>
        <w:numPr>
          <w:numId w:val="0"/>
        </w:numPr>
        <w:ind w:leftChars="0"/>
        <w:rPr>
          <w:rFonts w:hint="default"/>
          <w:lang w:val="en-US" w:eastAsia="zh-CN"/>
        </w:rPr>
      </w:pPr>
      <w:r>
        <w:rPr>
          <w:rFonts w:hint="eastAsia"/>
          <w:lang w:val="en-US" w:eastAsia="zh-CN"/>
        </w:rPr>
        <w:t>10、（1）招标文件第65页提到青苗赔偿费投标报价按最高限价公布的青苗赔偿费暂估价计列，（最高限价未列出这笔费用）</w:t>
      </w:r>
    </w:p>
    <w:p w14:paraId="37805240">
      <w:pPr>
        <w:numPr>
          <w:ilvl w:val="0"/>
          <w:numId w:val="1"/>
        </w:numPr>
        <w:ind w:leftChars="0" w:firstLine="420" w:firstLineChars="200"/>
        <w:rPr>
          <w:rFonts w:hint="default"/>
          <w:lang w:val="en-US" w:eastAsia="zh-CN"/>
        </w:rPr>
      </w:pPr>
      <w:r>
        <w:rPr>
          <w:rFonts w:hint="eastAsia"/>
          <w:lang w:val="en-US" w:eastAsia="zh-CN"/>
        </w:rPr>
        <w:t>第67页电缆线路工程写了：</w:t>
      </w:r>
      <w:r>
        <w:rPr>
          <w:rFonts w:hint="default"/>
          <w:lang w:val="en-US" w:eastAsia="zh-CN"/>
        </w:rPr>
        <w:t>①电缆工程施工期间道路临时占用、路面破复、人行道修理、地下市政下水道水井、通信管道、旧电缆迁移、绿化树木赔偿等工作均由中标施工单位负责完成，所发生费用不列入投标报价</w:t>
      </w:r>
    </w:p>
    <w:p w14:paraId="187474CF">
      <w:pPr>
        <w:numPr>
          <w:ilvl w:val="0"/>
          <w:numId w:val="1"/>
        </w:numPr>
        <w:ind w:leftChars="0" w:firstLine="420" w:firstLineChars="200"/>
        <w:rPr>
          <w:rFonts w:hint="default"/>
          <w:lang w:val="en-US" w:eastAsia="zh-CN"/>
        </w:rPr>
      </w:pPr>
      <w:r>
        <w:rPr>
          <w:rFonts w:hint="eastAsia"/>
          <w:lang w:val="en-US" w:eastAsia="zh-CN"/>
        </w:rPr>
        <w:t>施工图里的设计被与材料清册又详细列出了需迁改的内容。</w:t>
      </w:r>
    </w:p>
    <w:p w14:paraId="02F1E78C">
      <w:pPr>
        <w:numPr>
          <w:ilvl w:val="0"/>
          <w:numId w:val="0"/>
        </w:numPr>
        <w:ind w:leftChars="200"/>
        <w:rPr>
          <w:rFonts w:hint="eastAsia"/>
          <w:lang w:val="en-US" w:eastAsia="zh-CN"/>
        </w:rPr>
      </w:pPr>
      <w:r>
        <w:rPr>
          <w:rFonts w:hint="eastAsia"/>
          <w:lang w:val="en-US" w:eastAsia="zh-CN"/>
        </w:rPr>
        <w:t>按上述这三点理解，</w:t>
      </w:r>
      <w:r>
        <w:rPr>
          <w:rFonts w:hint="default"/>
          <w:lang w:val="en-US" w:eastAsia="zh-CN"/>
        </w:rPr>
        <w:t>道路临时占用、路面破复、人行道修理、地下市政下水道水井、通信管道、旧电缆迁移、绿化树木赔偿等</w:t>
      </w:r>
      <w:r>
        <w:rPr>
          <w:rFonts w:hint="eastAsia"/>
          <w:lang w:val="en-US" w:eastAsia="zh-CN"/>
        </w:rPr>
        <w:t>是否要列入投标报价里？</w:t>
      </w:r>
    </w:p>
    <w:p w14:paraId="52328A4D">
      <w:pPr>
        <w:numPr>
          <w:ilvl w:val="0"/>
          <w:numId w:val="0"/>
        </w:numPr>
        <w:ind w:leftChars="200"/>
        <w:rPr>
          <w:rFonts w:hint="eastAsia"/>
          <w:lang w:val="en-US" w:eastAsia="zh-CN"/>
        </w:rPr>
      </w:pPr>
      <w:r>
        <w:drawing>
          <wp:inline distT="0" distB="0" distL="114300" distR="114300">
            <wp:extent cx="6054090" cy="2739390"/>
            <wp:effectExtent l="0" t="0" r="3810"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tretch>
                      <a:fillRect/>
                    </a:stretch>
                  </pic:blipFill>
                  <pic:spPr>
                    <a:xfrm>
                      <a:off x="0" y="0"/>
                      <a:ext cx="6054090" cy="2739390"/>
                    </a:xfrm>
                    <a:prstGeom prst="rect">
                      <a:avLst/>
                    </a:prstGeom>
                    <a:noFill/>
                    <a:ln>
                      <a:noFill/>
                    </a:ln>
                  </pic:spPr>
                </pic:pic>
              </a:graphicData>
            </a:graphic>
          </wp:inline>
        </w:drawing>
      </w:r>
    </w:p>
    <w:p w14:paraId="79500329">
      <w:pPr>
        <w:numPr>
          <w:ilvl w:val="0"/>
          <w:numId w:val="0"/>
        </w:numPr>
        <w:ind w:leftChars="200"/>
        <w:rPr>
          <w:rFonts w:hint="eastAsia"/>
          <w:lang w:val="en-US" w:eastAsia="zh-CN"/>
        </w:rPr>
      </w:pPr>
    </w:p>
    <w:p w14:paraId="1A54F3C0">
      <w:pPr>
        <w:numPr>
          <w:ilvl w:val="0"/>
          <w:numId w:val="0"/>
        </w:numPr>
      </w:pPr>
      <w:r>
        <w:drawing>
          <wp:inline distT="0" distB="0" distL="114300" distR="114300">
            <wp:extent cx="5873115" cy="2842260"/>
            <wp:effectExtent l="0" t="0" r="13335" b="1524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3"/>
                    <a:stretch>
                      <a:fillRect/>
                    </a:stretch>
                  </pic:blipFill>
                  <pic:spPr>
                    <a:xfrm>
                      <a:off x="0" y="0"/>
                      <a:ext cx="5873115" cy="2842260"/>
                    </a:xfrm>
                    <a:prstGeom prst="rect">
                      <a:avLst/>
                    </a:prstGeom>
                    <a:noFill/>
                    <a:ln>
                      <a:noFill/>
                    </a:ln>
                  </pic:spPr>
                </pic:pic>
              </a:graphicData>
            </a:graphic>
          </wp:inline>
        </w:drawing>
      </w:r>
    </w:p>
    <w:p w14:paraId="01E6679B">
      <w:pPr>
        <w:numPr>
          <w:ilvl w:val="0"/>
          <w:numId w:val="0"/>
        </w:numPr>
      </w:pPr>
      <w:r>
        <w:drawing>
          <wp:inline distT="0" distB="0" distL="114300" distR="114300">
            <wp:extent cx="5867400" cy="4684395"/>
            <wp:effectExtent l="0" t="0" r="0" b="190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4"/>
                    <a:stretch>
                      <a:fillRect/>
                    </a:stretch>
                  </pic:blipFill>
                  <pic:spPr>
                    <a:xfrm>
                      <a:off x="0" y="0"/>
                      <a:ext cx="5867400" cy="4684395"/>
                    </a:xfrm>
                    <a:prstGeom prst="rect">
                      <a:avLst/>
                    </a:prstGeom>
                    <a:noFill/>
                    <a:ln>
                      <a:noFill/>
                    </a:ln>
                  </pic:spPr>
                </pic:pic>
              </a:graphicData>
            </a:graphic>
          </wp:inline>
        </w:drawing>
      </w:r>
    </w:p>
    <w:p w14:paraId="10D5E2A1">
      <w:pPr>
        <w:pStyle w:val="2"/>
        <w:rPr>
          <w:rFonts w:hint="default"/>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3D9B2"/>
    <w:multiLevelType w:val="singleLevel"/>
    <w:tmpl w:val="0433D9B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5A4F"/>
    <w:rsid w:val="00D24180"/>
    <w:rsid w:val="08814C04"/>
    <w:rsid w:val="0AB0220D"/>
    <w:rsid w:val="0ACC1747"/>
    <w:rsid w:val="0B3701D0"/>
    <w:rsid w:val="1679049A"/>
    <w:rsid w:val="16A762B0"/>
    <w:rsid w:val="17BC49B3"/>
    <w:rsid w:val="1D3C6B12"/>
    <w:rsid w:val="2203028C"/>
    <w:rsid w:val="22B41150"/>
    <w:rsid w:val="2DC76886"/>
    <w:rsid w:val="348A689A"/>
    <w:rsid w:val="357B0F08"/>
    <w:rsid w:val="365D40F6"/>
    <w:rsid w:val="37A74880"/>
    <w:rsid w:val="37E97D3F"/>
    <w:rsid w:val="392F7D9A"/>
    <w:rsid w:val="3B3A6954"/>
    <w:rsid w:val="3BD36CF0"/>
    <w:rsid w:val="415A0FC6"/>
    <w:rsid w:val="44737DB4"/>
    <w:rsid w:val="45AD4F9A"/>
    <w:rsid w:val="47BB79BB"/>
    <w:rsid w:val="52401F92"/>
    <w:rsid w:val="52A161C9"/>
    <w:rsid w:val="56C23B2C"/>
    <w:rsid w:val="56EA2B3C"/>
    <w:rsid w:val="57666FA0"/>
    <w:rsid w:val="583859B8"/>
    <w:rsid w:val="59522196"/>
    <w:rsid w:val="5AF94E26"/>
    <w:rsid w:val="5CBC5DB6"/>
    <w:rsid w:val="61F97ECC"/>
    <w:rsid w:val="632905BE"/>
    <w:rsid w:val="64794284"/>
    <w:rsid w:val="657B4B53"/>
    <w:rsid w:val="714B246D"/>
    <w:rsid w:val="754D6263"/>
    <w:rsid w:val="75BF20F5"/>
    <w:rsid w:val="7916510E"/>
    <w:rsid w:val="7A8A28F0"/>
    <w:rsid w:val="7CFF4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adjustRightInd w:val="0"/>
      <w:snapToGrid w:val="0"/>
    </w:pPr>
    <w:rPr>
      <w:kern w:val="2"/>
      <w:sz w:val="24"/>
    </w:r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1193</Words>
  <Characters>1216</Characters>
  <Lines>0</Lines>
  <Paragraphs>0</Paragraphs>
  <TotalTime>2</TotalTime>
  <ScaleCrop>false</ScaleCrop>
  <LinksUpToDate>false</LinksUpToDate>
  <CharactersWithSpaces>1217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黄明超</cp:lastModifiedBy>
  <dcterms:modified xsi:type="dcterms:W3CDTF">2026-06-04T02:45:39Z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85439747CD214119AB8B194E173699C5_13</vt:lpwstr>
  </property>
  <property fmtid="{D5CDD505-2E9C-101B-9397-08002B2CF9AE}" pid="4" name="KSOTemplateDocerSaveRecord">
    <vt:lpwstr>eyJoZGlkIjoiZDc0NDU0MTIyOTk1MWNkMWQ4ZDQzMjc5MGI0N2Q1NjAiLCJ1c2VySWQiOiI2NTI4NjQyNjAifQ==</vt:lpwstr>
  </property>
</Properties>
</file>