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5F0006">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01EE4B97">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标段名称：洋浦110kV产业园输变电新建工程</w:t>
      </w:r>
    </w:p>
    <w:p w14:paraId="09CFEFEA">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0169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A759DA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303F9EE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7AA92C0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68D49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A0EFE3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317A995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22DDC9D4">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海南电网基建〔2025〕87号</w:t>
            </w:r>
          </w:p>
        </w:tc>
      </w:tr>
      <w:tr w14:paraId="17A3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705130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4BFA5FF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74634CF2">
            <w:pPr>
              <w:pStyle w:val="10"/>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2507-467001-04-01-564621</w:t>
            </w:r>
          </w:p>
        </w:tc>
      </w:tr>
      <w:tr w14:paraId="0755C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D3E4E5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5297704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770278E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海南电网基建〔2026〕44号</w:t>
            </w:r>
          </w:p>
        </w:tc>
      </w:tr>
      <w:tr w14:paraId="2FDD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2A1BB08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15A962D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2D72808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海南电网规划〔2025〕75号</w:t>
            </w:r>
          </w:p>
        </w:tc>
      </w:tr>
      <w:tr w14:paraId="2324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D7F06C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71C9F72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49A3FB6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w:t>
            </w:r>
          </w:p>
        </w:tc>
      </w:tr>
      <w:tr w14:paraId="175B1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2C511A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08D1075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4609372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儋州供电局</w:t>
            </w:r>
          </w:p>
        </w:tc>
      </w:tr>
      <w:tr w14:paraId="0947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EBD7E1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33B3E16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1BA657D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海南省洋浦经济开发区</w:t>
            </w:r>
          </w:p>
        </w:tc>
      </w:tr>
      <w:tr w14:paraId="4E69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F9E63F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52DEBA5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09AF846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海南威特建设科技有限公司</w:t>
            </w:r>
          </w:p>
        </w:tc>
      </w:tr>
      <w:tr w14:paraId="2260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95AA7C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5B839FC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5AA5320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公诚管理咨询有限公司</w:t>
            </w:r>
          </w:p>
        </w:tc>
      </w:tr>
    </w:tbl>
    <w:p w14:paraId="7F966CA9">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206B1DDD">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28718"/>
      <w:bookmarkStart w:id="2" w:name="_Toc4755"/>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0F4ADD1A">
      <w:p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洋浦110kV产业园输变电新建工程施工</w:t>
      </w:r>
    </w:p>
    <w:p w14:paraId="7FDF6413">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新建智能变电站工厂化调试、</w:t>
      </w:r>
      <w:r>
        <w:rPr>
          <w:rFonts w:hint="eastAsia" w:ascii="宋体" w:hAnsi="宋体" w:eastAsia="宋体" w:cs="宋体"/>
          <w:color w:val="auto"/>
          <w:sz w:val="21"/>
          <w:szCs w:val="21"/>
          <w:highlight w:val="none"/>
          <w:lang w:val="en-US" w:eastAsia="zh-CN"/>
        </w:rPr>
        <w:t>通信系统及其配套工程)</w:t>
      </w:r>
    </w:p>
    <w:p w14:paraId="3B5FB2A7">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110kV产业园站主变终期规模为3×63MVA，本期规模2×63MVA。110kV终期出线间隔6个，本期出线间隔4个；35kV最终出线间隔13个，本期出线间隔8个；10kV最终出线间隔3×12个，本期出线间隔2×12个。10kV侧终期安装3×（6+2.4）Mvar并联电容器，本期安装2×（6+2.4）并联电容器。</w:t>
      </w:r>
    </w:p>
    <w:p w14:paraId="0DA8572B">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依据《中国南方电网公司标准设计和典型造价V3.1》等相关要求。自动化网络按三层两网构建，设置有站控层、间隔层、过程层。一次主要设备实现在线监测。变电站设计方案按照《南方电网公司110～500kV变电站标准设计》（V3.1版）CSG-110B-F-G2b方案相关模块优化设计。变电站总征地面积6077.78m²，其中围墙内占地5433.61m²。全站总建筑面积为3416.34m²，其中综合配电楼建筑面积3265.38m²，消防水泵房建筑面积为150.96m²。变电站外立面按采用与周边景观融合的现代风格进行设计，采用典型设计真石漆做法。</w:t>
      </w:r>
    </w:p>
    <w:p w14:paraId="16F6E568">
      <w:pPr>
        <w:pStyle w:val="7"/>
        <w:ind w:firstLine="420" w:firstLineChars="20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14:paraId="6AE7EFD5">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220kV干冲站：利旧原有1个110kV出线间隔，扩建1个110kV出线间隔。110kV德义站：利旧原有1个110kV出线间隔。</w:t>
      </w:r>
    </w:p>
    <w:p w14:paraId="62B742D9">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14:paraId="4B89F171">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（1）产业园至干冲110kV线路工程</w:t>
      </w:r>
    </w:p>
    <w:p w14:paraId="4661FA04">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新建产业园至干冲110kV线路单回电缆线路，新建线路长度约6km，电缆每相截面为1×1200mm²。</w:t>
      </w:r>
    </w:p>
    <w:p w14:paraId="3AC20183">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（2）产业园π接干冲～德义110kV线路工程新建π接段线路全线采用电缆建设，新建双回电缆线路长度约2×0.21km，电缆每相截面为1×1200mm²。</w:t>
      </w:r>
    </w:p>
    <w:p w14:paraId="65647EAD">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4.通信工程</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不含光缆的接续</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测量)</w:t>
      </w:r>
    </w:p>
    <w:p w14:paraId="265FA02A">
      <w:pPr>
        <w:numPr>
          <w:ilvl w:val="0"/>
          <w:numId w:val="0"/>
        </w:num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沿产业园至干冲110kV线路新建工程敷设1根48芯管道光缆，形成产业园至干冲的光缆路由，新建光缆路由长度约6km。沿产业园π接干冲～德义110kV线路新建工程敷设2根48芯管道光缆，形成产业园至干冲、产业园至德义的光缆路由，新建光缆路由长度约2×0.21km</w:t>
      </w:r>
      <w:r>
        <w:rPr>
          <w:rFonts w:hint="eastAsia" w:ascii="宋体" w:hAnsi="宋体" w:cs="宋体"/>
          <w:color w:val="auto"/>
          <w:sz w:val="21"/>
          <w:szCs w:val="21"/>
          <w:highlight w:val="none"/>
          <w:lang w:val="en-US" w:eastAsia="zh-CN"/>
        </w:rPr>
        <w:t>。</w:t>
      </w:r>
    </w:p>
    <w:p w14:paraId="40DC64FB">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2E0F168A">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35832E40">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14:paraId="1A662D4E">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06EE816E">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bookmarkStart w:id="5" w:name="_GoBack"/>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bookmarkEnd w:id="5"/>
    <w:p w14:paraId="2A67F69D">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7A719739">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14:paraId="1518643D">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14:paraId="43466FE7">
      <w:pPr>
        <w:shd w:val="clear" w:color="auto" w:fill="auto"/>
        <w:autoSpaceDN w:val="0"/>
        <w:spacing w:line="360" w:lineRule="auto"/>
        <w:ind w:firstLine="420" w:firstLineChars="200"/>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4.架空线路跨越铁路时，按88万元/处暂估计入合同控制价，最终以发包单位审批的方案，据实结算（不考虑下浮率）。</w:t>
      </w:r>
    </w:p>
    <w:p w14:paraId="2666BD71">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14:paraId="15C5A1A0">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14:paraId="78077ED7">
      <w:pPr>
        <w:pStyle w:val="7"/>
        <w:rPr>
          <w:rFonts w:hint="eastAsia" w:ascii="宋体" w:hAnsi="宋体" w:eastAsia="宋体" w:cs="宋体"/>
          <w:color w:val="auto"/>
          <w:sz w:val="21"/>
          <w:szCs w:val="21"/>
          <w:highlight w:val="none"/>
          <w:lang w:val="en-US" w:eastAsia="zh-CN"/>
        </w:rPr>
      </w:pPr>
    </w:p>
    <w:p w14:paraId="17D522D5">
      <w:pPr>
        <w:rPr>
          <w:rFonts w:hint="eastAsia" w:ascii="宋体" w:hAnsi="宋体" w:eastAsia="宋体" w:cs="宋体"/>
          <w:color w:val="auto"/>
          <w:sz w:val="21"/>
          <w:szCs w:val="21"/>
          <w:highlight w:val="none"/>
          <w:lang w:val="en-US" w:eastAsia="zh-CN"/>
        </w:rPr>
      </w:pPr>
    </w:p>
    <w:p w14:paraId="49A7BEF4">
      <w:pPr>
        <w:pStyle w:val="7"/>
        <w:rPr>
          <w:rFonts w:hint="eastAsia" w:ascii="宋体" w:hAnsi="宋体" w:eastAsia="宋体" w:cs="宋体"/>
          <w:color w:val="auto"/>
          <w:sz w:val="21"/>
          <w:szCs w:val="21"/>
          <w:highlight w:val="none"/>
          <w:lang w:val="en-US" w:eastAsia="zh-CN"/>
        </w:rPr>
      </w:pPr>
    </w:p>
    <w:p w14:paraId="081E2BA5">
      <w:pPr>
        <w:rPr>
          <w:rFonts w:hint="eastAsia" w:ascii="宋体" w:hAnsi="宋体" w:eastAsia="宋体" w:cs="宋体"/>
          <w:color w:val="auto"/>
          <w:sz w:val="21"/>
          <w:szCs w:val="21"/>
          <w:highlight w:val="none"/>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810BE5"/>
    <w:rsid w:val="0A620286"/>
    <w:rsid w:val="0BC07002"/>
    <w:rsid w:val="0D277AA0"/>
    <w:rsid w:val="10D87C07"/>
    <w:rsid w:val="1138611B"/>
    <w:rsid w:val="116419AD"/>
    <w:rsid w:val="11DF6CFE"/>
    <w:rsid w:val="12A13D0F"/>
    <w:rsid w:val="12C36D7D"/>
    <w:rsid w:val="13C0217B"/>
    <w:rsid w:val="14440D4B"/>
    <w:rsid w:val="15056A61"/>
    <w:rsid w:val="176F74DF"/>
    <w:rsid w:val="17BC3393"/>
    <w:rsid w:val="181450F3"/>
    <w:rsid w:val="18953F09"/>
    <w:rsid w:val="18D760D3"/>
    <w:rsid w:val="18E57496"/>
    <w:rsid w:val="194D5BFB"/>
    <w:rsid w:val="1AD65683"/>
    <w:rsid w:val="1B663F82"/>
    <w:rsid w:val="1BBB4B59"/>
    <w:rsid w:val="1C2C5EB1"/>
    <w:rsid w:val="1E0B2C54"/>
    <w:rsid w:val="1EB55557"/>
    <w:rsid w:val="1FF75530"/>
    <w:rsid w:val="20A40AC4"/>
    <w:rsid w:val="216F4D5B"/>
    <w:rsid w:val="21B74FEF"/>
    <w:rsid w:val="23413BD4"/>
    <w:rsid w:val="24F737D8"/>
    <w:rsid w:val="269A7FB6"/>
    <w:rsid w:val="26BA2581"/>
    <w:rsid w:val="273F4635"/>
    <w:rsid w:val="281556A3"/>
    <w:rsid w:val="2C3F686A"/>
    <w:rsid w:val="2E09659E"/>
    <w:rsid w:val="2EF744D3"/>
    <w:rsid w:val="2FEF6052"/>
    <w:rsid w:val="2FF65FF8"/>
    <w:rsid w:val="300D195C"/>
    <w:rsid w:val="3060369A"/>
    <w:rsid w:val="30BF37B5"/>
    <w:rsid w:val="31CE7BE2"/>
    <w:rsid w:val="326A79C4"/>
    <w:rsid w:val="32DE5784"/>
    <w:rsid w:val="33851415"/>
    <w:rsid w:val="34E034E5"/>
    <w:rsid w:val="355C6F05"/>
    <w:rsid w:val="361736AD"/>
    <w:rsid w:val="36D200CF"/>
    <w:rsid w:val="37B4116F"/>
    <w:rsid w:val="38382DC3"/>
    <w:rsid w:val="38DE045C"/>
    <w:rsid w:val="3B572E0B"/>
    <w:rsid w:val="3C3333A5"/>
    <w:rsid w:val="3C4A35F1"/>
    <w:rsid w:val="3D404689"/>
    <w:rsid w:val="3D8175A7"/>
    <w:rsid w:val="3DBC31D4"/>
    <w:rsid w:val="3F122783"/>
    <w:rsid w:val="41F91D61"/>
    <w:rsid w:val="43352BB8"/>
    <w:rsid w:val="44D414C9"/>
    <w:rsid w:val="46472D5E"/>
    <w:rsid w:val="472C2557"/>
    <w:rsid w:val="47733AD3"/>
    <w:rsid w:val="49167B33"/>
    <w:rsid w:val="49265AC8"/>
    <w:rsid w:val="497B140B"/>
    <w:rsid w:val="49AE19CD"/>
    <w:rsid w:val="4ABA71C6"/>
    <w:rsid w:val="4B0F7DB3"/>
    <w:rsid w:val="4B2B4A5E"/>
    <w:rsid w:val="4B3A1BDA"/>
    <w:rsid w:val="4E2E1997"/>
    <w:rsid w:val="4E6C5236"/>
    <w:rsid w:val="4F0F6741"/>
    <w:rsid w:val="507B3005"/>
    <w:rsid w:val="52E734B9"/>
    <w:rsid w:val="535B7567"/>
    <w:rsid w:val="550514B7"/>
    <w:rsid w:val="55C3156A"/>
    <w:rsid w:val="57DB4693"/>
    <w:rsid w:val="5A5414B6"/>
    <w:rsid w:val="608606DE"/>
    <w:rsid w:val="60CA4684"/>
    <w:rsid w:val="60D3467A"/>
    <w:rsid w:val="61806520"/>
    <w:rsid w:val="61CF1286"/>
    <w:rsid w:val="63C52F7A"/>
    <w:rsid w:val="65225574"/>
    <w:rsid w:val="660D7534"/>
    <w:rsid w:val="66443719"/>
    <w:rsid w:val="66670E32"/>
    <w:rsid w:val="66C35559"/>
    <w:rsid w:val="69B8541A"/>
    <w:rsid w:val="6A287B5E"/>
    <w:rsid w:val="6B303A1A"/>
    <w:rsid w:val="6B737064"/>
    <w:rsid w:val="6D3564E7"/>
    <w:rsid w:val="6DAA2FDF"/>
    <w:rsid w:val="6DFC1F85"/>
    <w:rsid w:val="6E121228"/>
    <w:rsid w:val="6FFB2B97"/>
    <w:rsid w:val="70D1495F"/>
    <w:rsid w:val="72395514"/>
    <w:rsid w:val="73182EA2"/>
    <w:rsid w:val="751B3052"/>
    <w:rsid w:val="76F16531"/>
    <w:rsid w:val="77027960"/>
    <w:rsid w:val="78440BA6"/>
    <w:rsid w:val="78BE4F1A"/>
    <w:rsid w:val="7AEA4B42"/>
    <w:rsid w:val="7C4C58C1"/>
    <w:rsid w:val="7E3420E0"/>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2026-06-05T03:01:16Z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