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9280C">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14:paraId="6C76395E">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临高110kV西港输变电新建工程等2个项目</w:t>
      </w:r>
    </w:p>
    <w:p w14:paraId="59FD4A68">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65A1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21E7E9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14:paraId="1352E05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14:paraId="3D1BE1C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55B42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25A944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14:paraId="0BBBFE7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14:paraId="49818577">
            <w:pPr>
              <w:keepNext w:val="0"/>
              <w:keepLines w:val="0"/>
              <w:widowControl/>
              <w:suppressLineNumbers w:val="0"/>
              <w:jc w:val="center"/>
              <w:textAlignment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海南电网基建〔2025〕13号</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海南电网基建〔2025〕45号</w:t>
            </w:r>
          </w:p>
        </w:tc>
      </w:tr>
      <w:tr w14:paraId="4E78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83DF38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14:paraId="36F9435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14:paraId="42AB1C4A">
            <w:pPr>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2503-469024-04-01-867091</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eastAsia" w:ascii="宋体" w:hAnsi="宋体" w:eastAsia="宋体" w:cs="宋体"/>
                <w:color w:val="000000"/>
                <w:kern w:val="0"/>
                <w:sz w:val="20"/>
                <w:szCs w:val="20"/>
                <w:lang w:val="en-US" w:eastAsia="zh-CN" w:bidi="ar"/>
              </w:rPr>
              <w:t>2504-469024-04-01-319176</w:t>
            </w:r>
          </w:p>
        </w:tc>
      </w:tr>
      <w:tr w14:paraId="16B0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1C9FEC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14:paraId="7C9F69B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14:paraId="38BD884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海南电网基建〔2026〕40号</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海南电网基建〔2026〕31号</w:t>
            </w:r>
          </w:p>
        </w:tc>
      </w:tr>
      <w:tr w14:paraId="1130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132B9B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14:paraId="183F210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14:paraId="2C63B1E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海南电网规划〔2026〕12号</w:t>
            </w:r>
            <w:r>
              <w:rPr>
                <w:rFonts w:hint="eastAsia"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海南电网规划〔2025〕75号</w:t>
            </w:r>
          </w:p>
        </w:tc>
      </w:tr>
      <w:tr w14:paraId="6647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06DC0DD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14:paraId="0CD2300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14:paraId="249424F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w:t>
            </w:r>
          </w:p>
        </w:tc>
      </w:tr>
      <w:tr w14:paraId="4C5B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7320B3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14:paraId="6470CB0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14:paraId="72E61ED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海南电网有限责任公司建设分公司</w:t>
            </w:r>
          </w:p>
        </w:tc>
      </w:tr>
      <w:tr w14:paraId="1A06F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4EF3D6B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14:paraId="478F291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14:paraId="172A07C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海南省临高县</w:t>
            </w:r>
          </w:p>
        </w:tc>
      </w:tr>
      <w:tr w14:paraId="150C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D327245">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14:paraId="18071BD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14:paraId="64E6E1B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中国电建集团海南电力设计研究院</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海南电网设计有限责任公司</w:t>
            </w:r>
          </w:p>
        </w:tc>
      </w:tr>
      <w:tr w14:paraId="4159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A4E5591">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14:paraId="32756B2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14:paraId="39A365D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新华元电力工程设计有限公司</w:t>
            </w:r>
          </w:p>
        </w:tc>
      </w:tr>
    </w:tbl>
    <w:p w14:paraId="718F5BA5">
      <w:pPr>
        <w:pStyle w:val="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74D03923">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28718"/>
      <w:bookmarkStart w:id="2" w:name="_Toc13498"/>
      <w:bookmarkStart w:id="3" w:name="_Toc4755"/>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14:paraId="4FCDAC19">
      <w:pPr>
        <w:numPr>
          <w:ilvl w:val="0"/>
          <w:numId w:val="0"/>
        </w:numPr>
        <w:shd w:val="clear" w:color="auto" w:fill="auto"/>
        <w:autoSpaceDN w:val="0"/>
        <w:spacing w:line="360" w:lineRule="auto"/>
        <w:ind w:firstLine="48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（一）临高110kV南宝输变电新建工程施工</w:t>
      </w:r>
    </w:p>
    <w:p w14:paraId="35840B7A">
      <w:pPr>
        <w:numPr>
          <w:ilvl w:val="0"/>
          <w:numId w:val="0"/>
        </w:num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1.变电站工程(不含</w:t>
      </w:r>
      <w:r>
        <w:rPr>
          <w:rFonts w:hint="eastAsia" w:ascii="宋体" w:hAnsi="宋体" w:cs="宋体"/>
          <w:color w:val="auto"/>
          <w:sz w:val="21"/>
          <w:szCs w:val="21"/>
          <w:highlight w:val="none"/>
          <w:lang w:val="en-US" w:eastAsia="zh-CN"/>
        </w:rPr>
        <w:t>智能变电站工厂化调试、</w:t>
      </w:r>
      <w:r>
        <w:rPr>
          <w:rFonts w:hint="eastAsia" w:ascii="宋体" w:hAnsi="宋体" w:eastAsia="宋体" w:cs="宋体"/>
          <w:color w:val="auto"/>
          <w:sz w:val="21"/>
          <w:szCs w:val="21"/>
          <w:highlight w:val="none"/>
          <w:lang w:val="en-US" w:eastAsia="zh-CN"/>
        </w:rPr>
        <w:t>通信系统及其配套工程)</w:t>
      </w:r>
    </w:p>
    <w:p w14:paraId="1CD11901">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110kV南宝站主变终期规模为3×63MVA，本期规模2×40MVA。110kV终期出线间隔6个，本期出线间隔2个；10kV最终出线间隔3×12个，本期出线间隔2×12个。10kV侧终期安装3×3×5Mvar并联电容器，本期安装2×（5+2.4）Mvar并联电容器。</w:t>
      </w:r>
    </w:p>
    <w:p w14:paraId="29F53D28">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依据《中国南方电网公司标准设计和典型造价V3.1》等相关要求，按新一代智能变电站设计。自动化网络按三层两网构建，设置有站控层、间隔层、过程层。一次主要设备实现在线监测。变电站设计方案按照《南方电网公35～500kV变电站标准设计》（V3.1版）CSG-110B-F-G2a（B）方案相关模块进行优化设计。变电站总征地面积为7301m2，围墙内占地4888.57m2。变电站按全户内GIS布置，总建筑面积2632.08m2，配电综合楼采用钢筋混凝土框架结构，变电站外立面采用典设真石漆做法。</w:t>
      </w:r>
    </w:p>
    <w:p w14:paraId="28825DC6">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2.对侧变电站工程</w:t>
      </w:r>
    </w:p>
    <w:p w14:paraId="1B3A0490">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220kV洛基站、110kV美台站：本期电气一次设备均利旧。</w:t>
      </w:r>
    </w:p>
    <w:p w14:paraId="3C3586DB">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3.线路工程</w:t>
      </w:r>
    </w:p>
    <w:p w14:paraId="38584A23">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新建2回110kV线路π接入110kV洛基至美台线路，线路路径长度约1.7km，其中同塔双回路单侧挂线段长度约0.2km，单回路段长度约1.5km。新建架空导线每相截面为1×300mm2。</w:t>
      </w:r>
    </w:p>
    <w:p w14:paraId="3DCF0C24">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hAnsi="宋体" w:cs="宋体"/>
          <w:b w:val="0"/>
          <w:i w:val="0"/>
          <w:color w:val="auto"/>
          <w:kern w:val="2"/>
          <w:sz w:val="21"/>
          <w:szCs w:val="21"/>
          <w:highlight w:val="none"/>
          <w:lang w:val="en-US" w:eastAsia="zh-CN" w:bidi="ar-SA"/>
        </w:rPr>
        <w:t>4.</w:t>
      </w:r>
      <w:r>
        <w:rPr>
          <w:rFonts w:hint="eastAsia" w:ascii="宋体" w:hAnsi="宋体" w:eastAsia="宋体" w:cs="宋体"/>
          <w:b w:val="0"/>
          <w:i w:val="0"/>
          <w:color w:val="auto"/>
          <w:kern w:val="2"/>
          <w:sz w:val="21"/>
          <w:szCs w:val="21"/>
          <w:highlight w:val="none"/>
          <w:lang w:val="en-US" w:eastAsia="zh-CN" w:bidi="ar-SA"/>
        </w:rPr>
        <w:t>通信工程</w:t>
      </w:r>
    </w:p>
    <w:p w14:paraId="27B55030">
      <w:pPr>
        <w:numPr>
          <w:ilvl w:val="0"/>
          <w:numId w:val="0"/>
        </w:num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沿本期南宝站π接洛基至美台110kV线路工程新建线路同步架设1根24芯OPGW复合光缆，洛基站侧新建光缆长度为1.1km，美台站侧新建光缆长度为0.6km，最终形成南宝站至洛基站的1回24芯/48芯光缆路由和南宝站至美台站的1回24芯/48芯光缆路由。</w:t>
      </w:r>
    </w:p>
    <w:p w14:paraId="4096AE88">
      <w:pPr>
        <w:numPr>
          <w:ilvl w:val="0"/>
          <w:numId w:val="0"/>
        </w:numPr>
        <w:shd w:val="clear" w:color="auto" w:fill="auto"/>
        <w:autoSpaceDN w:val="0"/>
        <w:spacing w:line="360" w:lineRule="auto"/>
        <w:ind w:firstLine="482" w:firstLineChars="200"/>
        <w:outlineLvl w:val="2"/>
        <w:rPr>
          <w:rFonts w:hint="eastAsia"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（二）临高110kV西港输变电新建工程施工</w:t>
      </w:r>
    </w:p>
    <w:p w14:paraId="3549CF14">
      <w:pPr>
        <w:numPr>
          <w:ilvl w:val="0"/>
          <w:numId w:val="0"/>
        </w:num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1.变电站工程(不含</w:t>
      </w:r>
      <w:r>
        <w:rPr>
          <w:rFonts w:hint="eastAsia" w:ascii="宋体" w:hAnsi="宋体" w:cs="宋体"/>
          <w:color w:val="auto"/>
          <w:sz w:val="21"/>
          <w:szCs w:val="21"/>
          <w:highlight w:val="none"/>
          <w:lang w:val="en-US" w:eastAsia="zh-CN"/>
        </w:rPr>
        <w:t>智能变电站工厂化调试、</w:t>
      </w:r>
      <w:r>
        <w:rPr>
          <w:rFonts w:hint="eastAsia" w:ascii="宋体" w:hAnsi="宋体" w:eastAsia="宋体" w:cs="宋体"/>
          <w:color w:val="auto"/>
          <w:sz w:val="21"/>
          <w:szCs w:val="21"/>
          <w:highlight w:val="none"/>
          <w:lang w:val="en-US" w:eastAsia="zh-CN"/>
        </w:rPr>
        <w:t>通信系统及其配套工程)</w:t>
      </w:r>
    </w:p>
    <w:p w14:paraId="2E9558C6">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110kV西港站主变终期规模为3×63MVA，本期规模2×63MVA。110kV终期出线间隔6个，本期出线间隔3个；10kV最终出线间隔3×16个，本期出线间隔2×16个。10kV侧终期安装3×（5+2.4）Mvar并联电容器，本期安装2×（5+2.4）Mvar并联电容器。</w:t>
      </w:r>
    </w:p>
    <w:p w14:paraId="5992408B">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依据《中国南方电网公司标准设计和典型造价V3.1》等相关要求，按新一代智能变电站设计。自动化网络按三层两网构建，设置有站控层、间隔层、过程层。一次主要设备实现在线监测。变电站设计方案按照《南方电网公司35～500kV变电站标准设计》（V3.0版）CSG-110B-F-G2a（B）方案相关模块进行优化设计。变电站总征地面积为5949.6m2，围墙内占地5795.6m2。变电站按全户内GIS布置，总建筑面积2630.98m2，配电综合楼采用半钢结构（建筑屋面钢结构），变电站外立面采用与周边环境融合的现代简约风格。</w:t>
      </w:r>
    </w:p>
    <w:p w14:paraId="71649359">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2.对侧变电站工程</w:t>
      </w:r>
    </w:p>
    <w:p w14:paraId="7A9C08F9">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220kV博厚站、110kV澜江站：本期电气一次设备均利旧。二次设备均利旧1套原110kV博澜Ⅱ线线路光纤电流差动保护装置，均新增1套110kV线路光纤电流差动保护装置。</w:t>
      </w:r>
    </w:p>
    <w:p w14:paraId="06460FB6">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3.线路工程</w:t>
      </w:r>
    </w:p>
    <w:p w14:paraId="4F918731">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新建双回110kV线路π接110kV博厚至澜江Ⅱ线。新建线路长约6.29km，其中双回路段长度约5.99km，单回路段长度约0.3km，新建架空导线每相截面为1×300mm2。</w:t>
      </w:r>
    </w:p>
    <w:p w14:paraId="75A93615">
      <w:pPr>
        <w:pStyle w:val="9"/>
        <w:keepNext w:val="0"/>
        <w:keepLines w:val="0"/>
        <w:pageBreakBefore w:val="0"/>
        <w:numPr>
          <w:ilvl w:val="0"/>
          <w:numId w:val="0"/>
        </w:numPr>
        <w:shd w:val="clear" w:color="auto" w:fill="auto"/>
        <w:kinsoku/>
        <w:wordWrap/>
        <w:overflowPunct/>
        <w:topLinePunct w:val="0"/>
        <w:bidi w:val="0"/>
        <w:adjustRightInd w:val="0"/>
        <w:snapToGrid w:val="0"/>
        <w:spacing w:line="360" w:lineRule="auto"/>
        <w:ind w:firstLine="420" w:firstLineChars="200"/>
        <w:textAlignment w:val="auto"/>
        <w:outlineLvl w:val="0"/>
        <w:rPr>
          <w:rFonts w:hint="eastAsia" w:ascii="宋体" w:hAnsi="宋体" w:eastAsia="宋体" w:cs="宋体"/>
          <w:b w:val="0"/>
          <w:i w:val="0"/>
          <w:color w:val="auto"/>
          <w:kern w:val="2"/>
          <w:sz w:val="21"/>
          <w:szCs w:val="21"/>
          <w:highlight w:val="none"/>
          <w:lang w:val="en-US" w:eastAsia="zh-CN" w:bidi="ar-SA"/>
        </w:rPr>
      </w:pPr>
      <w:r>
        <w:rPr>
          <w:rFonts w:hint="eastAsia" w:hAnsi="宋体" w:cs="宋体"/>
          <w:b w:val="0"/>
          <w:i w:val="0"/>
          <w:color w:val="auto"/>
          <w:kern w:val="2"/>
          <w:sz w:val="21"/>
          <w:szCs w:val="21"/>
          <w:highlight w:val="none"/>
          <w:lang w:val="en-US" w:eastAsia="zh-CN" w:bidi="ar-SA"/>
        </w:rPr>
        <w:t>4.</w:t>
      </w:r>
      <w:r>
        <w:rPr>
          <w:rFonts w:hint="eastAsia" w:ascii="宋体" w:hAnsi="宋体" w:eastAsia="宋体" w:cs="宋体"/>
          <w:b w:val="0"/>
          <w:i w:val="0"/>
          <w:color w:val="auto"/>
          <w:kern w:val="2"/>
          <w:sz w:val="21"/>
          <w:szCs w:val="21"/>
          <w:highlight w:val="none"/>
          <w:lang w:val="en-US" w:eastAsia="zh-CN" w:bidi="ar-SA"/>
        </w:rPr>
        <w:t>通信工程</w:t>
      </w:r>
    </w:p>
    <w:p w14:paraId="09BEF93E">
      <w:pPr>
        <w:numPr>
          <w:ilvl w:val="0"/>
          <w:numId w:val="0"/>
        </w:num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沿110kV新建架空线路架设2根48芯OPGW光缆，光缆长度约2×6.14km，形成澜江～博厚～西港的1回48芯光缆路由。</w:t>
      </w:r>
    </w:p>
    <w:p w14:paraId="2A4A082D">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14:paraId="2898E1A2">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新建变电站工厂化调试、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14:paraId="0E58C58A">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新建变电站工厂化调试、通信系统、主站系统（站外部分）</w:t>
      </w:r>
    </w:p>
    <w:p w14:paraId="155EC283">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143D29B7">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bookmarkStart w:id="5" w:name="_GoBack"/>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市政设施（绿化）移植、复绿工作（如有）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bookmarkEnd w:id="5"/>
    <w:p w14:paraId="760E0891">
      <w:pPr>
        <w:shd w:val="clear" w:color="auto" w:fill="auto"/>
        <w:autoSpaceDN w:val="0"/>
        <w:spacing w:line="360" w:lineRule="auto"/>
        <w:ind w:firstLine="422" w:firstLineChars="200"/>
        <w:outlineLvl w:val="9"/>
        <w:rPr>
          <w:rFonts w:hint="eastAsia" w:ascii="宋体" w:hAnsi="宋体" w:eastAsia="宋体" w:cs="宋体"/>
          <w:bCs/>
          <w:color w:val="auto"/>
          <w:sz w:val="21"/>
          <w:szCs w:val="21"/>
          <w:highlight w:val="none"/>
          <w:u w:val="none"/>
          <w:lang w:val="en-US" w:eastAsia="zh-CN"/>
        </w:rPr>
      </w:pPr>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14:paraId="37C1E3DD">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2.项目如有涉及保护树种移植相关费用，最终以发包单位审批的方案，据实结算。</w:t>
      </w:r>
    </w:p>
    <w:p w14:paraId="68E29F7C">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3.项目如需实施工厂化调试部分，桩基础检测、主体工程检测，以发包单位委托单及审批的方案，据实结算。</w:t>
      </w:r>
    </w:p>
    <w:p w14:paraId="2E0FE2B6">
      <w:pPr>
        <w:shd w:val="clear" w:color="auto" w:fill="auto"/>
        <w:autoSpaceDN w:val="0"/>
        <w:spacing w:line="360" w:lineRule="auto"/>
        <w:ind w:firstLine="420" w:firstLineChars="200"/>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4.架空线路跨越铁路时，按88万元/处暂估计入合同控制价，最终以发包单位审批的方案，据实结算（不考虑下浮率）。</w:t>
      </w:r>
    </w:p>
    <w:p w14:paraId="7F4E01B4">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14:paraId="68D095D1">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14:paraId="68F7A58D">
      <w:pPr>
        <w:pStyle w:val="7"/>
        <w:rPr>
          <w:rFonts w:hint="eastAsia"/>
          <w:lang w:val="en-US" w:eastAsia="zh-CN"/>
        </w:rPr>
      </w:pPr>
    </w:p>
    <w:p w14:paraId="12373DFC">
      <w:pPr>
        <w:bidi w:val="0"/>
        <w:jc w:val="both"/>
        <w:rPr>
          <w:rFonts w:hint="eastAsia" w:ascii="Calibri" w:hAnsi="Calibri" w:eastAsia="宋体" w:cs="Times New Roman"/>
          <w:kern w:val="2"/>
          <w:sz w:val="21"/>
          <w:szCs w:val="22"/>
          <w:highlight w:val="none"/>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57B3772"/>
    <w:rsid w:val="06810BE5"/>
    <w:rsid w:val="09F022AE"/>
    <w:rsid w:val="0B5C5A0A"/>
    <w:rsid w:val="0BC07002"/>
    <w:rsid w:val="0D277AA0"/>
    <w:rsid w:val="10D87C07"/>
    <w:rsid w:val="1138611B"/>
    <w:rsid w:val="116419AD"/>
    <w:rsid w:val="11DF6CFE"/>
    <w:rsid w:val="12A13D0F"/>
    <w:rsid w:val="12C36D7D"/>
    <w:rsid w:val="14440D4B"/>
    <w:rsid w:val="15056A61"/>
    <w:rsid w:val="17BC3393"/>
    <w:rsid w:val="181450F3"/>
    <w:rsid w:val="18953F09"/>
    <w:rsid w:val="18D760D3"/>
    <w:rsid w:val="18E57496"/>
    <w:rsid w:val="19057D6C"/>
    <w:rsid w:val="194D5BFB"/>
    <w:rsid w:val="1AD65683"/>
    <w:rsid w:val="1B663F82"/>
    <w:rsid w:val="1C2C5EB1"/>
    <w:rsid w:val="1E0B2C54"/>
    <w:rsid w:val="1EB55557"/>
    <w:rsid w:val="20A40AC4"/>
    <w:rsid w:val="216F4D5B"/>
    <w:rsid w:val="21B74FEF"/>
    <w:rsid w:val="225E52D4"/>
    <w:rsid w:val="23413BD4"/>
    <w:rsid w:val="24F737D8"/>
    <w:rsid w:val="26BA2581"/>
    <w:rsid w:val="273F4635"/>
    <w:rsid w:val="281556A3"/>
    <w:rsid w:val="2C3F686A"/>
    <w:rsid w:val="2EF744D3"/>
    <w:rsid w:val="2FEF6052"/>
    <w:rsid w:val="2FF65FF8"/>
    <w:rsid w:val="300D195C"/>
    <w:rsid w:val="3060369A"/>
    <w:rsid w:val="30BF37B5"/>
    <w:rsid w:val="31AA20B0"/>
    <w:rsid w:val="31CE7BE2"/>
    <w:rsid w:val="326A79C4"/>
    <w:rsid w:val="32DE5784"/>
    <w:rsid w:val="33851415"/>
    <w:rsid w:val="34E034E5"/>
    <w:rsid w:val="355C6F05"/>
    <w:rsid w:val="361736AD"/>
    <w:rsid w:val="36D200CF"/>
    <w:rsid w:val="37B4116F"/>
    <w:rsid w:val="38382DC3"/>
    <w:rsid w:val="38DE045C"/>
    <w:rsid w:val="3B572E0B"/>
    <w:rsid w:val="3C3333A5"/>
    <w:rsid w:val="3C4A35F1"/>
    <w:rsid w:val="3D404689"/>
    <w:rsid w:val="3D8175A7"/>
    <w:rsid w:val="3DBC31D4"/>
    <w:rsid w:val="3F122783"/>
    <w:rsid w:val="40053F81"/>
    <w:rsid w:val="41F91D61"/>
    <w:rsid w:val="44D414C9"/>
    <w:rsid w:val="46472D5E"/>
    <w:rsid w:val="472C2557"/>
    <w:rsid w:val="47733AD3"/>
    <w:rsid w:val="49167B33"/>
    <w:rsid w:val="49265AC8"/>
    <w:rsid w:val="497B140B"/>
    <w:rsid w:val="49AE19CD"/>
    <w:rsid w:val="4ABA71C6"/>
    <w:rsid w:val="4B0F7DB3"/>
    <w:rsid w:val="4B2B4A5E"/>
    <w:rsid w:val="4B3A1BDA"/>
    <w:rsid w:val="4E2E1997"/>
    <w:rsid w:val="4E6C5236"/>
    <w:rsid w:val="4F0F6741"/>
    <w:rsid w:val="507B3005"/>
    <w:rsid w:val="52E734B9"/>
    <w:rsid w:val="535B7567"/>
    <w:rsid w:val="550514B7"/>
    <w:rsid w:val="55C3156A"/>
    <w:rsid w:val="57DB4693"/>
    <w:rsid w:val="5A5414B6"/>
    <w:rsid w:val="608606DE"/>
    <w:rsid w:val="60CA4684"/>
    <w:rsid w:val="61806520"/>
    <w:rsid w:val="61CF1286"/>
    <w:rsid w:val="62A77D4D"/>
    <w:rsid w:val="63C52F7A"/>
    <w:rsid w:val="65225574"/>
    <w:rsid w:val="66443719"/>
    <w:rsid w:val="66670E32"/>
    <w:rsid w:val="66C35559"/>
    <w:rsid w:val="6A287B5E"/>
    <w:rsid w:val="6B303A1A"/>
    <w:rsid w:val="6B737064"/>
    <w:rsid w:val="6D3564E7"/>
    <w:rsid w:val="6D52595F"/>
    <w:rsid w:val="6DAA2FDF"/>
    <w:rsid w:val="6DFC1F85"/>
    <w:rsid w:val="6E121228"/>
    <w:rsid w:val="6FFB2B97"/>
    <w:rsid w:val="70D1495F"/>
    <w:rsid w:val="72395514"/>
    <w:rsid w:val="73182EA2"/>
    <w:rsid w:val="751B3052"/>
    <w:rsid w:val="76F16531"/>
    <w:rsid w:val="78440BA6"/>
    <w:rsid w:val="78BE4F1A"/>
    <w:rsid w:val="7A0021C0"/>
    <w:rsid w:val="7C4C58C1"/>
    <w:rsid w:val="7CE44FF4"/>
    <w:rsid w:val="7E3420E0"/>
    <w:rsid w:val="7FA8445B"/>
    <w:rsid w:val="7FB7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6">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7">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p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钟文泳</cp:lastModifiedBy>
  <dcterms:modified xsi:type="dcterms:W3CDTF">2026-06-05T03:01:48Z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312FC46D5DCE43748B2C48F97DC744C1</vt:lpwstr>
  </property>
</Properties>
</file>