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869802">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heme="minorEastAsia" w:hAnsiTheme="minorEastAsia" w:eastAsiaTheme="minorEastAsia" w:cstheme="minorEastAsia"/>
          <w:b/>
          <w:bCs/>
          <w:snapToGrid w:val="0"/>
          <w:color w:val="auto"/>
          <w:kern w:val="0"/>
          <w:sz w:val="32"/>
          <w:szCs w:val="32"/>
          <w:highlight w:val="none"/>
          <w:u w:val="single"/>
          <w:lang w:val="en-US" w:eastAsia="zh-CN"/>
        </w:rPr>
      </w:pPr>
      <w:bookmarkStart w:id="0" w:name="_Toc8445"/>
      <w:r>
        <w:rPr>
          <w:rFonts w:hint="eastAsia" w:asciiTheme="minorEastAsia" w:hAnsiTheme="minorEastAsia" w:eastAsiaTheme="minorEastAsia" w:cstheme="minorEastAsia"/>
          <w:b/>
          <w:bCs/>
          <w:snapToGrid w:val="0"/>
          <w:color w:val="auto"/>
          <w:kern w:val="0"/>
          <w:sz w:val="32"/>
          <w:szCs w:val="32"/>
          <w:highlight w:val="none"/>
          <w:u w:val="single"/>
          <w:lang w:val="en-US" w:eastAsia="zh-CN"/>
        </w:rPr>
        <w:t>附件A-项目信息清单</w:t>
      </w:r>
    </w:p>
    <w:p w14:paraId="1E7F049C">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default" w:asciiTheme="minorEastAsia" w:hAnsiTheme="minorEastAsia" w:eastAsiaTheme="minorEastAsia" w:cstheme="minorEastAsia"/>
          <w:b/>
          <w:bCs/>
          <w:snapToGrid w:val="0"/>
          <w:color w:val="auto"/>
          <w:kern w:val="0"/>
          <w:sz w:val="28"/>
          <w:szCs w:val="28"/>
          <w:highlight w:val="none"/>
          <w:u w:val="singl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标段名称：</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白沙110kV白沙站#3主变扩建工程等2个项目</w:t>
      </w:r>
    </w:p>
    <w:p w14:paraId="2AED5A10">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snapToGrid w:val="0"/>
          <w:color w:val="auto"/>
          <w:kern w:val="0"/>
          <w:sz w:val="24"/>
          <w:szCs w:val="24"/>
          <w:highlight w:val="none"/>
          <w:u w:val="single"/>
          <w:lang w:val="en-US" w:eastAsia="zh-CN"/>
        </w:rPr>
      </w:pPr>
      <w:r>
        <w:rPr>
          <w:rFonts w:hint="eastAsia" w:hAnsi="宋体" w:cs="宋体"/>
          <w:b/>
          <w:bCs/>
          <w:snapToGrid w:val="0"/>
          <w:color w:val="auto"/>
          <w:kern w:val="0"/>
          <w:sz w:val="24"/>
          <w:szCs w:val="24"/>
          <w:highlight w:val="none"/>
          <w:u w:val="single"/>
          <w:lang w:val="en-US" w:eastAsia="zh-CN"/>
        </w:rPr>
        <w:t>招标前期资料</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14:paraId="45B4E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9A6305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2911" w:type="dxa"/>
            <w:vAlign w:val="center"/>
          </w:tcPr>
          <w:p w14:paraId="209CE26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3476" w:type="dxa"/>
            <w:vAlign w:val="center"/>
          </w:tcPr>
          <w:p w14:paraId="0AED05C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2073C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58CD4F4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14:paraId="3132702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476" w:type="dxa"/>
            <w:vAlign w:val="center"/>
          </w:tcPr>
          <w:p w14:paraId="68B2F076">
            <w:pPr>
              <w:keepNext w:val="0"/>
              <w:keepLines w:val="0"/>
              <w:widowControl/>
              <w:suppressLineNumbers w:val="0"/>
              <w:jc w:val="center"/>
              <w:textAlignment w:val="center"/>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海南电网基建〔2025〕28号</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海南电网基建〔2025〕68号</w:t>
            </w:r>
          </w:p>
        </w:tc>
      </w:tr>
      <w:tr w14:paraId="38CEB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53F587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14:paraId="3AF02D2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项目备案文号</w:t>
            </w:r>
          </w:p>
        </w:tc>
        <w:tc>
          <w:tcPr>
            <w:tcW w:w="3476" w:type="dxa"/>
            <w:vAlign w:val="center"/>
          </w:tcPr>
          <w:p w14:paraId="69F27A5B">
            <w:pPr>
              <w:pStyle w:val="10"/>
              <w:keepNext w:val="0"/>
              <w:keepLines w:val="0"/>
              <w:widowControl/>
              <w:suppressLineNumbers w:val="0"/>
              <w:jc w:val="center"/>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2504-469025-04-01-444148</w:t>
            </w:r>
            <w:r>
              <w:rPr>
                <w:rFonts w:hint="eastAsia"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eastAsia" w:ascii="宋体" w:hAnsi="宋体" w:eastAsia="宋体" w:cs="宋体"/>
                <w:color w:val="000000"/>
                <w:kern w:val="0"/>
                <w:sz w:val="20"/>
                <w:szCs w:val="20"/>
                <w:highlight w:val="none"/>
                <w:lang w:val="en-US" w:eastAsia="zh-CN" w:bidi="ar"/>
              </w:rPr>
              <w:t>2506-467001-04-01-651906</w:t>
            </w:r>
          </w:p>
        </w:tc>
      </w:tr>
      <w:tr w14:paraId="0C3DA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7B9E5EA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14:paraId="3D64EC4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476" w:type="dxa"/>
            <w:vAlign w:val="center"/>
          </w:tcPr>
          <w:p w14:paraId="3B9BA62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海南电网基建〔2026〕50号</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海南电网基建〔2026〕32号</w:t>
            </w:r>
          </w:p>
        </w:tc>
      </w:tr>
      <w:tr w14:paraId="20287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F7F13B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14:paraId="084F67C7">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476" w:type="dxa"/>
            <w:vAlign w:val="center"/>
          </w:tcPr>
          <w:p w14:paraId="35996D7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海南电网规划〔2026〕7号</w:t>
            </w:r>
          </w:p>
        </w:tc>
      </w:tr>
      <w:tr w14:paraId="719DE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941B928">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14:paraId="71E4569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476" w:type="dxa"/>
            <w:vAlign w:val="center"/>
          </w:tcPr>
          <w:p w14:paraId="32841A46">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hAnsi="宋体" w:cs="宋体"/>
                <w:b w:val="0"/>
                <w:bCs w:val="0"/>
                <w:snapToGrid w:val="0"/>
                <w:color w:val="auto"/>
                <w:kern w:val="0"/>
                <w:sz w:val="21"/>
                <w:szCs w:val="21"/>
                <w:highlight w:val="none"/>
                <w:u w:val="none"/>
                <w:vertAlign w:val="baseline"/>
                <w:lang w:val="en-US" w:eastAsia="zh-CN" w:bidi="ar-SA"/>
              </w:rPr>
              <w:t>/</w:t>
            </w:r>
          </w:p>
        </w:tc>
      </w:tr>
      <w:tr w14:paraId="54ADD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AE7805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14:paraId="261718C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476" w:type="dxa"/>
            <w:vAlign w:val="center"/>
          </w:tcPr>
          <w:p w14:paraId="247BE39F">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eastAsia" w:ascii="宋体" w:hAnsi="宋体" w:eastAsia="宋体" w:cs="宋体"/>
                <w:b w:val="0"/>
                <w:bCs w:val="0"/>
                <w:snapToGrid w:val="0"/>
                <w:color w:val="auto"/>
                <w:kern w:val="0"/>
                <w:sz w:val="21"/>
                <w:szCs w:val="21"/>
                <w:highlight w:val="none"/>
                <w:u w:val="none"/>
                <w:vertAlign w:val="baseline"/>
                <w:lang w:val="en-US" w:eastAsia="zh-CN" w:bidi="ar-SA"/>
              </w:rPr>
              <w:t>建设分公司、儋州供电局</w:t>
            </w:r>
          </w:p>
        </w:tc>
      </w:tr>
      <w:tr w14:paraId="488E3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36CEF959">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14:paraId="595FA19A">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476" w:type="dxa"/>
            <w:vAlign w:val="center"/>
          </w:tcPr>
          <w:p w14:paraId="79D2DF5E">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海南省白沙黎族自治县</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海南省洋浦经济开发区</w:t>
            </w:r>
          </w:p>
        </w:tc>
      </w:tr>
      <w:tr w14:paraId="774E6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101F9B12">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14:paraId="7CC9C9EB">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476" w:type="dxa"/>
            <w:vAlign w:val="center"/>
          </w:tcPr>
          <w:p w14:paraId="6EDDB23D">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河南省电力勘测设计院有限公司</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海南威特建设科技有限公司</w:t>
            </w:r>
          </w:p>
        </w:tc>
      </w:tr>
      <w:tr w14:paraId="7A1F2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14:paraId="6324159C">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14:paraId="42E43823">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476" w:type="dxa"/>
            <w:vAlign w:val="center"/>
          </w:tcPr>
          <w:p w14:paraId="6D8FA8B0">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outlineLvl w:val="9"/>
              <w:rPr>
                <w:rFonts w:hint="default" w:ascii="宋体" w:hAnsi="宋体" w:eastAsia="宋体" w:cs="宋体"/>
                <w:b w:val="0"/>
                <w:bCs w:val="0"/>
                <w:snapToGrid w:val="0"/>
                <w:color w:val="auto"/>
                <w:kern w:val="0"/>
                <w:sz w:val="21"/>
                <w:szCs w:val="21"/>
                <w:highlight w:val="none"/>
                <w:u w:val="none"/>
                <w:vertAlign w:val="baseline"/>
                <w:lang w:val="en-US" w:eastAsia="zh-CN" w:bidi="ar-SA"/>
              </w:rPr>
            </w:pPr>
            <w:r>
              <w:rPr>
                <w:rFonts w:hint="default" w:ascii="宋体" w:hAnsi="宋体" w:eastAsia="宋体" w:cs="宋体"/>
                <w:b w:val="0"/>
                <w:bCs w:val="0"/>
                <w:snapToGrid w:val="0"/>
                <w:color w:val="auto"/>
                <w:kern w:val="0"/>
                <w:sz w:val="21"/>
                <w:szCs w:val="21"/>
                <w:highlight w:val="none"/>
                <w:u w:val="none"/>
                <w:vertAlign w:val="baseline"/>
                <w:lang w:val="en-US" w:eastAsia="zh-CN" w:bidi="ar-SA"/>
              </w:rPr>
              <w:t>广东天安项目管理有限公司</w:t>
            </w:r>
            <w:r>
              <w:rPr>
                <w:rFonts w:hint="default" w:ascii="宋体" w:hAnsi="宋体" w:eastAsia="宋体" w:cs="宋体"/>
                <w:b w:val="0"/>
                <w:bCs w:val="0"/>
                <w:snapToGrid w:val="0"/>
                <w:color w:val="auto"/>
                <w:kern w:val="0"/>
                <w:sz w:val="21"/>
                <w:szCs w:val="21"/>
                <w:highlight w:val="none"/>
                <w:u w:val="none"/>
                <w:vertAlign w:val="baseline"/>
                <w:lang w:val="en-US" w:eastAsia="zh-CN" w:bidi="ar-SA"/>
              </w:rPr>
              <w:br w:type="textWrapping"/>
            </w:r>
            <w:r>
              <w:rPr>
                <w:rFonts w:hint="default" w:ascii="宋体" w:hAnsi="宋体" w:eastAsia="宋体" w:cs="宋体"/>
                <w:b w:val="0"/>
                <w:bCs w:val="0"/>
                <w:snapToGrid w:val="0"/>
                <w:color w:val="auto"/>
                <w:kern w:val="0"/>
                <w:sz w:val="21"/>
                <w:szCs w:val="21"/>
                <w:highlight w:val="none"/>
                <w:u w:val="none"/>
                <w:vertAlign w:val="baseline"/>
                <w:lang w:val="en-US" w:eastAsia="zh-CN" w:bidi="ar-SA"/>
              </w:rPr>
              <w:t>公诚管理咨询有限公司</w:t>
            </w:r>
          </w:p>
        </w:tc>
      </w:tr>
    </w:tbl>
    <w:p w14:paraId="716276B0">
      <w:pPr>
        <w:pStyle w:val="9"/>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lang w:val="en-US" w:eastAsia="zh-CN"/>
        </w:rPr>
      </w:pPr>
    </w:p>
    <w:p w14:paraId="29D811AC">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宋体" w:hAnsi="宋体" w:eastAsia="宋体" w:cs="宋体"/>
          <w:b/>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建设规模</w:t>
      </w:r>
      <w:r>
        <w:rPr>
          <w:rFonts w:hint="eastAsia" w:asciiTheme="minorEastAsia" w:hAnsiTheme="minorEastAsia" w:eastAsiaTheme="minorEastAsia" w:cstheme="minorEastAsia"/>
          <w:color w:val="auto"/>
          <w:sz w:val="24"/>
          <w:szCs w:val="24"/>
          <w:highlight w:val="none"/>
          <w:lang w:val="en-US" w:eastAsia="zh-CN"/>
        </w:rPr>
        <w:t>：</w:t>
      </w:r>
      <w:bookmarkEnd w:id="0"/>
      <w:bookmarkStart w:id="1" w:name="_Toc4755"/>
      <w:bookmarkStart w:id="2" w:name="_Toc28718"/>
      <w:bookmarkStart w:id="3" w:name="_Toc13498"/>
      <w:r>
        <w:rPr>
          <w:rFonts w:hint="eastAsia" w:ascii="宋体" w:hAnsi="宋体" w:eastAsia="宋体" w:cs="宋体"/>
          <w:b/>
          <w:color w:val="auto"/>
          <w:sz w:val="24"/>
          <w:szCs w:val="24"/>
          <w:highlight w:val="none"/>
          <w:lang w:val="en-US" w:eastAsia="zh-CN"/>
        </w:rPr>
        <w:t>（具体内容以批复的施工图设计为准）</w:t>
      </w:r>
    </w:p>
    <w:bookmarkEnd w:id="1"/>
    <w:bookmarkEnd w:id="2"/>
    <w:bookmarkEnd w:id="3"/>
    <w:p w14:paraId="14394DAF">
      <w:pPr>
        <w:shd w:val="clear" w:color="auto" w:fill="auto"/>
        <w:autoSpaceDN w:val="0"/>
        <w:spacing w:line="360" w:lineRule="auto"/>
        <w:ind w:firstLine="482" w:firstLineChars="200"/>
        <w:outlineLvl w:val="2"/>
        <w:rPr>
          <w:rFonts w:hint="default"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（一）白沙110kV白沙站#3主变扩建工程施工</w:t>
      </w:r>
    </w:p>
    <w:p w14:paraId="283100A8">
      <w:pPr>
        <w:numPr>
          <w:ilvl w:val="0"/>
          <w:numId w:val="0"/>
        </w:num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1.变电站工程</w:t>
      </w:r>
    </w:p>
    <w:p w14:paraId="256CCAC7">
      <w:pPr>
        <w:numPr>
          <w:ilvl w:val="0"/>
          <w:numId w:val="0"/>
        </w:numPr>
        <w:shd w:val="clear" w:color="auto" w:fill="auto"/>
        <w:autoSpaceDN w:val="0"/>
        <w:spacing w:line="360" w:lineRule="auto"/>
        <w:ind w:firstLine="420" w:firstLineChars="200"/>
        <w:outlineLvl w:val="2"/>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110kV白沙站现有主变容量为（20+40）MVA，110kV出线间隔2个，35kV出线间隔4个，10kV出线间隔17个，10kV并联电容器（2×2.1+2.4+5）Mvar。扩建#3主变容量为63MVA，新增110kV备用出线间隔1个，预留110kV出线间隔1个，新增10kV出线间隔11个。新增10kV并联电容器（2.4+5）Mvar。新增10kV配电室1栋。</w:t>
      </w:r>
    </w:p>
    <w:p w14:paraId="25DCBE3F">
      <w:pPr>
        <w:numPr>
          <w:ilvl w:val="0"/>
          <w:numId w:val="0"/>
        </w:numPr>
        <w:shd w:val="clear" w:color="auto" w:fill="auto"/>
        <w:autoSpaceDN w:val="0"/>
        <w:spacing w:line="360" w:lineRule="auto"/>
        <w:ind w:firstLine="482" w:firstLineChars="200"/>
        <w:outlineLvl w:val="2"/>
        <w:rPr>
          <w:rFonts w:hint="default" w:asciiTheme="minorEastAsia" w:hAnsiTheme="minorEastAsia" w:eastAsiaTheme="minorEastAsia" w:cstheme="minorEastAsia"/>
          <w:b/>
          <w:bCs/>
          <w:color w:val="auto"/>
          <w:kern w:val="0"/>
          <w:sz w:val="24"/>
          <w:szCs w:val="24"/>
          <w:highlight w:val="none"/>
          <w:lang w:val="en-US" w:eastAsia="zh-CN" w:bidi="ar-SA"/>
        </w:rPr>
      </w:pPr>
      <w:r>
        <w:rPr>
          <w:rFonts w:hint="eastAsia" w:asciiTheme="minorEastAsia" w:hAnsiTheme="minorEastAsia" w:eastAsiaTheme="minorEastAsia" w:cstheme="minorEastAsia"/>
          <w:b/>
          <w:bCs/>
          <w:color w:val="auto"/>
          <w:kern w:val="0"/>
          <w:sz w:val="24"/>
          <w:szCs w:val="24"/>
          <w:highlight w:val="none"/>
          <w:lang w:val="en-US" w:eastAsia="zh-CN" w:bidi="ar-SA"/>
        </w:rPr>
        <w:t>（二）洋浦干冲至德义110kV线路新建工程施工</w:t>
      </w:r>
    </w:p>
    <w:p w14:paraId="533CC4E3">
      <w:pPr>
        <w:numPr>
          <w:ilvl w:val="0"/>
          <w:numId w:val="0"/>
        </w:num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1.变电站工程</w:t>
      </w:r>
    </w:p>
    <w:p w14:paraId="32EEE0AA">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本期规模220kV干冲站、110kV德义站侧：均扩建1个110kV出线间隔。</w:t>
      </w:r>
    </w:p>
    <w:p w14:paraId="7E907796">
      <w:pPr>
        <w:shd w:val="clear" w:color="auto" w:fill="auto"/>
        <w:autoSpaceDN w:val="0"/>
        <w:spacing w:line="360" w:lineRule="auto"/>
        <w:ind w:firstLine="420" w:firstLineChars="200"/>
        <w:outlineLvl w:val="2"/>
        <w:rPr>
          <w:rFonts w:hint="eastAsia" w:ascii="宋体" w:hAnsi="宋体" w:eastAsia="宋体" w:cs="宋体"/>
          <w:b w:val="0"/>
          <w:i w:val="0"/>
          <w:color w:val="auto"/>
          <w:kern w:val="2"/>
          <w:sz w:val="21"/>
          <w:szCs w:val="21"/>
          <w:highlight w:val="none"/>
          <w:lang w:val="en-US" w:eastAsia="zh-CN" w:bidi="ar-SA"/>
        </w:rPr>
      </w:pPr>
      <w:r>
        <w:rPr>
          <w:rFonts w:hint="eastAsia" w:ascii="宋体" w:hAnsi="宋体" w:eastAsia="宋体" w:cs="宋体"/>
          <w:b w:val="0"/>
          <w:i w:val="0"/>
          <w:color w:val="auto"/>
          <w:kern w:val="2"/>
          <w:sz w:val="21"/>
          <w:szCs w:val="21"/>
          <w:highlight w:val="none"/>
          <w:lang w:val="en-US" w:eastAsia="zh-CN" w:bidi="ar-SA"/>
        </w:rPr>
        <w:t>2.线路工程</w:t>
      </w:r>
    </w:p>
    <w:p w14:paraId="6618D754">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110kV线路工程：新建干冲至德义站110kV单回电缆线路，线路路径长度约9.2km，形成干冲～德义～三都的双侧电源单链式接线形式，单相电缆截面为1×1200mm2。</w:t>
      </w:r>
    </w:p>
    <w:p w14:paraId="35BF52A0">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b w:val="0"/>
          <w:i w:val="0"/>
          <w:color w:val="auto"/>
          <w:kern w:val="2"/>
          <w:sz w:val="21"/>
          <w:szCs w:val="21"/>
          <w:highlight w:val="none"/>
          <w:lang w:val="en-US" w:eastAsia="zh-CN" w:bidi="ar-SA"/>
        </w:rPr>
        <w:t>3.通信工程</w:t>
      </w:r>
    </w:p>
    <w:p w14:paraId="195B9E45">
      <w:pPr>
        <w:shd w:val="clear" w:color="auto" w:fill="auto"/>
        <w:autoSpaceDN w:val="0"/>
        <w:spacing w:line="360" w:lineRule="auto"/>
        <w:ind w:firstLine="420" w:firstLineChars="200"/>
        <w:outlineLvl w:val="2"/>
        <w:rPr>
          <w:rFonts w:hint="eastAsia" w:ascii="宋体" w:hAnsi="宋体" w:eastAsia="宋体" w:cs="宋体"/>
          <w:color w:val="auto"/>
          <w:sz w:val="21"/>
          <w:szCs w:val="21"/>
          <w:highlight w:val="none"/>
          <w:lang w:val="en-US" w:eastAsia="zh-CN"/>
        </w:rPr>
      </w:pPr>
      <w:r>
        <w:rPr>
          <w:rFonts w:hint="eastAsia" w:ascii="宋体" w:hAnsi="宋体" w:eastAsia="宋体" w:cs="宋体"/>
          <w:b w:val="0"/>
          <w:i w:val="0"/>
          <w:color w:val="auto"/>
          <w:kern w:val="2"/>
          <w:sz w:val="21"/>
          <w:szCs w:val="21"/>
          <w:highlight w:val="none"/>
          <w:lang w:val="en-US" w:eastAsia="zh-CN" w:bidi="ar-SA"/>
        </w:rPr>
        <w:t>沿干冲至德义站110kV新建电缆线路敷设1根48芯管道光缆，形成干冲站至德义站的1根48芯光缆路由，路由总长度约9.2km。</w:t>
      </w:r>
    </w:p>
    <w:p w14:paraId="5836D4FF">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采购范围：</w:t>
      </w:r>
    </w:p>
    <w:p w14:paraId="03DC2389">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工程项目施工图纸范围内的建筑、安装、调试工程(不含新建变电站工厂化调试、不含通信系统及其配套工程，不含光缆的接续测量、不含桩基础检测、主体结构检测)以及完成招标文件规定的工程项目所需的各项工作（除甲供物资合同中特殊注明由厂家包安装的设备物资外，还需包含甲供物资非厂家包安装设备配套的各类网线、电气连接线、管线等安装调试直至通过验收的所有安装工作，厂家只做现场技术服务指导、培训和提供相应专用特殊类安装辅材），负责办理相关施工许可手续。</w:t>
      </w:r>
    </w:p>
    <w:p w14:paraId="5955D430">
      <w:pPr>
        <w:keepNext w:val="0"/>
        <w:keepLines w:val="0"/>
        <w:pageBreakBefore w:val="0"/>
        <w:widowControl w:val="0"/>
        <w:shd w:val="clear" w:color="auto" w:fill="auto"/>
        <w:kinsoku/>
        <w:wordWrap/>
        <w:overflowPunct/>
        <w:topLinePunct w:val="0"/>
        <w:autoSpaceDN w:val="0"/>
        <w:bidi w:val="0"/>
        <w:spacing w:line="560" w:lineRule="exact"/>
        <w:ind w:firstLine="422"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宋体" w:hAnsi="宋体" w:eastAsia="宋体" w:cs="宋体"/>
          <w:b/>
          <w:bCs/>
          <w:color w:val="auto"/>
          <w:sz w:val="21"/>
          <w:szCs w:val="21"/>
          <w:highlight w:val="none"/>
          <w:lang w:val="en-US" w:eastAsia="zh-CN"/>
        </w:rPr>
        <w:t>※变电部分:</w:t>
      </w:r>
      <w:r>
        <w:rPr>
          <w:rFonts w:hint="eastAsia" w:ascii="宋体" w:hAnsi="宋体" w:eastAsia="宋体" w:cs="宋体"/>
          <w:color w:val="auto"/>
          <w:sz w:val="21"/>
          <w:szCs w:val="21"/>
          <w:highlight w:val="none"/>
          <w:lang w:val="en-US" w:eastAsia="zh-CN"/>
        </w:rPr>
        <w:t>施工图纸范围内的变电建筑（含施工图纸内容中及设备厂家配套提供的各类网线、管线预埋或暗、明敷设；含通信进站光缆敷设及场地原有建（构）筑物的拆除工作)、安装及调试工程、临时工程（临时性的施工电源、水源、道路）、施工过渡工程（如有，最终以发包单位审批的方案，据实结算）、所有迁改工程、设备软件升级或扩容（如有，最终以发包单位审批的方案，据实结算）。但安装工程不包括：通信系统、安健环；调试工程不包括：新建变电站工厂化调试、通信系统、主站系统（站外部分）</w:t>
      </w:r>
    </w:p>
    <w:p w14:paraId="43A2A202">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※架空线路部分:</w:t>
      </w:r>
      <w:r>
        <w:rPr>
          <w:rFonts w:hint="eastAsia" w:ascii="宋体" w:hAnsi="宋体" w:eastAsia="宋体" w:cs="宋体"/>
          <w:color w:val="auto"/>
          <w:sz w:val="21"/>
          <w:szCs w:val="21"/>
          <w:highlight w:val="none"/>
          <w:lang w:val="en-US" w:eastAsia="zh-CN"/>
        </w:rPr>
        <w:t xml:space="preserve"> 施工图纸范围内的架空送电线路安装、调试工程。包括：线路本体工程、施工场地租用、辅助施工费用、旧电力线拆除（如有）、通信线路拆除（如有）、各类市政管道及市政设施（绿化）等拆除、移植、复绿工作（如有）、跨越及河流封航（如有，则铁路部门和航道管理部门收取的文件规定的费用不计入报价，据实结算）、鱼塘围堰（如有）、施工道路修筑、杆塔三牌（杆塔号牌、警示牌、相序牌、）安装、OPGW光缆架设、青苗赔偿（塔基占地及其青苗赔偿、架线青苗赔偿、施工临时占用地及施工道路的青苗赔偿、接地线铺设的青苗赔偿）、线路调试工程（包括线路避雷器、监测装置、线路参数测试等）。安装调试工作不包括：光缆接续及测量、X光检测、桩基检测。青苗赔偿不包括：沿线建（构）筑物拆迁补偿、采石场（如有）、通信线路拆除补偿（如有）、各类市政管道及市政设施（绿化）等拆除补偿（如有）。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143D29B7">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※电缆线路部分:</w:t>
      </w:r>
      <w:r>
        <w:rPr>
          <w:rFonts w:hint="eastAsia" w:ascii="宋体" w:hAnsi="宋体" w:eastAsia="宋体" w:cs="宋体"/>
          <w:color w:val="auto"/>
          <w:sz w:val="21"/>
          <w:szCs w:val="21"/>
          <w:highlight w:val="none"/>
          <w:lang w:val="en-US" w:eastAsia="zh-CN"/>
        </w:rPr>
        <w:t xml:space="preserve"> 施工图纸范围内的电缆线路建筑、安装、调试工程。包括：本体工程、工程征地及青苗补偿、施工占地及青苗赔偿、沿线建（构）筑物的拆除工作、沿线的管线迁移工作、市政设施（绿化）移植、复绿工作（如有）道路施工期临时占用、路面破除及恢复工作、旧电缆线路拆除和运输、管道光缆敷设、线路牌挂牌、电缆试验、避雷器试验、线路参数测试；办理施工许可手续工作（当地城规、市政、园林、交警、城监、公路等部门收取的文件规定的费用据实结算）；白蚁防治工程（如有）；不包括：沿线建（构）筑物的拆除补偿、沿线的管线迁移补偿、光缆的测量及接续、与城市规划、市政、园林、交警、城监、公路等部门联系办理施工许可手续的费用。如因青赔（含杆塔占地和塔基、线路的青苗赔偿）模式发生变化，青赔工作不再由承包人实施时，承包人必须无条件接受，更改后的合同价为原合同价扣除其中青赔费用。且承包人须在接到发包人通知后10天内与发包人办理青赔工作移交补充协议。</w:t>
      </w:r>
    </w:p>
    <w:p w14:paraId="27F33D30">
      <w:pPr>
        <w:shd w:val="clear" w:color="auto" w:fill="auto"/>
        <w:autoSpaceDN w:val="0"/>
        <w:spacing w:line="360" w:lineRule="auto"/>
        <w:ind w:firstLine="422" w:firstLineChars="200"/>
        <w:outlineLvl w:val="9"/>
        <w:rPr>
          <w:rFonts w:hint="eastAsia" w:ascii="宋体" w:hAnsi="宋体" w:eastAsia="宋体" w:cs="宋体"/>
          <w:color w:val="auto"/>
          <w:sz w:val="21"/>
          <w:szCs w:val="21"/>
          <w:highlight w:val="none"/>
          <w:lang w:val="en-US" w:eastAsia="zh-CN"/>
        </w:rPr>
      </w:pPr>
      <w:bookmarkStart w:id="5" w:name="_GoBack"/>
      <w:bookmarkEnd w:id="5"/>
      <w:r>
        <w:rPr>
          <w:rFonts w:hint="eastAsia" w:ascii="宋体" w:hAnsi="宋体" w:eastAsia="宋体" w:cs="宋体"/>
          <w:b/>
          <w:bCs/>
          <w:color w:val="auto"/>
          <w:sz w:val="21"/>
          <w:szCs w:val="21"/>
          <w:highlight w:val="none"/>
          <w:lang w:val="en-US" w:eastAsia="zh-CN"/>
        </w:rPr>
        <w:t xml:space="preserve">※ 其他: </w:t>
      </w:r>
      <w:r>
        <w:rPr>
          <w:rFonts w:hint="eastAsia" w:ascii="宋体" w:hAnsi="宋体" w:eastAsia="宋体" w:cs="宋体"/>
          <w:color w:val="auto"/>
          <w:sz w:val="21"/>
          <w:szCs w:val="21"/>
          <w:highlight w:val="none"/>
          <w:lang w:val="en-US" w:eastAsia="zh-CN"/>
        </w:rPr>
        <w:t>1.变电站构建筑物第三方沉降检测，公路安评、导地线金具握力等检测、跨越（穿越）或经过（河流、水库、铁路、公路、桥梁、隧道、航空区域、生态区域等）及航空港的航评、穿越重要地区（点）的第三方专项评估涉、节地评价、涉（通信光缆、供水、燃气、排污水管道）迁改、海绵城市方案设计专项规划、绿化专项设计方案、各类行政报建文本（方案、图纸）审查等涉及第三方咨询机构的专项评估（服务），如有（不仅限于以上内容，在项目实施过程中发生的其他第三方评估、图审及检测也包含在内），最终以发包单位审批的方案，据实结算。</w:t>
      </w:r>
    </w:p>
    <w:p w14:paraId="50DE0415">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2.项目如有涉及保护树种移植相关费用，最终以发包单位审批的方案，据实结算。</w:t>
      </w:r>
    </w:p>
    <w:p w14:paraId="05274DC5">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3.项目如需实施工厂化调试部分，桩基础检测、主体工程检测，以发包单位委托单及审批的方案，据实结算。</w:t>
      </w:r>
    </w:p>
    <w:p w14:paraId="6EA71C96">
      <w:pPr>
        <w:shd w:val="clear" w:color="auto" w:fill="auto"/>
        <w:autoSpaceDN w:val="0"/>
        <w:spacing w:line="360" w:lineRule="auto"/>
        <w:ind w:firstLine="420" w:firstLineChars="200"/>
        <w:outlineLvl w:val="9"/>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4.架空线路跨越铁路时，按88万元/处暂估计入合同控制价，最终以发包单位审批的方案，据实结算（不考虑下浮率）。</w:t>
      </w:r>
    </w:p>
    <w:p w14:paraId="6473A772">
      <w:pPr>
        <w:pStyle w:val="9"/>
        <w:keepNext w:val="0"/>
        <w:keepLines w:val="0"/>
        <w:pageBreakBefore w:val="0"/>
        <w:numPr>
          <w:ilvl w:val="0"/>
          <w:numId w:val="1"/>
        </w:numPr>
        <w:shd w:val="clear" w:color="auto" w:fill="auto"/>
        <w:kinsoku/>
        <w:wordWrap/>
        <w:overflowPunct/>
        <w:topLinePunct w:val="0"/>
        <w:bidi w:val="0"/>
        <w:adjustRightInd w:val="0"/>
        <w:snapToGrid w:val="0"/>
        <w:spacing w:line="360" w:lineRule="auto"/>
        <w:textAlignment w:val="auto"/>
        <w:outlineLvl w:val="0"/>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承包方式：</w:t>
      </w:r>
    </w:p>
    <w:p w14:paraId="22CA0E84">
      <w:pPr>
        <w:shd w:val="clear" w:color="auto" w:fill="auto"/>
        <w:autoSpaceDN w:val="0"/>
        <w:spacing w:line="360" w:lineRule="auto"/>
        <w:ind w:firstLine="420" w:firstLineChars="200"/>
        <w:outlineLvl w:val="9"/>
        <w:rPr>
          <w:rFonts w:hint="eastAsia" w:ascii="宋体" w:hAnsi="宋体" w:eastAsia="宋体" w:cs="宋体"/>
          <w:color w:val="auto"/>
          <w:sz w:val="21"/>
          <w:szCs w:val="21"/>
          <w:highlight w:val="none"/>
          <w:lang w:val="en-US" w:eastAsia="zh-CN"/>
        </w:rPr>
      </w:pPr>
      <w:bookmarkStart w:id="4" w:name="XmInfoEntity_SGCBFS_0_1"/>
      <w:r>
        <w:rPr>
          <w:rFonts w:hint="eastAsia" w:ascii="宋体" w:hAnsi="宋体" w:eastAsia="宋体" w:cs="宋体"/>
          <w:color w:val="auto"/>
          <w:sz w:val="21"/>
          <w:szCs w:val="21"/>
          <w:highlight w:val="none"/>
          <w:lang w:val="en-US" w:eastAsia="zh-CN"/>
        </w:rPr>
        <w:t>包工、部分包料。建设单位根据最新的南方电网公司和海南电网公司物资集中采购目录文件提供相应物资，目录外的设备、材料采购由中标人负责，在执行过程中招标人有新的物资集中采购目录文件时按新的文件执行。如有双方未界定清楚部分，在项目开工阶段，由建设单位书面或签证明确，做为结算依据。</w:t>
      </w:r>
      <w:bookmarkEnd w:id="4"/>
    </w:p>
    <w:p w14:paraId="531E3496">
      <w:pPr>
        <w:pStyle w:val="7"/>
        <w:rPr>
          <w:rFonts w:hint="eastAsia" w:ascii="宋体" w:hAnsi="宋体" w:eastAsia="宋体" w:cs="宋体"/>
          <w:color w:val="auto"/>
          <w:sz w:val="21"/>
          <w:szCs w:val="21"/>
          <w:highlight w:val="none"/>
          <w:lang w:val="en-US" w:eastAsia="zh-CN"/>
        </w:rPr>
      </w:pPr>
    </w:p>
    <w:p w14:paraId="42972CC5">
      <w:pPr>
        <w:rPr>
          <w:rFonts w:hint="eastAsia" w:ascii="宋体" w:hAnsi="宋体" w:eastAsia="宋体" w:cs="宋体"/>
          <w:color w:val="auto"/>
          <w:sz w:val="21"/>
          <w:szCs w:val="21"/>
          <w:highlight w:val="none"/>
          <w:lang w:val="en-US" w:eastAsia="zh-CN"/>
        </w:rPr>
      </w:pPr>
    </w:p>
    <w:p w14:paraId="4E124321">
      <w:pPr>
        <w:pStyle w:val="7"/>
        <w:rPr>
          <w:rFonts w:hint="eastAsia" w:ascii="宋体" w:hAnsi="宋体" w:eastAsia="宋体" w:cs="宋体"/>
          <w:color w:val="auto"/>
          <w:sz w:val="21"/>
          <w:szCs w:val="21"/>
          <w:highlight w:val="none"/>
          <w:lang w:val="en-US" w:eastAsia="zh-CN"/>
        </w:rPr>
      </w:pPr>
    </w:p>
    <w:p w14:paraId="3CB26075">
      <w:pPr>
        <w:rPr>
          <w:rFonts w:hint="eastAsia" w:ascii="宋体" w:hAnsi="宋体" w:eastAsia="宋体" w:cs="宋体"/>
          <w:color w:val="auto"/>
          <w:sz w:val="21"/>
          <w:szCs w:val="21"/>
          <w:highlight w:val="none"/>
          <w:lang w:val="en-US" w:eastAsia="zh-CN"/>
        </w:rPr>
      </w:pPr>
    </w:p>
    <w:p w14:paraId="141CA3B2">
      <w:pPr>
        <w:pStyle w:val="7"/>
        <w:rPr>
          <w:rFonts w:hint="eastAsia" w:ascii="宋体" w:hAnsi="宋体" w:eastAsia="宋体" w:cs="宋体"/>
          <w:color w:val="auto"/>
          <w:sz w:val="21"/>
          <w:szCs w:val="21"/>
          <w:highlight w:val="none"/>
          <w:lang w:val="en-US" w:eastAsia="zh-CN"/>
        </w:rPr>
      </w:pPr>
    </w:p>
    <w:p w14:paraId="090E8C14">
      <w:pPr>
        <w:rPr>
          <w:rFonts w:hint="eastAsia" w:ascii="宋体" w:hAnsi="宋体" w:eastAsia="宋体" w:cs="宋体"/>
          <w:color w:val="auto"/>
          <w:sz w:val="21"/>
          <w:szCs w:val="21"/>
          <w:highlight w:val="none"/>
          <w:lang w:val="en-US" w:eastAsia="zh-CN"/>
        </w:rPr>
      </w:pPr>
    </w:p>
    <w:p w14:paraId="13D04011">
      <w:pPr>
        <w:pStyle w:val="7"/>
        <w:rPr>
          <w:rFonts w:hint="eastAsia" w:ascii="宋体" w:hAnsi="宋体" w:eastAsia="宋体" w:cs="宋体"/>
          <w:color w:val="auto"/>
          <w:sz w:val="21"/>
          <w:szCs w:val="21"/>
          <w:highlight w:val="none"/>
          <w:lang w:val="en-US" w:eastAsia="zh-CN"/>
        </w:rPr>
      </w:pPr>
    </w:p>
    <w:p w14:paraId="163EBABF">
      <w:pPr>
        <w:rPr>
          <w:rFonts w:hint="eastAsia" w:ascii="宋体" w:hAnsi="宋体" w:eastAsia="宋体" w:cs="宋体"/>
          <w:color w:val="auto"/>
          <w:sz w:val="21"/>
          <w:szCs w:val="21"/>
          <w:highlight w:val="none"/>
          <w:lang w:val="en-US" w:eastAsia="zh-CN"/>
        </w:rPr>
      </w:pPr>
    </w:p>
    <w:p w14:paraId="4C8EC27E">
      <w:pPr>
        <w:pStyle w:val="7"/>
        <w:rPr>
          <w:rFonts w:hint="eastAsia" w:ascii="宋体" w:hAnsi="宋体" w:eastAsia="宋体" w:cs="宋体"/>
          <w:color w:val="auto"/>
          <w:sz w:val="21"/>
          <w:szCs w:val="21"/>
          <w:highlight w:val="none"/>
          <w:lang w:val="en-US" w:eastAsia="zh-CN"/>
        </w:rPr>
      </w:pPr>
    </w:p>
    <w:p w14:paraId="0331A2B1">
      <w:pPr>
        <w:rPr>
          <w:rFonts w:hint="eastAsia" w:ascii="宋体" w:hAnsi="宋体" w:eastAsia="宋体" w:cs="宋体"/>
          <w:color w:val="auto"/>
          <w:sz w:val="21"/>
          <w:szCs w:val="21"/>
          <w:highlight w:val="none"/>
          <w:lang w:val="en-US" w:eastAsia="zh-CN"/>
        </w:rPr>
      </w:pPr>
    </w:p>
    <w:p w14:paraId="2DC20FFA">
      <w:pPr>
        <w:pStyle w:val="7"/>
        <w:rPr>
          <w:rFonts w:hint="eastAsia" w:ascii="宋体" w:hAnsi="宋体" w:eastAsia="宋体" w:cs="宋体"/>
          <w:color w:val="auto"/>
          <w:sz w:val="21"/>
          <w:szCs w:val="21"/>
          <w:highlight w:val="none"/>
          <w:lang w:val="en-US" w:eastAsia="zh-CN"/>
        </w:rPr>
      </w:pPr>
    </w:p>
    <w:p w14:paraId="6817EBE3">
      <w:pPr>
        <w:rPr>
          <w:rFonts w:hint="eastAsia" w:ascii="宋体" w:hAnsi="宋体" w:eastAsia="宋体" w:cs="宋体"/>
          <w:color w:val="auto"/>
          <w:sz w:val="21"/>
          <w:szCs w:val="21"/>
          <w:highlight w:val="none"/>
          <w:lang w:val="en-US" w:eastAsia="zh-CN"/>
        </w:rPr>
      </w:pPr>
    </w:p>
    <w:p w14:paraId="2C71A386">
      <w:pPr>
        <w:pStyle w:val="7"/>
        <w:rPr>
          <w:rFonts w:hint="eastAsia" w:ascii="宋体" w:hAnsi="宋体" w:eastAsia="宋体" w:cs="宋体"/>
          <w:color w:val="auto"/>
          <w:sz w:val="21"/>
          <w:szCs w:val="21"/>
          <w:highlight w:val="none"/>
          <w:lang w:val="en-US" w:eastAsia="zh-CN"/>
        </w:rPr>
      </w:pPr>
    </w:p>
    <w:p w14:paraId="0D779B7F">
      <w:pPr>
        <w:rPr>
          <w:rFonts w:hint="eastAsia" w:ascii="宋体" w:hAnsi="宋体" w:eastAsia="宋体" w:cs="宋体"/>
          <w:color w:val="auto"/>
          <w:sz w:val="21"/>
          <w:szCs w:val="21"/>
          <w:highlight w:val="none"/>
          <w:lang w:val="en-US" w:eastAsia="zh-CN"/>
        </w:rPr>
      </w:pPr>
    </w:p>
    <w:p w14:paraId="11D7E869">
      <w:pPr>
        <w:pStyle w:val="7"/>
        <w:rPr>
          <w:rFonts w:hint="eastAsia" w:ascii="宋体" w:hAnsi="宋体" w:eastAsia="宋体" w:cs="宋体"/>
          <w:color w:val="auto"/>
          <w:sz w:val="21"/>
          <w:szCs w:val="21"/>
          <w:highlight w:val="none"/>
          <w:lang w:val="en-US" w:eastAsia="zh-CN"/>
        </w:rPr>
      </w:pPr>
    </w:p>
    <w:p w14:paraId="603FCFCB">
      <w:pPr>
        <w:rPr>
          <w:rFonts w:hint="eastAsia" w:ascii="宋体" w:hAnsi="宋体" w:eastAsia="宋体" w:cs="宋体"/>
          <w:color w:val="auto"/>
          <w:sz w:val="21"/>
          <w:szCs w:val="21"/>
          <w:highlight w:val="none"/>
          <w:lang w:val="en-US" w:eastAsia="zh-CN"/>
        </w:rPr>
      </w:pPr>
    </w:p>
    <w:p w14:paraId="1C53C859">
      <w:pPr>
        <w:pStyle w:val="7"/>
        <w:rPr>
          <w:rFonts w:hint="eastAsia" w:ascii="宋体" w:hAnsi="宋体" w:eastAsia="宋体" w:cs="宋体"/>
          <w:color w:val="auto"/>
          <w:sz w:val="21"/>
          <w:szCs w:val="21"/>
          <w:highlight w:val="none"/>
          <w:lang w:val="en-US" w:eastAsia="zh-CN"/>
        </w:rPr>
      </w:pPr>
    </w:p>
    <w:p w14:paraId="41880891">
      <w:pPr>
        <w:bidi w:val="0"/>
        <w:jc w:val="center"/>
        <w:rPr>
          <w:rFonts w:hint="eastAsia" w:ascii="Calibri" w:hAnsi="Calibri" w:eastAsia="宋体" w:cs="Times New Roman"/>
          <w:kern w:val="2"/>
          <w:sz w:val="21"/>
          <w:szCs w:val="22"/>
          <w:highlight w:val="none"/>
          <w:lang w:val="en-US" w:eastAsia="zh-CN" w:bidi="ar-SA"/>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885EE3"/>
    <w:multiLevelType w:val="singleLevel"/>
    <w:tmpl w:val="55885EE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94F89"/>
    <w:rsid w:val="03401ADA"/>
    <w:rsid w:val="03A53B02"/>
    <w:rsid w:val="04A24F71"/>
    <w:rsid w:val="062341A1"/>
    <w:rsid w:val="06810BE5"/>
    <w:rsid w:val="0B554D6A"/>
    <w:rsid w:val="0BC07002"/>
    <w:rsid w:val="0C2309F9"/>
    <w:rsid w:val="0D277AA0"/>
    <w:rsid w:val="10BE3E04"/>
    <w:rsid w:val="10D87C07"/>
    <w:rsid w:val="1138611B"/>
    <w:rsid w:val="116419AD"/>
    <w:rsid w:val="11DF6CFE"/>
    <w:rsid w:val="12A13D0F"/>
    <w:rsid w:val="12A2723E"/>
    <w:rsid w:val="12C36D7D"/>
    <w:rsid w:val="14440D4B"/>
    <w:rsid w:val="15056A61"/>
    <w:rsid w:val="17BC3393"/>
    <w:rsid w:val="181450F3"/>
    <w:rsid w:val="18953F09"/>
    <w:rsid w:val="18D760D3"/>
    <w:rsid w:val="18E57496"/>
    <w:rsid w:val="194D5BFB"/>
    <w:rsid w:val="1AD65683"/>
    <w:rsid w:val="1B663F82"/>
    <w:rsid w:val="1C2C5EB1"/>
    <w:rsid w:val="1E0B2C54"/>
    <w:rsid w:val="1EB55557"/>
    <w:rsid w:val="20A40AC4"/>
    <w:rsid w:val="216F4D5B"/>
    <w:rsid w:val="21B74FEF"/>
    <w:rsid w:val="23413BD4"/>
    <w:rsid w:val="24F737D8"/>
    <w:rsid w:val="26BA2581"/>
    <w:rsid w:val="273F4635"/>
    <w:rsid w:val="281556A3"/>
    <w:rsid w:val="2C3F686A"/>
    <w:rsid w:val="2EF744D3"/>
    <w:rsid w:val="2FEF6052"/>
    <w:rsid w:val="2FF65FF8"/>
    <w:rsid w:val="300D195C"/>
    <w:rsid w:val="3060369A"/>
    <w:rsid w:val="30BF37B5"/>
    <w:rsid w:val="31CE7BE2"/>
    <w:rsid w:val="326A79C4"/>
    <w:rsid w:val="32DE5784"/>
    <w:rsid w:val="33851415"/>
    <w:rsid w:val="34E034E5"/>
    <w:rsid w:val="355C6F05"/>
    <w:rsid w:val="361736AD"/>
    <w:rsid w:val="36D200CF"/>
    <w:rsid w:val="37B4116F"/>
    <w:rsid w:val="38382DC3"/>
    <w:rsid w:val="384D101A"/>
    <w:rsid w:val="38DE045C"/>
    <w:rsid w:val="3B572E0B"/>
    <w:rsid w:val="3BAE6F8F"/>
    <w:rsid w:val="3C3333A5"/>
    <w:rsid w:val="3C4A35F1"/>
    <w:rsid w:val="3D404689"/>
    <w:rsid w:val="3D8175A7"/>
    <w:rsid w:val="3DBC31D4"/>
    <w:rsid w:val="3F122783"/>
    <w:rsid w:val="41F91D61"/>
    <w:rsid w:val="44D414C9"/>
    <w:rsid w:val="46472D5E"/>
    <w:rsid w:val="466548D2"/>
    <w:rsid w:val="472C2557"/>
    <w:rsid w:val="47733AD3"/>
    <w:rsid w:val="49167B33"/>
    <w:rsid w:val="49265AC8"/>
    <w:rsid w:val="497B140B"/>
    <w:rsid w:val="49AE19CD"/>
    <w:rsid w:val="4ABA71C6"/>
    <w:rsid w:val="4B0F7DB3"/>
    <w:rsid w:val="4B2B4A5E"/>
    <w:rsid w:val="4B3A1BDA"/>
    <w:rsid w:val="4BFD4737"/>
    <w:rsid w:val="4CD91EA7"/>
    <w:rsid w:val="4E2E1997"/>
    <w:rsid w:val="4E6C5236"/>
    <w:rsid w:val="4F0F6741"/>
    <w:rsid w:val="4F662FAB"/>
    <w:rsid w:val="507B3005"/>
    <w:rsid w:val="52E734B9"/>
    <w:rsid w:val="53371A8C"/>
    <w:rsid w:val="535B7567"/>
    <w:rsid w:val="550514B7"/>
    <w:rsid w:val="55C3156A"/>
    <w:rsid w:val="57DB4693"/>
    <w:rsid w:val="58423CA8"/>
    <w:rsid w:val="5A5414B6"/>
    <w:rsid w:val="5D6232D3"/>
    <w:rsid w:val="608606DE"/>
    <w:rsid w:val="60CA4684"/>
    <w:rsid w:val="61806520"/>
    <w:rsid w:val="61C76652"/>
    <w:rsid w:val="61CF1286"/>
    <w:rsid w:val="63C52F7A"/>
    <w:rsid w:val="65225574"/>
    <w:rsid w:val="66443719"/>
    <w:rsid w:val="66670E32"/>
    <w:rsid w:val="66C35559"/>
    <w:rsid w:val="6A287B5E"/>
    <w:rsid w:val="6A8936C3"/>
    <w:rsid w:val="6B303A1A"/>
    <w:rsid w:val="6B737064"/>
    <w:rsid w:val="6D3564E7"/>
    <w:rsid w:val="6DAA2FDF"/>
    <w:rsid w:val="6DFC1F85"/>
    <w:rsid w:val="6E121228"/>
    <w:rsid w:val="6FFB2B97"/>
    <w:rsid w:val="702F5E7F"/>
    <w:rsid w:val="70D1495F"/>
    <w:rsid w:val="72395514"/>
    <w:rsid w:val="730C2914"/>
    <w:rsid w:val="73182EA2"/>
    <w:rsid w:val="751B3052"/>
    <w:rsid w:val="76496F6A"/>
    <w:rsid w:val="76F16531"/>
    <w:rsid w:val="78440BA6"/>
    <w:rsid w:val="78BE4F1A"/>
    <w:rsid w:val="7C4C58C1"/>
    <w:rsid w:val="7E3420E0"/>
    <w:rsid w:val="7FB74E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6">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7">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adjustRightInd w:val="0"/>
      <w:snapToGrid w:val="0"/>
    </w:pPr>
    <w:rPr>
      <w:kern w:val="2"/>
      <w:sz w:val="24"/>
    </w:rPr>
  </w:style>
  <w:style w:type="paragraph" w:styleId="3">
    <w:name w:val="Body Text Indent"/>
    <w:basedOn w:val="1"/>
    <w:next w:val="4"/>
    <w:qFormat/>
    <w:uiPriority w:val="0"/>
    <w:pPr>
      <w:spacing w:after="120"/>
      <w:ind w:left="420" w:leftChars="200"/>
    </w:pPr>
  </w:style>
  <w:style w:type="paragraph" w:customStyle="1" w:styleId="4">
    <w:name w:val="Default"/>
    <w:next w:val="5"/>
    <w:unhideWhenUsed/>
    <w:qFormat/>
    <w:uiPriority w:val="0"/>
    <w:pPr>
      <w:widowControl w:val="0"/>
      <w:autoSpaceDE w:val="0"/>
      <w:autoSpaceDN w:val="0"/>
      <w:adjustRightInd w:val="0"/>
      <w:spacing w:beforeLines="0" w:afterLines="0" w:line="360" w:lineRule="auto"/>
      <w:jc w:val="both"/>
    </w:pPr>
    <w:rPr>
      <w:rFonts w:hint="eastAsia" w:ascii="宋体" w:hAnsi="Times New Roman" w:eastAsia="宋体" w:cs="宋体"/>
      <w:color w:val="000000"/>
      <w:sz w:val="24"/>
      <w:szCs w:val="24"/>
      <w:lang w:val="en-US" w:eastAsia="zh-CN" w:bidi="ar-SA"/>
    </w:rPr>
  </w:style>
  <w:style w:type="paragraph" w:styleId="5">
    <w:name w:val="toc 7"/>
    <w:basedOn w:val="1"/>
    <w:next w:val="1"/>
    <w:unhideWhenUsed/>
    <w:qFormat/>
    <w:uiPriority w:val="0"/>
    <w:pPr>
      <w:spacing w:beforeLines="0" w:afterLines="0"/>
      <w:ind w:left="1260"/>
      <w:jc w:val="left"/>
    </w:pPr>
    <w:rPr>
      <w:rFonts w:hint="default"/>
      <w:sz w:val="18"/>
      <w:szCs w:val="24"/>
    </w:rPr>
  </w:style>
  <w:style w:type="paragraph" w:styleId="8">
    <w:name w:val="Normal Indent"/>
    <w:basedOn w:val="1"/>
    <w:qFormat/>
    <w:uiPriority w:val="0"/>
    <w:pPr>
      <w:ind w:firstLine="420"/>
    </w:pPr>
    <w:rPr>
      <w:rFonts w:ascii="Times New Roman" w:hAnsi="Times New Roman" w:cs="Times New Roman"/>
      <w:kern w:val="0"/>
      <w:sz w:val="20"/>
      <w:szCs w:val="20"/>
    </w:rPr>
  </w:style>
  <w:style w:type="paragraph" w:styleId="9">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目录 21"/>
    <w:basedOn w:val="1"/>
    <w:next w:val="1"/>
    <w:qFormat/>
    <w:uiPriority w:val="0"/>
    <w:pPr>
      <w:spacing w:before="100" w:beforeAutospacing="1" w:after="100" w:afterAutospacing="1"/>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钟文泳</cp:lastModifiedBy>
  <dcterms:modified xsi:type="dcterms:W3CDTF">2026-06-05T03:03:41Z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312FC46D5DCE43748B2C48F97DC744C1</vt:lpwstr>
  </property>
</Properties>
</file>