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ind w:firstLine="0" w:firstLineChars="0"/>
        <w:rPr>
          <w:rFonts w:hint="eastAsia" w:ascii="SimHei,Bold" w:eastAsia="SimHei,Bold" w:cs="SimHei,Bold"/>
          <w:b/>
          <w:bCs/>
          <w:kern w:val="0"/>
          <w:sz w:val="56"/>
          <w:szCs w:val="56"/>
          <w:lang w:eastAsia="zh-CN"/>
        </w:rPr>
      </w:pPr>
    </w:p>
    <w:p>
      <w:pPr>
        <w:spacing w:before="624" w:beforeLines="200" w:line="720" w:lineRule="auto"/>
        <w:ind w:firstLine="0" w:firstLineChars="0"/>
        <w:jc w:val="center"/>
        <w:rPr>
          <w:rFonts w:hint="eastAsia" w:ascii="黑体" w:hAnsi="黑体" w:eastAsia="黑体"/>
          <w:b w:val="0"/>
          <w:bCs/>
          <w:sz w:val="44"/>
          <w:szCs w:val="44"/>
          <w:lang w:val="en-US" w:eastAsia="zh-CN"/>
        </w:rPr>
      </w:pPr>
      <w:r>
        <w:rPr>
          <w:rFonts w:hint="eastAsia" w:ascii="SimHei,Bold" w:eastAsia="SimHei,Bold" w:cs="SimHei,Bold"/>
          <w:b/>
          <w:bCs/>
          <w:kern w:val="0"/>
          <w:sz w:val="56"/>
          <w:szCs w:val="56"/>
          <w:lang w:eastAsia="zh-CN"/>
        </w:rPr>
        <w:drawing>
          <wp:anchor distT="0" distB="0" distL="114300" distR="114300" simplePos="0" relativeHeight="251659264" behindDoc="1" locked="0" layoutInCell="1" allowOverlap="1">
            <wp:simplePos x="0" y="0"/>
            <wp:positionH relativeFrom="column">
              <wp:posOffset>-1116330</wp:posOffset>
            </wp:positionH>
            <wp:positionV relativeFrom="paragraph">
              <wp:posOffset>-1504950</wp:posOffset>
            </wp:positionV>
            <wp:extent cx="7765415" cy="10979785"/>
            <wp:effectExtent l="0" t="0" r="6985" b="0"/>
            <wp:wrapNone/>
            <wp:docPr id="1" name="图片 1"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图片(1)"/>
                    <pic:cNvPicPr>
                      <a:picLocks noChangeAspect="1"/>
                    </pic:cNvPicPr>
                  </pic:nvPicPr>
                  <pic:blipFill>
                    <a:blip r:embed="rId13"/>
                    <a:srcRect/>
                    <a:stretch>
                      <a:fillRect/>
                    </a:stretch>
                  </pic:blipFill>
                  <pic:spPr>
                    <a:xfrm>
                      <a:off x="0" y="0"/>
                      <a:ext cx="7765415" cy="10979785"/>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default" w:ascii="黑体" w:hAnsi="黑体" w:eastAsia="黑体"/>
          <w:b/>
          <w:sz w:val="44"/>
          <w:szCs w:val="44"/>
          <w:lang w:val="en-US" w:eastAsia="zh-CN"/>
        </w:rPr>
      </w:pPr>
      <w:r>
        <w:rPr>
          <w:rFonts w:hint="eastAsia" w:ascii="黑体" w:hAnsi="黑体" w:eastAsia="黑体"/>
          <w:b/>
          <w:sz w:val="44"/>
          <w:szCs w:val="44"/>
          <w:lang w:val="en-US" w:eastAsia="zh-CN"/>
        </w:rPr>
        <w:t>2026年南方电网数据平台与安全（广东）有限公司废旧会员服务账号采购项目</w:t>
      </w:r>
    </w:p>
    <w:p>
      <w:pPr>
        <w:keepNext w:val="0"/>
        <w:keepLines w:val="0"/>
        <w:pageBreakBefore w:val="0"/>
        <w:widowControl w:val="0"/>
        <w:kinsoku/>
        <w:wordWrap/>
        <w:overflowPunct/>
        <w:topLinePunct w:val="0"/>
        <w:autoSpaceDE/>
        <w:autoSpaceDN/>
        <w:bidi w:val="0"/>
        <w:adjustRightInd/>
        <w:snapToGrid/>
        <w:spacing w:before="624" w:beforeLines="200" w:line="720" w:lineRule="auto"/>
        <w:ind w:left="0" w:leftChars="0" w:firstLine="0" w:firstLineChars="0"/>
        <w:jc w:val="center"/>
        <w:textAlignment w:val="auto"/>
        <w:rPr>
          <w:rFonts w:hint="eastAsia" w:ascii="黑体" w:hAnsi="黑体" w:eastAsia="黑体"/>
          <w:b/>
          <w:sz w:val="44"/>
          <w:szCs w:val="44"/>
          <w:lang w:val="en-US" w:eastAsia="zh-CN"/>
        </w:rPr>
      </w:pPr>
      <w:r>
        <w:rPr>
          <w:rFonts w:hint="eastAsia" w:ascii="黑体" w:hAnsi="黑体" w:eastAsia="黑体"/>
          <w:b/>
          <w:sz w:val="44"/>
          <w:szCs w:val="44"/>
          <w:lang w:val="en-US" w:eastAsia="zh-CN"/>
        </w:rPr>
        <w:t>技术规范书</w:t>
      </w:r>
    </w:p>
    <w:p>
      <w:pPr>
        <w:spacing w:before="624" w:beforeLines="200" w:line="0" w:lineRule="atLeast"/>
        <w:ind w:firstLine="2168" w:firstLineChars="600"/>
        <w:rPr>
          <w:rFonts w:ascii="黑体" w:hAnsi="黑体" w:eastAsia="黑体"/>
          <w:b/>
          <w:sz w:val="36"/>
        </w:rPr>
      </w:pPr>
    </w:p>
    <w:p>
      <w:pPr>
        <w:spacing w:before="624" w:beforeLines="200" w:line="0" w:lineRule="atLeast"/>
        <w:ind w:firstLine="2168" w:firstLineChars="600"/>
        <w:rPr>
          <w:rFonts w:ascii="黑体" w:hAnsi="黑体" w:eastAsia="黑体"/>
          <w:b/>
          <w:sz w:val="36"/>
        </w:rPr>
      </w:pPr>
      <w:r>
        <w:rPr>
          <w:rFonts w:hint="eastAsia" w:ascii="黑体" w:hAnsi="黑体" w:eastAsia="黑体"/>
          <w:b/>
          <w:sz w:val="36"/>
        </w:rPr>
        <w:t>批准：</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审核：</w:t>
      </w:r>
    </w:p>
    <w:p>
      <w:pPr>
        <w:spacing w:before="624" w:beforeLines="200" w:line="0" w:lineRule="atLeast"/>
        <w:ind w:firstLine="2168" w:firstLineChars="600"/>
        <w:jc w:val="left"/>
        <w:rPr>
          <w:rFonts w:ascii="黑体" w:hAnsi="黑体" w:eastAsia="黑体"/>
          <w:b/>
          <w:sz w:val="36"/>
        </w:rPr>
      </w:pPr>
      <w:r>
        <w:rPr>
          <w:rFonts w:hint="eastAsia" w:ascii="黑体" w:hAnsi="黑体" w:eastAsia="黑体"/>
          <w:b/>
          <w:sz w:val="36"/>
        </w:rPr>
        <w:t>编制：</w:t>
      </w:r>
    </w:p>
    <w:p>
      <w:pPr>
        <w:spacing w:before="624" w:beforeLines="200" w:line="0" w:lineRule="atLeast"/>
        <w:ind w:firstLine="0" w:firstLineChars="0"/>
        <w:jc w:val="left"/>
        <w:rPr>
          <w:rFonts w:ascii="黑体" w:hAnsi="黑体" w:eastAsia="黑体"/>
          <w:b/>
          <w:sz w:val="36"/>
        </w:rPr>
      </w:pPr>
    </w:p>
    <w:p>
      <w:pPr>
        <w:pStyle w:val="19"/>
        <w:widowControl/>
        <w:spacing w:after="225"/>
        <w:ind w:firstLine="723"/>
        <w:rPr>
          <w:rFonts w:ascii="黑体" w:hAnsi="黑体" w:eastAsia="黑体" w:cstheme="minorBidi"/>
          <w:b/>
          <w:kern w:val="2"/>
          <w:sz w:val="36"/>
        </w:rPr>
      </w:pPr>
      <w:r>
        <w:rPr>
          <w:rFonts w:hint="eastAsia" w:ascii="黑体" w:hAnsi="黑体" w:eastAsia="黑体" w:cstheme="minorBidi"/>
          <w:b/>
          <w:kern w:val="2"/>
          <w:sz w:val="36"/>
        </w:rPr>
        <w:t>南方电网数据平台与安全（广东）有限公司</w:t>
      </w:r>
    </w:p>
    <w:p>
      <w:pPr>
        <w:spacing w:line="240" w:lineRule="auto"/>
        <w:ind w:firstLine="0" w:firstLineChars="0"/>
        <w:jc w:val="center"/>
        <w:rPr>
          <w:rFonts w:ascii="黑体" w:hAnsi="黑体" w:eastAsia="黑体"/>
          <w:b/>
          <w:sz w:val="36"/>
        </w:rPr>
      </w:pPr>
      <w:r>
        <w:rPr>
          <w:rFonts w:hint="eastAsia" w:ascii="黑体" w:hAnsi="黑体" w:eastAsia="黑体"/>
          <w:b/>
          <w:sz w:val="36"/>
        </w:rPr>
        <w:t>202</w:t>
      </w:r>
      <w:r>
        <w:rPr>
          <w:rFonts w:hint="eastAsia" w:ascii="黑体" w:hAnsi="黑体" w:eastAsia="黑体"/>
          <w:b/>
          <w:sz w:val="36"/>
          <w:lang w:val="en-US" w:eastAsia="zh-CN"/>
        </w:rPr>
        <w:t>6</w:t>
      </w:r>
      <w:r>
        <w:rPr>
          <w:rFonts w:hint="eastAsia" w:ascii="黑体" w:hAnsi="黑体" w:eastAsia="黑体"/>
          <w:b/>
          <w:sz w:val="36"/>
        </w:rPr>
        <w:t>年</w:t>
      </w:r>
      <w:r>
        <w:rPr>
          <w:rFonts w:hint="eastAsia" w:ascii="黑体" w:hAnsi="黑体" w:eastAsia="黑体"/>
          <w:b/>
          <w:sz w:val="36"/>
          <w:lang w:val="en-US" w:eastAsia="zh-CN"/>
        </w:rPr>
        <w:t>5</w:t>
      </w:r>
      <w:r>
        <w:rPr>
          <w:rFonts w:hint="eastAsia" w:ascii="黑体" w:hAnsi="黑体" w:eastAsia="黑体"/>
          <w:b/>
          <w:sz w:val="36"/>
        </w:rPr>
        <w:t xml:space="preserve">月  </w:t>
      </w:r>
    </w:p>
    <w:p>
      <w:pPr>
        <w:spacing w:line="240" w:lineRule="auto"/>
        <w:ind w:firstLine="0" w:firstLineChars="0"/>
        <w:jc w:val="center"/>
        <w:rPr>
          <w:rFonts w:ascii="宋体" w:hAnsi="宋体" w:eastAsia="宋体"/>
          <w:sz w:val="44"/>
          <w:szCs w:val="44"/>
        </w:rPr>
        <w:sectPr>
          <w:headerReference r:id="rId6" w:type="first"/>
          <w:footerReference r:id="rId8" w:type="first"/>
          <w:headerReference r:id="rId5"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titlePg/>
          <w:docGrid w:type="lines" w:linePitch="312" w:charSpace="0"/>
        </w:sectPr>
      </w:pPr>
    </w:p>
    <w:sdt>
      <w:sdtPr>
        <w:rPr>
          <w:rFonts w:ascii="宋体" w:hAnsi="宋体" w:eastAsia="宋体"/>
          <w:sz w:val="44"/>
          <w:szCs w:val="44"/>
        </w:rPr>
        <w:id w:val="147462301"/>
        <w15:color w:val="DBDBDB"/>
        <w:docPartObj>
          <w:docPartGallery w:val="Table of Contents"/>
          <w:docPartUnique/>
        </w:docPartObj>
      </w:sdtPr>
      <w:sdtEndPr>
        <w:rPr>
          <w:rFonts w:ascii="宋体" w:hAnsi="宋体" w:eastAsia="宋体"/>
          <w:b/>
          <w:sz w:val="24"/>
          <w:szCs w:val="22"/>
        </w:rPr>
      </w:sdtEndPr>
      <w:sdtContent>
        <w:p>
          <w:pPr>
            <w:spacing w:line="240" w:lineRule="auto"/>
            <w:ind w:firstLine="0" w:firstLineChars="0"/>
            <w:jc w:val="center"/>
            <w:rPr>
              <w:sz w:val="44"/>
              <w:szCs w:val="44"/>
            </w:rPr>
          </w:pPr>
          <w:r>
            <w:rPr>
              <w:rFonts w:ascii="宋体" w:hAnsi="宋体" w:eastAsia="宋体"/>
              <w:sz w:val="44"/>
              <w:szCs w:val="44"/>
            </w:rPr>
            <w:t>目录</w:t>
          </w:r>
        </w:p>
        <w:p>
          <w:pPr>
            <w:pStyle w:val="12"/>
            <w:tabs>
              <w:tab w:val="right" w:leader="dot" w:pos="8306"/>
            </w:tabs>
          </w:pPr>
          <w:r>
            <w:rPr>
              <w:rFonts w:ascii="宋体" w:hAnsi="宋体" w:eastAsia="宋体"/>
            </w:rPr>
            <w:fldChar w:fldCharType="begin"/>
          </w:r>
          <w:r>
            <w:rPr>
              <w:rFonts w:ascii="宋体" w:hAnsi="宋体" w:eastAsia="宋体"/>
            </w:rPr>
            <w:instrText xml:space="preserve">TOC \o "1-2" \h \u </w:instrText>
          </w:r>
          <w:r>
            <w:rPr>
              <w:rFonts w:ascii="宋体" w:hAnsi="宋体" w:eastAsia="宋体"/>
            </w:rPr>
            <w:fldChar w:fldCharType="separate"/>
          </w:r>
          <w:r>
            <w:rPr>
              <w:rFonts w:ascii="宋体" w:hAnsi="宋体" w:eastAsia="宋体"/>
            </w:rPr>
            <w:fldChar w:fldCharType="begin"/>
          </w:r>
          <w:r>
            <w:rPr>
              <w:rFonts w:ascii="宋体" w:hAnsi="宋体" w:eastAsia="宋体"/>
            </w:rPr>
            <w:instrText xml:space="preserve"> HYPERLINK \l _Toc4405 </w:instrText>
          </w:r>
          <w:r>
            <w:rPr>
              <w:rFonts w:ascii="宋体" w:hAnsi="宋体" w:eastAsia="宋体"/>
            </w:rPr>
            <w:fldChar w:fldCharType="separate"/>
          </w:r>
          <w:r>
            <w:rPr>
              <w:rFonts w:hint="default"/>
            </w:rPr>
            <w:t xml:space="preserve">1. </w:t>
          </w:r>
          <w:r>
            <w:rPr>
              <w:rFonts w:hint="eastAsia"/>
            </w:rPr>
            <w:t>项目概述</w:t>
          </w:r>
          <w:r>
            <w:tab/>
          </w:r>
          <w:r>
            <w:fldChar w:fldCharType="begin"/>
          </w:r>
          <w:r>
            <w:instrText xml:space="preserve"> PAGEREF _Toc4405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_Toc26768 </w:instrText>
          </w:r>
          <w:r>
            <w:rPr>
              <w:rFonts w:ascii="宋体" w:hAnsi="宋体" w:eastAsia="宋体"/>
            </w:rPr>
            <w:fldChar w:fldCharType="separate"/>
          </w:r>
          <w:r>
            <w:rPr>
              <w:rFonts w:hint="default" w:eastAsia="黑体" w:asciiTheme="majorHAnsi" w:hAnsiTheme="majorHAnsi" w:cstheme="majorBidi"/>
              <w:bCs/>
              <w:szCs w:val="32"/>
              <w:lang w:val="en-US" w:eastAsia="zh-CN" w:bidi="ar-SA"/>
            </w:rPr>
            <w:t xml:space="preserve">1.1. </w:t>
          </w:r>
          <w:r>
            <w:rPr>
              <w:rFonts w:hint="eastAsia" w:cstheme="majorBidi"/>
              <w:bCs/>
              <w:szCs w:val="32"/>
              <w:lang w:val="en-US" w:eastAsia="zh-CN" w:bidi="ar-SA"/>
            </w:rPr>
            <w:t>遵循标准</w:t>
          </w:r>
          <w:r>
            <w:tab/>
          </w:r>
          <w:r>
            <w:fldChar w:fldCharType="begin"/>
          </w:r>
          <w:r>
            <w:instrText xml:space="preserve"> PAGEREF _Toc26768 \h </w:instrText>
          </w:r>
          <w:r>
            <w:fldChar w:fldCharType="separate"/>
          </w:r>
          <w:r>
            <w:t>1</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_Toc21255 </w:instrText>
          </w:r>
          <w:r>
            <w:rPr>
              <w:rFonts w:ascii="宋体" w:hAnsi="宋体" w:eastAsia="宋体"/>
            </w:rPr>
            <w:fldChar w:fldCharType="separate"/>
          </w:r>
          <w:r>
            <w:rPr>
              <w:rFonts w:hint="default"/>
            </w:rPr>
            <w:t xml:space="preserve">1.2. </w:t>
          </w:r>
          <w:r>
            <w:rPr>
              <w:rFonts w:hint="eastAsia"/>
              <w:lang w:val="en-US" w:eastAsia="zh-CN"/>
            </w:rPr>
            <w:t>项目背景</w:t>
          </w:r>
          <w:r>
            <w:tab/>
          </w:r>
          <w:r>
            <w:fldChar w:fldCharType="begin"/>
          </w:r>
          <w:r>
            <w:instrText xml:space="preserve"> PAGEREF _Toc21255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_Toc9022 </w:instrText>
          </w:r>
          <w:r>
            <w:rPr>
              <w:rFonts w:ascii="宋体" w:hAnsi="宋体" w:eastAsia="宋体"/>
            </w:rPr>
            <w:fldChar w:fldCharType="separate"/>
          </w:r>
          <w:r>
            <w:rPr>
              <w:rFonts w:hint="default"/>
            </w:rPr>
            <w:t xml:space="preserve">1.3. </w:t>
          </w:r>
          <w:r>
            <w:rPr>
              <w:rFonts w:hint="eastAsia"/>
            </w:rPr>
            <w:t>建设目标</w:t>
          </w:r>
          <w:r>
            <w:tab/>
          </w:r>
          <w:r>
            <w:fldChar w:fldCharType="begin"/>
          </w:r>
          <w:r>
            <w:instrText xml:space="preserve"> PAGEREF _Toc9022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_Toc8244 </w:instrText>
          </w:r>
          <w:r>
            <w:rPr>
              <w:rFonts w:ascii="宋体" w:hAnsi="宋体" w:eastAsia="宋体"/>
            </w:rPr>
            <w:fldChar w:fldCharType="separate"/>
          </w:r>
          <w:r>
            <w:rPr>
              <w:rFonts w:hint="default"/>
            </w:rPr>
            <w:t xml:space="preserve">1.4. </w:t>
          </w:r>
          <w:r>
            <w:rPr>
              <w:rFonts w:hint="eastAsia"/>
            </w:rPr>
            <w:t>项目范围</w:t>
          </w:r>
          <w:r>
            <w:tab/>
          </w:r>
          <w:r>
            <w:fldChar w:fldCharType="begin"/>
          </w:r>
          <w:r>
            <w:instrText xml:space="preserve"> PAGEREF _Toc8244 \h </w:instrText>
          </w:r>
          <w:r>
            <w:fldChar w:fldCharType="separate"/>
          </w:r>
          <w:r>
            <w:t>2</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_Toc19249 </w:instrText>
          </w:r>
          <w:r>
            <w:rPr>
              <w:rFonts w:ascii="宋体" w:hAnsi="宋体" w:eastAsia="宋体"/>
            </w:rPr>
            <w:fldChar w:fldCharType="separate"/>
          </w:r>
          <w:r>
            <w:rPr>
              <w:rFonts w:hint="default"/>
            </w:rPr>
            <w:t xml:space="preserve">1.5. </w:t>
          </w:r>
          <w:r>
            <w:rPr>
              <w:rFonts w:hint="eastAsia"/>
            </w:rPr>
            <w:t>建设内容</w:t>
          </w:r>
          <w:r>
            <w:tab/>
          </w:r>
          <w:r>
            <w:fldChar w:fldCharType="begin"/>
          </w:r>
          <w:r>
            <w:instrText xml:space="preserve"> PAGEREF _Toc19249 \h </w:instrText>
          </w:r>
          <w:r>
            <w:fldChar w:fldCharType="separate"/>
          </w:r>
          <w:r>
            <w:t>2</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_Toc25740 </w:instrText>
          </w:r>
          <w:r>
            <w:rPr>
              <w:rFonts w:ascii="宋体" w:hAnsi="宋体" w:eastAsia="宋体"/>
            </w:rPr>
            <w:fldChar w:fldCharType="separate"/>
          </w:r>
          <w:r>
            <w:rPr>
              <w:rFonts w:hint="default"/>
            </w:rPr>
            <w:t xml:space="preserve">2. </w:t>
          </w:r>
          <w:r>
            <w:rPr>
              <w:rFonts w:hint="eastAsia"/>
              <w:lang w:val="en-US" w:eastAsia="zh-CN"/>
            </w:rPr>
            <w:t>项目技术要求</w:t>
          </w:r>
          <w:r>
            <w:tab/>
          </w:r>
          <w:r>
            <w:fldChar w:fldCharType="begin"/>
          </w:r>
          <w:r>
            <w:instrText xml:space="preserve"> PAGEREF _Toc25740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_Toc2483 </w:instrText>
          </w:r>
          <w:r>
            <w:rPr>
              <w:rFonts w:ascii="宋体" w:hAnsi="宋体" w:eastAsia="宋体"/>
            </w:rPr>
            <w:fldChar w:fldCharType="separate"/>
          </w:r>
          <w:r>
            <w:rPr>
              <w:rFonts w:hint="default"/>
              <w:lang w:val="en-US" w:eastAsia="zh-CN"/>
            </w:rPr>
            <w:t xml:space="preserve">2.1. </w:t>
          </w:r>
          <w:r>
            <w:rPr>
              <w:rFonts w:hint="eastAsia"/>
              <w:lang w:val="en-US" w:eastAsia="zh-CN"/>
            </w:rPr>
            <w:t>稳定性要求</w:t>
          </w:r>
          <w:r>
            <w:tab/>
          </w:r>
          <w:r>
            <w:fldChar w:fldCharType="begin"/>
          </w:r>
          <w:r>
            <w:instrText xml:space="preserve"> PAGEREF _Toc2483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_Toc17923 </w:instrText>
          </w:r>
          <w:r>
            <w:rPr>
              <w:rFonts w:ascii="宋体" w:hAnsi="宋体" w:eastAsia="宋体"/>
            </w:rPr>
            <w:fldChar w:fldCharType="separate"/>
          </w:r>
          <w:r>
            <w:rPr>
              <w:rFonts w:hint="default"/>
              <w:lang w:val="en-US" w:eastAsia="zh-CN"/>
            </w:rPr>
            <w:t xml:space="preserve">2.2. </w:t>
          </w:r>
          <w:r>
            <w:rPr>
              <w:rFonts w:hint="eastAsia"/>
              <w:lang w:val="en-US" w:eastAsia="zh-CN"/>
            </w:rPr>
            <w:t>安全性要求</w:t>
          </w:r>
          <w:r>
            <w:tab/>
          </w:r>
          <w:r>
            <w:fldChar w:fldCharType="begin"/>
          </w:r>
          <w:r>
            <w:instrText xml:space="preserve"> PAGEREF _Toc17923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_Toc20342 </w:instrText>
          </w:r>
          <w:r>
            <w:rPr>
              <w:rFonts w:ascii="宋体" w:hAnsi="宋体" w:eastAsia="宋体"/>
            </w:rPr>
            <w:fldChar w:fldCharType="separate"/>
          </w:r>
          <w:r>
            <w:rPr>
              <w:rFonts w:hint="default"/>
              <w:lang w:val="en-US" w:eastAsia="zh-CN"/>
            </w:rPr>
            <w:t xml:space="preserve">2.3. </w:t>
          </w:r>
          <w:r>
            <w:rPr>
              <w:rFonts w:hint="eastAsia"/>
              <w:lang w:val="en-US" w:eastAsia="zh-CN"/>
            </w:rPr>
            <w:t>及时性要求</w:t>
          </w:r>
          <w:r>
            <w:tab/>
          </w:r>
          <w:r>
            <w:fldChar w:fldCharType="begin"/>
          </w:r>
          <w:r>
            <w:instrText xml:space="preserve"> PAGEREF _Toc20342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_Toc29416 </w:instrText>
          </w:r>
          <w:r>
            <w:rPr>
              <w:rFonts w:ascii="宋体" w:hAnsi="宋体" w:eastAsia="宋体"/>
            </w:rPr>
            <w:fldChar w:fldCharType="separate"/>
          </w:r>
          <w:r>
            <w:rPr>
              <w:rFonts w:hint="default"/>
              <w:lang w:val="en-US" w:eastAsia="zh-CN"/>
            </w:rPr>
            <w:t xml:space="preserve">2.4. </w:t>
          </w:r>
          <w:r>
            <w:rPr>
              <w:rFonts w:hint="eastAsia"/>
              <w:lang w:val="en-US" w:eastAsia="zh-CN"/>
            </w:rPr>
            <w:t>合规要求</w:t>
          </w:r>
          <w:r>
            <w:tab/>
          </w:r>
          <w:r>
            <w:fldChar w:fldCharType="begin"/>
          </w:r>
          <w:r>
            <w:instrText xml:space="preserve"> PAGEREF _Toc29416 \h </w:instrText>
          </w:r>
          <w:r>
            <w:fldChar w:fldCharType="separate"/>
          </w:r>
          <w:r>
            <w:t>3</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_Toc6242 </w:instrText>
          </w:r>
          <w:r>
            <w:rPr>
              <w:rFonts w:ascii="宋体" w:hAnsi="宋体" w:eastAsia="宋体"/>
            </w:rPr>
            <w:fldChar w:fldCharType="separate"/>
          </w:r>
          <w:r>
            <w:rPr>
              <w:rFonts w:hint="default"/>
              <w:lang w:val="en-US" w:eastAsia="zh-CN"/>
            </w:rPr>
            <w:t xml:space="preserve">2.5. </w:t>
          </w:r>
          <w:r>
            <w:rPr>
              <w:rFonts w:hint="eastAsia"/>
              <w:lang w:val="en-US" w:eastAsia="zh-CN"/>
            </w:rPr>
            <w:t>账号服务要求</w:t>
          </w:r>
          <w:r>
            <w:tab/>
          </w:r>
          <w:r>
            <w:fldChar w:fldCharType="begin"/>
          </w:r>
          <w:r>
            <w:instrText xml:space="preserve"> PAGEREF _Toc6242 \h </w:instrText>
          </w:r>
          <w:r>
            <w:fldChar w:fldCharType="separate"/>
          </w:r>
          <w:r>
            <w:t>4</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_Toc19183 </w:instrText>
          </w:r>
          <w:r>
            <w:rPr>
              <w:rFonts w:ascii="宋体" w:hAnsi="宋体" w:eastAsia="宋体"/>
            </w:rPr>
            <w:fldChar w:fldCharType="separate"/>
          </w:r>
          <w:r>
            <w:rPr>
              <w:rFonts w:hint="default"/>
              <w:lang w:val="en-US" w:eastAsia="zh-CN"/>
            </w:rPr>
            <w:t xml:space="preserve">3. </w:t>
          </w:r>
          <w:r>
            <w:rPr>
              <w:rFonts w:hint="eastAsia"/>
              <w:lang w:val="en-US" w:eastAsia="zh-CN"/>
            </w:rPr>
            <w:t>项目实施服务要求</w:t>
          </w:r>
          <w:r>
            <w:tab/>
          </w:r>
          <w:r>
            <w:fldChar w:fldCharType="begin"/>
          </w:r>
          <w:r>
            <w:instrText xml:space="preserve"> PAGEREF _Toc19183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_Toc4873 </w:instrText>
          </w:r>
          <w:r>
            <w:rPr>
              <w:rFonts w:ascii="宋体" w:hAnsi="宋体" w:eastAsia="宋体"/>
            </w:rPr>
            <w:fldChar w:fldCharType="separate"/>
          </w:r>
          <w:r>
            <w:rPr>
              <w:rFonts w:hint="default"/>
            </w:rPr>
            <w:t xml:space="preserve">3.1. </w:t>
          </w:r>
          <w:r>
            <w:rPr>
              <w:rFonts w:hint="eastAsia"/>
              <w:lang w:val="en-US" w:eastAsia="zh-CN"/>
            </w:rPr>
            <w:t>工期要求</w:t>
          </w:r>
          <w:r>
            <w:tab/>
          </w:r>
          <w:r>
            <w:fldChar w:fldCharType="begin"/>
          </w:r>
          <w:r>
            <w:instrText xml:space="preserve"> PAGEREF _Toc4873 \h </w:instrText>
          </w:r>
          <w:r>
            <w:fldChar w:fldCharType="separate"/>
          </w:r>
          <w:r>
            <w:t>4</w:t>
          </w:r>
          <w:r>
            <w:fldChar w:fldCharType="end"/>
          </w:r>
          <w:r>
            <w:rPr>
              <w:rFonts w:ascii="宋体" w:hAnsi="宋体" w:eastAsia="宋体"/>
            </w:rPr>
            <w:fldChar w:fldCharType="end"/>
          </w:r>
        </w:p>
        <w:p>
          <w:pPr>
            <w:pStyle w:val="13"/>
            <w:tabs>
              <w:tab w:val="right" w:leader="dot" w:pos="8306"/>
            </w:tabs>
          </w:pPr>
          <w:r>
            <w:rPr>
              <w:rFonts w:ascii="宋体" w:hAnsi="宋体" w:eastAsia="宋体"/>
            </w:rPr>
            <w:fldChar w:fldCharType="begin"/>
          </w:r>
          <w:r>
            <w:rPr>
              <w:rFonts w:ascii="宋体" w:hAnsi="宋体" w:eastAsia="宋体"/>
            </w:rPr>
            <w:instrText xml:space="preserve"> HYPERLINK \l _Toc362 </w:instrText>
          </w:r>
          <w:r>
            <w:rPr>
              <w:rFonts w:ascii="宋体" w:hAnsi="宋体" w:eastAsia="宋体"/>
            </w:rPr>
            <w:fldChar w:fldCharType="separate"/>
          </w:r>
          <w:r>
            <w:rPr>
              <w:rFonts w:hint="default"/>
            </w:rPr>
            <w:t xml:space="preserve">3.2. </w:t>
          </w:r>
          <w:r>
            <w:rPr>
              <w:rFonts w:hint="eastAsia"/>
              <w:lang w:val="en-US" w:eastAsia="zh-CN"/>
            </w:rPr>
            <w:t>项目验收要求</w:t>
          </w:r>
          <w:r>
            <w:tab/>
          </w:r>
          <w:r>
            <w:fldChar w:fldCharType="begin"/>
          </w:r>
          <w:r>
            <w:instrText xml:space="preserve"> PAGEREF _Toc362 \h </w:instrText>
          </w:r>
          <w:r>
            <w:fldChar w:fldCharType="separate"/>
          </w:r>
          <w:r>
            <w:t>5</w:t>
          </w:r>
          <w:r>
            <w:fldChar w:fldCharType="end"/>
          </w:r>
          <w:r>
            <w:rPr>
              <w:rFonts w:ascii="宋体" w:hAnsi="宋体" w:eastAsia="宋体"/>
            </w:rPr>
            <w:fldChar w:fldCharType="end"/>
          </w:r>
        </w:p>
        <w:p>
          <w:pPr>
            <w:pStyle w:val="12"/>
            <w:tabs>
              <w:tab w:val="right" w:leader="dot" w:pos="8306"/>
            </w:tabs>
          </w:pPr>
          <w:r>
            <w:rPr>
              <w:rFonts w:ascii="宋体" w:hAnsi="宋体" w:eastAsia="宋体"/>
            </w:rPr>
            <w:fldChar w:fldCharType="begin"/>
          </w:r>
          <w:r>
            <w:rPr>
              <w:rFonts w:ascii="宋体" w:hAnsi="宋体" w:eastAsia="宋体"/>
            </w:rPr>
            <w:instrText xml:space="preserve"> HYPERLINK \l _Toc28780 </w:instrText>
          </w:r>
          <w:r>
            <w:rPr>
              <w:rFonts w:ascii="宋体" w:hAnsi="宋体" w:eastAsia="宋体"/>
            </w:rPr>
            <w:fldChar w:fldCharType="separate"/>
          </w:r>
          <w:r>
            <w:rPr>
              <w:rFonts w:hint="default"/>
            </w:rPr>
            <w:t xml:space="preserve">4. </w:t>
          </w:r>
          <w:r>
            <w:rPr>
              <w:rFonts w:hint="eastAsia"/>
              <w:lang w:val="en-US" w:eastAsia="zh-CN"/>
            </w:rPr>
            <w:t>工作成果交付</w:t>
          </w:r>
          <w:r>
            <w:tab/>
          </w:r>
          <w:r>
            <w:fldChar w:fldCharType="begin"/>
          </w:r>
          <w:r>
            <w:instrText xml:space="preserve"> PAGEREF _Toc28780 \h </w:instrText>
          </w:r>
          <w:r>
            <w:fldChar w:fldCharType="separate"/>
          </w:r>
          <w:r>
            <w:t>5</w:t>
          </w:r>
          <w:r>
            <w:fldChar w:fldCharType="end"/>
          </w:r>
          <w:r>
            <w:rPr>
              <w:rFonts w:ascii="宋体" w:hAnsi="宋体" w:eastAsia="宋体"/>
            </w:rPr>
            <w:fldChar w:fldCharType="end"/>
          </w:r>
        </w:p>
        <w:p>
          <w:pPr>
            <w:ind w:firstLine="0" w:firstLineChars="0"/>
            <w:rPr>
              <w:rFonts w:ascii="宋体" w:hAnsi="宋体" w:eastAsia="宋体"/>
            </w:rPr>
          </w:pPr>
          <w:r>
            <w:rPr>
              <w:rFonts w:ascii="宋体" w:hAnsi="宋体" w:eastAsia="宋体"/>
            </w:rPr>
            <w:fldChar w:fldCharType="end"/>
          </w:r>
        </w:p>
      </w:sdtContent>
    </w:sdt>
    <w:p>
      <w:pPr>
        <w:pStyle w:val="2"/>
        <w:sectPr>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bookmarkStart w:id="132" w:name="_GoBack"/>
      <w:bookmarkEnd w:id="132"/>
      <w:bookmarkStart w:id="0" w:name="_Toc527962021"/>
      <w:bookmarkEnd w:id="0"/>
      <w:bookmarkStart w:id="1" w:name="_Toc454470277"/>
      <w:bookmarkEnd w:id="1"/>
      <w:bookmarkStart w:id="2" w:name="_Toc528677696"/>
      <w:bookmarkEnd w:id="2"/>
      <w:bookmarkStart w:id="3" w:name="_Toc3104984"/>
      <w:bookmarkEnd w:id="3"/>
      <w:bookmarkStart w:id="4" w:name="_Toc454987427"/>
      <w:bookmarkEnd w:id="4"/>
      <w:bookmarkStart w:id="5" w:name="_Toc3101322"/>
      <w:bookmarkEnd w:id="5"/>
      <w:bookmarkStart w:id="6" w:name="_Toc2806401"/>
      <w:bookmarkEnd w:id="6"/>
      <w:bookmarkStart w:id="7" w:name="_Toc450680823"/>
      <w:bookmarkEnd w:id="7"/>
      <w:bookmarkStart w:id="8" w:name="_Toc454476423"/>
      <w:bookmarkEnd w:id="8"/>
      <w:bookmarkStart w:id="9" w:name="_Toc3106294"/>
      <w:bookmarkEnd w:id="9"/>
      <w:bookmarkStart w:id="10" w:name="_Toc527733214"/>
      <w:bookmarkEnd w:id="10"/>
      <w:bookmarkStart w:id="11" w:name="_Toc454783970"/>
      <w:bookmarkEnd w:id="11"/>
      <w:bookmarkStart w:id="12" w:name="_Toc454783858"/>
      <w:bookmarkEnd w:id="12"/>
      <w:bookmarkStart w:id="13" w:name="_Toc3101323"/>
      <w:bookmarkEnd w:id="13"/>
      <w:bookmarkStart w:id="14" w:name="_Toc453329867"/>
      <w:bookmarkEnd w:id="14"/>
      <w:bookmarkStart w:id="15" w:name="_Toc2876451"/>
      <w:bookmarkEnd w:id="15"/>
      <w:bookmarkStart w:id="16" w:name="_Toc3106293"/>
      <w:bookmarkEnd w:id="16"/>
      <w:bookmarkStart w:id="17" w:name="_Toc454803456"/>
      <w:bookmarkEnd w:id="17"/>
      <w:bookmarkStart w:id="18" w:name="_Toc454783914"/>
      <w:bookmarkEnd w:id="18"/>
      <w:bookmarkStart w:id="19" w:name="_Toc3101496"/>
      <w:bookmarkEnd w:id="19"/>
      <w:bookmarkStart w:id="20" w:name="_Toc3104985"/>
      <w:bookmarkEnd w:id="20"/>
      <w:bookmarkStart w:id="21" w:name="_Toc528684862"/>
      <w:bookmarkEnd w:id="21"/>
      <w:bookmarkStart w:id="22" w:name="_Toc528654790"/>
      <w:bookmarkEnd w:id="22"/>
      <w:bookmarkStart w:id="23" w:name="_Toc456980847"/>
      <w:bookmarkEnd w:id="23"/>
      <w:bookmarkStart w:id="24" w:name="_Toc32415"/>
      <w:bookmarkStart w:id="25" w:name="_Toc26320"/>
    </w:p>
    <w:p>
      <w:pPr>
        <w:pStyle w:val="2"/>
      </w:pPr>
      <w:bookmarkStart w:id="26" w:name="_Toc4899"/>
      <w:bookmarkStart w:id="27" w:name="_Toc16443"/>
      <w:bookmarkStart w:id="28" w:name="_Toc4405"/>
      <w:r>
        <w:rPr>
          <w:rFonts w:hint="eastAsia"/>
        </w:rPr>
        <w:t>项目概述</w:t>
      </w:r>
      <w:bookmarkEnd w:id="24"/>
      <w:bookmarkEnd w:id="25"/>
      <w:bookmarkEnd w:id="26"/>
      <w:bookmarkEnd w:id="27"/>
      <w:bookmarkEnd w:id="28"/>
    </w:p>
    <w:p>
      <w:pPr>
        <w:pStyle w:val="3"/>
        <w:tabs>
          <w:tab w:val="left" w:pos="0"/>
          <w:tab w:val="left" w:pos="840"/>
        </w:tabs>
        <w:rPr>
          <w:rFonts w:hint="eastAsia" w:eastAsia="黑体" w:asciiTheme="majorHAnsi" w:hAnsiTheme="majorHAnsi" w:cstheme="majorBidi"/>
          <w:b/>
          <w:bCs/>
          <w:sz w:val="28"/>
          <w:szCs w:val="32"/>
          <w:lang w:val="en-US" w:eastAsia="zh-CN" w:bidi="ar-SA"/>
        </w:rPr>
      </w:pPr>
      <w:bookmarkStart w:id="29" w:name="_Toc18328"/>
      <w:bookmarkStart w:id="30" w:name="_Toc1701"/>
      <w:bookmarkStart w:id="31" w:name="_Toc24007"/>
      <w:bookmarkStart w:id="32" w:name="_Toc12155"/>
      <w:bookmarkStart w:id="33" w:name="_Toc26768"/>
      <w:bookmarkStart w:id="34" w:name="_Toc114153265"/>
      <w:r>
        <w:rPr>
          <w:rFonts w:hint="eastAsia" w:cstheme="majorBidi"/>
          <w:b/>
          <w:bCs/>
          <w:sz w:val="28"/>
          <w:szCs w:val="32"/>
          <w:lang w:val="en-US" w:eastAsia="zh-CN" w:bidi="ar-SA"/>
        </w:rPr>
        <w:t>遵循标准</w:t>
      </w:r>
      <w:bookmarkEnd w:id="29"/>
      <w:bookmarkEnd w:id="30"/>
      <w:bookmarkEnd w:id="31"/>
      <w:bookmarkEnd w:id="32"/>
      <w:bookmarkEnd w:id="33"/>
    </w:p>
    <w:p>
      <w:pPr>
        <w:rPr>
          <w:rFonts w:hint="eastAsia"/>
          <w:lang w:val="en-US" w:eastAsia="zh-CN"/>
        </w:rPr>
      </w:pPr>
      <w:r>
        <w:rPr>
          <w:rFonts w:hint="eastAsia"/>
          <w:lang w:val="en-US" w:eastAsia="zh-CN"/>
        </w:rPr>
        <w:t>项目建设应遵循国家标准、电力行业标准、工信部、南方电网公司颁布的标准（包括标准、制度、规范、管理办法）开展本项目工作，本项目所有成果应符合上述标准要求。所用的标准必须是最新版本，如果这些标准的内容有矛盾时，应按照最高标准的条款执行或按双方协商同意的标准或条款执行。相关标准包括但不限于：</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《中国南方电网有限责任公司发展战略纲要》</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《南方电网公司“十四五”数字化规划》</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《南方电网公司数字化转型和数字南网建设工作方案》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《关于印发公司数字化转型和数字电网建设行动方案（2020年版）的通知》</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《南方电网公司数字化转型和数字电网建设促进管理及业务变革行动方案（2020年版）》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《南方电网公司数字化转型及数字电网建设行动方案（2020年版）》</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《关于印发南方电网公司数字化转型和数字电网建设数据管控工作指引（2020年版）的通知》（办数字〔2020〕20号）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《关于进一步加强公司信息化项目和数据管理工作的通知》（南方电网数字〔2020〕10号）</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《南方电网公司数字化转型和数字电网建设技术要求（数据中心分册）》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《南方电网公司数字南网建设技术要求（数据中心分册）》</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《中国南方电网有限责任公司信息化规划管理细则》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《中国南方电网有限责任公司信息化项目建设管理细则》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《中国南方电网有限责任公司信息系统运行管理细则》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《中国南方电网有限责任公司IT资产管理细则》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《中国南方电网有限责任公司数字化技术管理细则》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《中国南方电网有限责任公司数据资产管理办法》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《中国南方电网有限责任公司数据模型管理细则》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《中国南方电网有限责任公司数据认责管理细则》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《中国南方电网有限责任公司主数据管理细则》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《中国南方电网有限责任公司元数据与数据资产目录管理细则》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《中国南方电网有限责任公司数据质量管理细则》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《中国南方电网有限责任公司数据采集与运维管理细则》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《中国南方电网有限责任公司数据应用管理细则》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《中国南方电网有限责任公司数据共享开放管理细则》</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《中国南方电网有限责任公司网络安全管理办法》</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《南方电网公司外部数据管理工作指引》</w:t>
      </w:r>
    </w:p>
    <w:bookmarkEnd w:id="34"/>
    <w:p>
      <w:pPr>
        <w:pStyle w:val="3"/>
        <w:tabs>
          <w:tab w:val="left" w:pos="0"/>
          <w:tab w:val="left" w:pos="840"/>
        </w:tabs>
        <w:rPr>
          <w:color w:val="auto"/>
        </w:rPr>
      </w:pPr>
      <w:bookmarkStart w:id="35" w:name="_Toc7195"/>
      <w:bookmarkStart w:id="36" w:name="_Toc31605"/>
      <w:bookmarkStart w:id="37" w:name="_Toc30933"/>
      <w:bookmarkStart w:id="38" w:name="_Toc1267"/>
      <w:bookmarkStart w:id="39" w:name="_Toc21255"/>
      <w:r>
        <w:rPr>
          <w:rFonts w:hint="eastAsia"/>
          <w:color w:val="auto"/>
          <w:lang w:val="en-US" w:eastAsia="zh-CN"/>
        </w:rPr>
        <w:t>项目背景</w:t>
      </w:r>
      <w:bookmarkEnd w:id="35"/>
      <w:bookmarkEnd w:id="36"/>
      <w:bookmarkEnd w:id="37"/>
      <w:bookmarkEnd w:id="38"/>
      <w:bookmarkEnd w:id="39"/>
    </w:p>
    <w:p>
      <w:pPr>
        <w:keepNext w:val="0"/>
        <w:keepLines w:val="0"/>
        <w:widowControl/>
        <w:suppressLineNumbers w:val="0"/>
        <w:jc w:val="left"/>
      </w:pPr>
      <w:bookmarkStart w:id="40" w:name="_Hlk128094266"/>
      <w:r>
        <w:rPr>
          <w:rFonts w:hint="eastAsia" w:ascii="宋体" w:hAnsi="宋体" w:eastAsia="宋体" w:cs="宋体"/>
          <w:color w:val="auto"/>
          <w:sz w:val="24"/>
          <w:szCs w:val="24"/>
          <w:highlight w:val="none"/>
          <w:lang w:val="en-US" w:eastAsia="zh-CN"/>
        </w:rPr>
        <w:t>随着“数字化”转型程度的持续加深，数据作为基本要素，已全面融入各项业务并发挥出重要价值。废旧价格数据广泛应用于</w:t>
      </w:r>
      <w:r>
        <w:rPr>
          <w:rFonts w:ascii="宋体" w:hAnsi="宋体" w:eastAsia="宋体" w:cs="宋体"/>
          <w:sz w:val="24"/>
          <w:szCs w:val="24"/>
        </w:rPr>
        <w:t>物资成本管控、资产处置评估、市场风险研判、废旧物资回收规划及行业价格走势预测</w:t>
      </w:r>
      <w:r>
        <w:rPr>
          <w:rFonts w:hint="eastAsia" w:ascii="宋体" w:hAnsi="宋体" w:eastAsia="宋体" w:cs="宋体"/>
          <w:color w:val="auto"/>
          <w:sz w:val="24"/>
          <w:szCs w:val="24"/>
          <w:highlight w:val="none"/>
          <w:lang w:val="en-US" w:eastAsia="zh-CN"/>
        </w:rPr>
        <w:t>等场景。这些数据与公司内部数据的深度融合，有力推动公司数字化转型发展。因此，开展废旧价格数据查询、下载、接入服务，实现内部数据与外部数据的融合，为采购人开展数字化管理提供高质量数据，支撑数据应用建设及企业经营决策</w:t>
      </w:r>
      <w:r>
        <w:rPr>
          <w:rFonts w:hint="eastAsia" w:ascii="宋体" w:hAnsi="宋体" w:eastAsia="宋体" w:cs="宋体"/>
          <w:color w:val="auto"/>
          <w:sz w:val="24"/>
          <w:szCs w:val="24"/>
          <w:lang w:val="en-US" w:eastAsia="zh-CN"/>
        </w:rPr>
        <w:t>。</w:t>
      </w:r>
    </w:p>
    <w:p>
      <w:pPr>
        <w:pStyle w:val="3"/>
        <w:tabs>
          <w:tab w:val="left" w:pos="0"/>
          <w:tab w:val="left" w:pos="840"/>
        </w:tabs>
      </w:pPr>
      <w:bookmarkStart w:id="41" w:name="_Toc114153266"/>
      <w:bookmarkStart w:id="42" w:name="_Toc3975"/>
      <w:bookmarkStart w:id="43" w:name="_Toc5003"/>
      <w:bookmarkStart w:id="44" w:name="_Toc267"/>
      <w:bookmarkStart w:id="45" w:name="_Toc4374"/>
      <w:bookmarkStart w:id="46" w:name="_Toc9022"/>
      <w:r>
        <w:rPr>
          <w:rFonts w:hint="eastAsia"/>
        </w:rPr>
        <w:t>建设目标</w:t>
      </w:r>
      <w:bookmarkEnd w:id="41"/>
      <w:bookmarkEnd w:id="42"/>
      <w:bookmarkEnd w:id="43"/>
      <w:bookmarkEnd w:id="44"/>
      <w:bookmarkEnd w:id="45"/>
      <w:bookmarkEnd w:id="46"/>
    </w:p>
    <w:p>
      <w:pPr>
        <w:ind w:firstLine="480"/>
        <w:rPr>
          <w:rFonts w:hint="eastAsia"/>
          <w:lang w:eastAsia="zh-CN"/>
        </w:rPr>
      </w:pPr>
      <w:r>
        <w:rPr>
          <w:rFonts w:hint="eastAsia"/>
          <w:highlight w:val="none"/>
          <w:lang w:val="en-US" w:eastAsia="zh-CN"/>
        </w:rPr>
        <w:t>本项目提供废旧会员服务账号，保障实时高效的查询、下载、接入</w:t>
      </w:r>
      <w:r>
        <w:rPr>
          <w:rFonts w:hint="eastAsia" w:ascii="宋体" w:hAnsi="宋体" w:eastAsia="宋体" w:cs="宋体"/>
          <w:color w:val="auto"/>
          <w:sz w:val="24"/>
          <w:szCs w:val="24"/>
          <w:highlight w:val="none"/>
          <w:lang w:val="en-US" w:eastAsia="zh-CN"/>
        </w:rPr>
        <w:t>废旧物资价格数据</w:t>
      </w:r>
      <w:r>
        <w:rPr>
          <w:rFonts w:hint="eastAsia" w:ascii="宋体" w:hAnsi="宋体" w:eastAsia="宋体" w:cs="宋体"/>
          <w:color w:val="auto"/>
          <w:kern w:val="0"/>
          <w:sz w:val="24"/>
          <w:szCs w:val="24"/>
          <w:highlight w:val="none"/>
        </w:rPr>
        <w:t>，支撑</w:t>
      </w:r>
      <w:r>
        <w:rPr>
          <w:rFonts w:hint="eastAsia" w:ascii="宋体" w:hAnsi="宋体" w:eastAsia="宋体" w:cs="宋体"/>
          <w:color w:val="auto"/>
          <w:kern w:val="0"/>
          <w:sz w:val="24"/>
          <w:szCs w:val="24"/>
          <w:highlight w:val="none"/>
          <w:lang w:val="en-US" w:eastAsia="zh-CN"/>
        </w:rPr>
        <w:t>采购人开展</w:t>
      </w:r>
      <w:r>
        <w:rPr>
          <w:rFonts w:hint="eastAsia" w:ascii="宋体" w:hAnsi="宋体" w:eastAsia="宋体" w:cs="宋体"/>
          <w:color w:val="auto"/>
          <w:kern w:val="0"/>
          <w:sz w:val="24"/>
          <w:szCs w:val="24"/>
          <w:highlight w:val="none"/>
        </w:rPr>
        <w:t>数据应用建设和企业经营决策</w:t>
      </w:r>
      <w:r>
        <w:rPr>
          <w:rFonts w:hint="eastAsia"/>
          <w:lang w:eastAsia="zh-CN"/>
        </w:rPr>
        <w:t>。</w:t>
      </w:r>
    </w:p>
    <w:bookmarkEnd w:id="40"/>
    <w:p>
      <w:pPr>
        <w:pStyle w:val="3"/>
        <w:tabs>
          <w:tab w:val="left" w:pos="840"/>
        </w:tabs>
      </w:pPr>
      <w:bookmarkStart w:id="47" w:name="_Toc25324"/>
      <w:bookmarkStart w:id="48" w:name="_Toc25636"/>
      <w:bookmarkStart w:id="49" w:name="_Toc8656"/>
      <w:bookmarkStart w:id="50" w:name="_Toc27347"/>
      <w:bookmarkStart w:id="51" w:name="_Toc8244"/>
      <w:bookmarkStart w:id="52" w:name="_Toc114153268"/>
      <w:r>
        <w:rPr>
          <w:rFonts w:hint="eastAsia"/>
        </w:rPr>
        <w:t>项目范围</w:t>
      </w:r>
      <w:bookmarkEnd w:id="47"/>
      <w:bookmarkEnd w:id="48"/>
      <w:bookmarkEnd w:id="49"/>
      <w:bookmarkEnd w:id="50"/>
      <w:bookmarkEnd w:id="51"/>
    </w:p>
    <w:p>
      <w:pPr>
        <w:ind w:firstLine="480"/>
      </w:pPr>
      <w:r>
        <w:rPr>
          <w:rFonts w:hint="eastAsia" w:ascii="宋体" w:hAnsi="宋体" w:eastAsia="宋体" w:cs="宋体"/>
          <w:color w:val="auto"/>
          <w:sz w:val="24"/>
          <w:szCs w:val="24"/>
          <w:highlight w:val="none"/>
          <w:lang w:val="sv-SE"/>
        </w:rPr>
        <w:t>本项目</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lang w:val="sv-SE"/>
        </w:rPr>
        <w:t>废旧会员服务账号</w:t>
      </w:r>
      <w:r>
        <w:rPr>
          <w:rFonts w:hint="eastAsia" w:ascii="宋体" w:hAnsi="宋体" w:eastAsia="宋体" w:cs="宋体"/>
          <w:color w:val="auto"/>
          <w:sz w:val="24"/>
          <w:szCs w:val="24"/>
          <w:highlight w:val="none"/>
          <w:lang w:val="sv-SE" w:eastAsia="zh-CN"/>
        </w:rPr>
        <w:t>，</w:t>
      </w:r>
      <w:r>
        <w:rPr>
          <w:rFonts w:hint="eastAsia" w:ascii="宋体" w:hAnsi="宋体" w:eastAsia="宋体" w:cs="宋体"/>
          <w:color w:val="auto"/>
          <w:sz w:val="24"/>
          <w:szCs w:val="24"/>
          <w:highlight w:val="none"/>
          <w:lang w:val="en-US" w:eastAsia="zh-CN"/>
        </w:rPr>
        <w:t>支持包括</w:t>
      </w:r>
      <w:r>
        <w:rPr>
          <w:rFonts w:hint="eastAsia" w:ascii="宋体" w:hAnsi="宋体" w:eastAsia="宋体" w:cs="宋体"/>
          <w:color w:val="auto"/>
          <w:sz w:val="24"/>
          <w:szCs w:val="24"/>
          <w:highlight w:val="none"/>
          <w:lang w:val="sv-SE"/>
        </w:rPr>
        <w:t>废钢价格、废铜价格、废铝价格、废铁价格、废铅价格、废变压器价格、废铜芯电缆、废铝芯电缆、废油价格数据查询、下载及接入服务。</w:t>
      </w:r>
    </w:p>
    <w:p>
      <w:pPr>
        <w:pStyle w:val="3"/>
        <w:tabs>
          <w:tab w:val="left" w:pos="0"/>
          <w:tab w:val="left" w:pos="840"/>
        </w:tabs>
      </w:pPr>
      <w:bookmarkStart w:id="53" w:name="_Toc7161"/>
      <w:bookmarkStart w:id="54" w:name="_Toc5809"/>
      <w:bookmarkStart w:id="55" w:name="_Toc16250"/>
      <w:bookmarkStart w:id="56" w:name="_Toc22807"/>
      <w:bookmarkStart w:id="57" w:name="_Toc19249"/>
      <w:r>
        <w:rPr>
          <w:rFonts w:hint="eastAsia"/>
        </w:rPr>
        <w:t>建设内容</w:t>
      </w:r>
      <w:bookmarkEnd w:id="52"/>
      <w:bookmarkEnd w:id="53"/>
      <w:bookmarkEnd w:id="54"/>
      <w:bookmarkEnd w:id="55"/>
      <w:bookmarkEnd w:id="56"/>
      <w:bookmarkEnd w:id="57"/>
    </w:p>
    <w:p>
      <w:r>
        <w:rPr>
          <w:rFonts w:hint="eastAsia" w:ascii="宋体" w:hAnsi="宋体" w:eastAsia="宋体" w:cs="宋体"/>
          <w:color w:val="auto"/>
          <w:sz w:val="24"/>
          <w:szCs w:val="24"/>
        </w:rPr>
        <w:t>结合实际</w:t>
      </w:r>
      <w:r>
        <w:rPr>
          <w:rFonts w:hint="eastAsia" w:ascii="宋体" w:hAnsi="宋体" w:eastAsia="宋体" w:cs="宋体"/>
          <w:color w:val="auto"/>
          <w:sz w:val="24"/>
          <w:szCs w:val="24"/>
          <w:lang w:val="en-US" w:eastAsia="zh-CN"/>
        </w:rPr>
        <w:t>接入需求情况</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废旧会员服务账号需要提供南方五省（广东、广西、云南、贵州、海南）的</w:t>
      </w:r>
      <w:r>
        <w:rPr>
          <w:rFonts w:hint="eastAsia"/>
        </w:rPr>
        <w:t>废钢价格、废铜价格、废铝价格、废铁价格、废铅价格、废变压器价格、废铜芯电缆、废铝芯电缆、废</w:t>
      </w:r>
      <w:r>
        <w:rPr>
          <w:rFonts w:hint="eastAsia"/>
          <w:lang w:val="en-US" w:eastAsia="zh-CN"/>
        </w:rPr>
        <w:t>变压器</w:t>
      </w:r>
      <w:r>
        <w:rPr>
          <w:rFonts w:hint="eastAsia"/>
        </w:rPr>
        <w:t>油价格数据</w:t>
      </w:r>
      <w:r>
        <w:rPr>
          <w:rFonts w:hint="eastAsia"/>
          <w:lang w:val="en-US" w:eastAsia="zh-CN"/>
        </w:rPr>
        <w:t>的</w:t>
      </w:r>
      <w:r>
        <w:rPr>
          <w:rFonts w:hint="eastAsia"/>
        </w:rPr>
        <w:t>查询、下载</w:t>
      </w:r>
      <w:r>
        <w:rPr>
          <w:rFonts w:hint="eastAsia"/>
          <w:lang w:val="en-US" w:eastAsia="zh-CN"/>
        </w:rPr>
        <w:t>服务，数据更新频率为每日更新</w:t>
      </w:r>
      <w:r>
        <w:rPr>
          <w:rFonts w:hint="eastAsia"/>
        </w:rPr>
        <w:t>。</w:t>
      </w:r>
    </w:p>
    <w:p>
      <w:pPr>
        <w:pStyle w:val="2"/>
      </w:pPr>
      <w:bookmarkStart w:id="58" w:name="_Toc30299"/>
      <w:bookmarkStart w:id="59" w:name="_Toc2111"/>
      <w:bookmarkStart w:id="60" w:name="_Toc17962"/>
      <w:bookmarkStart w:id="61" w:name="_Toc16133"/>
      <w:bookmarkStart w:id="62" w:name="_Toc25740"/>
      <w:bookmarkStart w:id="63" w:name="_Toc513447171"/>
      <w:bookmarkStart w:id="64" w:name="_Toc531367955"/>
      <w:bookmarkStart w:id="65" w:name="_Toc527020830"/>
      <w:bookmarkStart w:id="66" w:name="_Toc411272929"/>
      <w:bookmarkStart w:id="67" w:name="_Toc411364415"/>
      <w:bookmarkStart w:id="68" w:name="_Toc533361986"/>
      <w:bookmarkStart w:id="69" w:name="_Toc411343049"/>
      <w:bookmarkStart w:id="70" w:name="_Toc9089871"/>
      <w:bookmarkStart w:id="71" w:name="_Toc522869741"/>
      <w:r>
        <w:rPr>
          <w:rFonts w:hint="eastAsia"/>
          <w:lang w:val="en-US" w:eastAsia="zh-CN"/>
        </w:rPr>
        <w:t>项目技术要求</w:t>
      </w:r>
      <w:bookmarkEnd w:id="58"/>
      <w:bookmarkEnd w:id="59"/>
      <w:bookmarkEnd w:id="60"/>
      <w:bookmarkEnd w:id="61"/>
      <w:bookmarkEnd w:id="62"/>
    </w:p>
    <w:p>
      <w:pPr>
        <w:pStyle w:val="3"/>
        <w:tabs>
          <w:tab w:val="left" w:pos="0"/>
          <w:tab w:val="left" w:pos="840"/>
        </w:tabs>
        <w:rPr>
          <w:rFonts w:hint="eastAsia"/>
          <w:lang w:val="en-US" w:eastAsia="zh-CN"/>
        </w:rPr>
      </w:pPr>
      <w:bookmarkStart w:id="72" w:name="_Toc14366"/>
      <w:bookmarkStart w:id="73" w:name="_Toc11765"/>
      <w:bookmarkStart w:id="74" w:name="_Toc31669"/>
      <w:bookmarkStart w:id="75" w:name="_Toc30216"/>
      <w:bookmarkStart w:id="76" w:name="_Toc26014"/>
      <w:bookmarkStart w:id="77" w:name="_Toc23686"/>
      <w:bookmarkStart w:id="78" w:name="_Toc2483"/>
      <w:r>
        <w:rPr>
          <w:rFonts w:hint="eastAsia"/>
          <w:lang w:val="en-US" w:eastAsia="zh-CN"/>
        </w:rPr>
        <w:t>稳定性要求</w:t>
      </w:r>
      <w:bookmarkEnd w:id="72"/>
      <w:bookmarkEnd w:id="73"/>
      <w:bookmarkEnd w:id="74"/>
      <w:bookmarkEnd w:id="75"/>
      <w:bookmarkEnd w:id="76"/>
      <w:bookmarkEnd w:id="77"/>
      <w:bookmarkEnd w:id="78"/>
    </w:p>
    <w:p>
      <w:pPr>
        <w:pStyle w:val="8"/>
        <w:keepNext w:val="0"/>
        <w:keepLines w:val="0"/>
        <w:pageBreakBefore w:val="0"/>
        <w:widowControl w:val="0"/>
        <w:numPr>
          <w:ilvl w:val="0"/>
          <w:numId w:val="0"/>
        </w:numPr>
        <w:kinsoku/>
        <w:wordWrap/>
        <w:overflowPunct/>
        <w:topLinePunct w:val="0"/>
        <w:autoSpaceDE/>
        <w:autoSpaceDN/>
        <w:bidi w:val="0"/>
        <w:adjustRightInd/>
        <w:snapToGrid/>
        <w:spacing w:after="0"/>
        <w:ind w:firstLine="480" w:firstLineChars="200"/>
        <w:textAlignment w:val="auto"/>
        <w:rPr>
          <w:rFonts w:hint="eastAsia"/>
          <w:lang w:val="en-US" w:eastAsia="zh-CN"/>
        </w:rPr>
      </w:pPr>
      <w:r>
        <w:rPr>
          <w:rFonts w:hint="eastAsia" w:ascii="宋体" w:hAnsi="宋体" w:eastAsia="宋体" w:cs="宋体"/>
          <w:color w:val="auto"/>
          <w:sz w:val="24"/>
          <w:szCs w:val="24"/>
          <w:highlight w:val="none"/>
        </w:rPr>
        <w:t>（1）</w:t>
      </w:r>
      <w:r>
        <w:rPr>
          <w:rFonts w:hint="eastAsia"/>
          <w:lang w:val="en-US" w:eastAsia="zh-CN"/>
        </w:rPr>
        <w:t>账号服务平台需要保证稳定运行，月度服务可用率不应低于99.6%，因技术原因导致的服务中断应及时恢复；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color w:val="auto"/>
          <w:sz w:val="24"/>
          <w:szCs w:val="24"/>
        </w:rPr>
      </w:pPr>
      <w:r>
        <w:rPr>
          <w:rFonts w:hint="eastAsia"/>
          <w:lang w:val="en-US" w:eastAsia="zh-CN"/>
        </w:rPr>
        <w:t>（2）提供的账号平台不允许出现虚假信息；</w:t>
      </w:r>
    </w:p>
    <w:p>
      <w:pPr>
        <w:pStyle w:val="3"/>
        <w:tabs>
          <w:tab w:val="left" w:pos="0"/>
          <w:tab w:val="left" w:pos="840"/>
        </w:tabs>
        <w:rPr>
          <w:rFonts w:hint="eastAsia"/>
          <w:lang w:val="en-US" w:eastAsia="zh-CN"/>
        </w:rPr>
      </w:pPr>
      <w:bookmarkStart w:id="79" w:name="_Toc14750"/>
      <w:bookmarkStart w:id="80" w:name="_Toc4082"/>
      <w:bookmarkStart w:id="81" w:name="_Toc6785"/>
      <w:bookmarkStart w:id="82" w:name="_Toc13776"/>
      <w:bookmarkStart w:id="83" w:name="_Toc3186"/>
      <w:bookmarkStart w:id="84" w:name="_Toc29669"/>
      <w:bookmarkStart w:id="85" w:name="_Toc17923"/>
      <w:r>
        <w:rPr>
          <w:rFonts w:hint="eastAsia"/>
          <w:lang w:val="en-US" w:eastAsia="zh-CN"/>
        </w:rPr>
        <w:t>安全性要求</w:t>
      </w:r>
      <w:bookmarkEnd w:id="79"/>
      <w:bookmarkEnd w:id="80"/>
      <w:bookmarkEnd w:id="81"/>
      <w:bookmarkEnd w:id="82"/>
      <w:bookmarkEnd w:id="83"/>
      <w:bookmarkEnd w:id="84"/>
      <w:bookmarkEnd w:id="85"/>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lang w:eastAsia="zh-CN"/>
        </w:rPr>
        <w:t>（1）</w:t>
      </w:r>
      <w:r>
        <w:rPr>
          <w:rFonts w:hint="eastAsia"/>
          <w:lang w:val="en-US" w:eastAsia="zh-CN"/>
        </w:rPr>
        <w:t>需要建立完善的账号认证与权限控制机制，防止越权访问和信息泄露；</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（2）平台内容无敏感信息，以互联网常用敏感信息为基准，包括但不限于：反动、色情、暴力等类型的敏感词；</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（3）应遵守采购人保密协议要求，签订数据安全保密协议，如果违反法律或导致重大经济损失，由专业部门认定后，采购人会进行追责；非成交人主观因素导致的可提交说明问题，经查实后可免除处理；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lang w:val="en-US" w:eastAsia="zh-CN"/>
        </w:rPr>
        <w:t>（4）因数据来源、数据安全等原因造成的安全事故、经济损失或纠纷，由成交人承担相应的经济责任和法律责任</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86" w:name="_Toc10838"/>
      <w:bookmarkStart w:id="87" w:name="_Toc6518"/>
      <w:bookmarkStart w:id="88" w:name="_Toc28357"/>
      <w:bookmarkStart w:id="89" w:name="_Toc23449"/>
      <w:bookmarkStart w:id="90" w:name="_Toc7618"/>
      <w:bookmarkStart w:id="91" w:name="_Toc342"/>
      <w:bookmarkStart w:id="92" w:name="_Toc20342"/>
      <w:r>
        <w:rPr>
          <w:rFonts w:hint="eastAsia"/>
          <w:lang w:val="en-US" w:eastAsia="zh-CN"/>
        </w:rPr>
        <w:t>及时性要求</w:t>
      </w:r>
      <w:bookmarkEnd w:id="86"/>
      <w:bookmarkEnd w:id="87"/>
      <w:bookmarkEnd w:id="88"/>
      <w:bookmarkEnd w:id="89"/>
      <w:bookmarkEnd w:id="90"/>
      <w:bookmarkEnd w:id="91"/>
      <w:bookmarkEnd w:id="92"/>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lang w:val="en-US" w:eastAsia="zh-CN"/>
        </w:rPr>
        <w:t>应保证账号平台信息及时更新；</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highlight w:val="none"/>
          <w:lang w:val="en-US" w:eastAsia="zh-CN"/>
        </w:rPr>
      </w:pPr>
      <w:r>
        <w:rPr>
          <w:rFonts w:hint="eastAsia"/>
          <w:lang w:val="en-US" w:eastAsia="zh-CN"/>
        </w:rPr>
        <w:t>（2）</w:t>
      </w:r>
      <w:r>
        <w:rPr>
          <w:rFonts w:hint="eastAsia"/>
          <w:highlight w:val="none"/>
          <w:lang w:val="en-US" w:eastAsia="zh-CN"/>
        </w:rPr>
        <w:t>服务账号出现故障后及时沟通，不得隐瞒不报，一经发现，则将视事件严重程度进行记录和处理；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lang w:val="en-US" w:eastAsia="zh-CN"/>
        </w:rPr>
      </w:pPr>
      <w:r>
        <w:rPr>
          <w:rFonts w:hint="eastAsia"/>
          <w:lang w:val="en-US" w:eastAsia="zh-CN"/>
        </w:rPr>
        <w:t>（3）如客观因素导致账号平台数据无法及时更新，需要及时反馈采购人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bookmarkStart w:id="93" w:name="_Toc9562"/>
      <w:bookmarkStart w:id="94" w:name="_Toc27121"/>
      <w:bookmarkStart w:id="95" w:name="_Toc20974"/>
      <w:bookmarkStart w:id="96" w:name="_Toc27065"/>
      <w:bookmarkStart w:id="97" w:name="_Toc18708"/>
      <w:bookmarkStart w:id="98" w:name="_Toc2567"/>
    </w:p>
    <w:p>
      <w:pPr>
        <w:pStyle w:val="3"/>
        <w:tabs>
          <w:tab w:val="left" w:pos="0"/>
          <w:tab w:val="left" w:pos="840"/>
        </w:tabs>
        <w:rPr>
          <w:rFonts w:hint="eastAsia"/>
          <w:lang w:val="en-US" w:eastAsia="zh-CN"/>
        </w:rPr>
      </w:pPr>
      <w:bookmarkStart w:id="99" w:name="_Toc29416"/>
      <w:r>
        <w:rPr>
          <w:rFonts w:hint="eastAsia"/>
          <w:lang w:val="en-US" w:eastAsia="zh-CN"/>
        </w:rPr>
        <w:t>合规要求</w:t>
      </w:r>
      <w:bookmarkEnd w:id="93"/>
      <w:bookmarkEnd w:id="94"/>
      <w:bookmarkEnd w:id="95"/>
      <w:bookmarkEnd w:id="96"/>
      <w:bookmarkEnd w:id="97"/>
      <w:bookmarkEnd w:id="98"/>
      <w:bookmarkEnd w:id="99"/>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4"/>
        </w:rPr>
        <w:t>（1）</w:t>
      </w:r>
      <w:r>
        <w:rPr>
          <w:rFonts w:hint="eastAsia"/>
          <w:lang w:val="en-US" w:eastAsia="zh-CN"/>
        </w:rPr>
        <w:t>平台内容不得包含违法、违规或敏感信息，符合国家互联网信息安全管理要求；</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（2）成交人应确保平台内容来源合法合规，不存在版权或法律纠纷；</w:t>
      </w:r>
    </w:p>
    <w:p>
      <w:pPr>
        <w:spacing w:line="360" w:lineRule="auto"/>
        <w:ind w:firstLine="480" w:firstLineChars="200"/>
        <w:rPr>
          <w:rFonts w:hint="eastAsia" w:ascii="宋体" w:hAnsi="宋体" w:eastAsia="宋体" w:cs="宋体"/>
          <w:color w:val="auto"/>
          <w:sz w:val="24"/>
          <w:szCs w:val="24"/>
        </w:rPr>
      </w:pPr>
      <w:r>
        <w:rPr>
          <w:rFonts w:hint="eastAsia"/>
          <w:lang w:val="en-US" w:eastAsia="zh-CN"/>
        </w:rPr>
        <w:t>（3）应遵守采购人保密协议要求，签订数据安全保密协议，违反保密事项将按安全事件进行考核追责</w:t>
      </w:r>
      <w:r>
        <w:rPr>
          <w:rFonts w:hint="eastAsia" w:ascii="宋体" w:hAnsi="宋体" w:eastAsia="宋体" w:cs="宋体"/>
          <w:color w:val="auto"/>
          <w:sz w:val="24"/>
          <w:szCs w:val="24"/>
        </w:rPr>
        <w:t>。</w:t>
      </w:r>
    </w:p>
    <w:p>
      <w:pPr>
        <w:pStyle w:val="3"/>
        <w:tabs>
          <w:tab w:val="left" w:pos="0"/>
          <w:tab w:val="left" w:pos="840"/>
        </w:tabs>
        <w:rPr>
          <w:rFonts w:hint="eastAsia"/>
          <w:lang w:val="en-US" w:eastAsia="zh-CN"/>
        </w:rPr>
      </w:pPr>
      <w:bookmarkStart w:id="100" w:name="_Toc29632"/>
      <w:bookmarkStart w:id="101" w:name="_Toc1635"/>
      <w:bookmarkStart w:id="102" w:name="_Toc30594"/>
      <w:bookmarkStart w:id="103" w:name="_Toc25126"/>
      <w:bookmarkStart w:id="104" w:name="_Toc12996"/>
      <w:bookmarkStart w:id="105" w:name="_Toc20710"/>
      <w:bookmarkStart w:id="106" w:name="_Toc6242"/>
      <w:r>
        <w:rPr>
          <w:rFonts w:hint="eastAsia"/>
          <w:lang w:val="en-US" w:eastAsia="zh-CN"/>
        </w:rPr>
        <w:t>账号服务要求</w:t>
      </w:r>
      <w:bookmarkEnd w:id="100"/>
      <w:bookmarkEnd w:id="101"/>
      <w:bookmarkEnd w:id="102"/>
      <w:bookmarkEnd w:id="103"/>
      <w:bookmarkEnd w:id="104"/>
      <w:bookmarkEnd w:id="105"/>
      <w:bookmarkEnd w:id="106"/>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ascii="宋体" w:hAnsi="宋体" w:eastAsia="宋体" w:cs="宋体"/>
          <w:color w:val="auto"/>
          <w:sz w:val="24"/>
          <w:szCs w:val="22"/>
          <w:lang w:eastAsia="zh-CN"/>
        </w:rPr>
        <w:t>（1）</w:t>
      </w:r>
      <w:r>
        <w:rPr>
          <w:rFonts w:hint="eastAsia"/>
          <w:lang w:val="en-US" w:eastAsia="zh-CN"/>
        </w:rPr>
        <w:t>账号权限应进行合理配置，支持用户自主查询、浏览、下载等操作；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（2）采购人应具备对账号进行自主管理的能力，包括账号的分配、禁用等操作；</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（3）账号使用情况应具备审计能力，能够记录登录、查询、下载等关键操作，便于后续追溯；</w:t>
      </w:r>
    </w:p>
    <w:p>
      <w:pPr>
        <w:pStyle w:val="8"/>
        <w:keepNext w:val="0"/>
        <w:keepLines w:val="0"/>
        <w:pageBreakBefore w:val="0"/>
        <w:widowControl w:val="0"/>
        <w:kinsoku/>
        <w:wordWrap/>
        <w:overflowPunct/>
        <w:topLinePunct w:val="0"/>
        <w:autoSpaceDE/>
        <w:autoSpaceDN/>
        <w:bidi w:val="0"/>
        <w:adjustRightInd/>
        <w:snapToGrid/>
        <w:spacing w:after="0"/>
        <w:textAlignment w:val="auto"/>
        <w:rPr>
          <w:rFonts w:hint="eastAsia"/>
          <w:lang w:val="en-US" w:eastAsia="zh-CN"/>
        </w:rPr>
      </w:pPr>
      <w:r>
        <w:rPr>
          <w:rFonts w:hint="eastAsia"/>
          <w:lang w:val="en-US" w:eastAsia="zh-CN"/>
        </w:rPr>
        <w:t>（4）账号登录应具备必要的安全机制，防止账号盗用、共享或越权使用；</w:t>
      </w:r>
    </w:p>
    <w:p>
      <w:pPr>
        <w:numPr>
          <w:ilvl w:val="0"/>
          <w:numId w:val="0"/>
        </w:numPr>
        <w:spacing w:line="360" w:lineRule="auto"/>
        <w:ind w:firstLine="480" w:firstLineChars="200"/>
        <w:rPr>
          <w:rFonts w:hint="eastAsia" w:ascii="宋体" w:hAnsi="宋体" w:eastAsia="宋体" w:cs="宋体"/>
          <w:color w:val="auto"/>
          <w:sz w:val="24"/>
          <w:szCs w:val="24"/>
        </w:rPr>
      </w:pPr>
      <w:r>
        <w:rPr>
          <w:rFonts w:hint="eastAsia"/>
          <w:lang w:val="en-US" w:eastAsia="zh-CN"/>
        </w:rPr>
        <w:t>（5）账号服务有效期内，成交人应保障账号登录及查询功能的持续可用，不得随意中断</w:t>
      </w:r>
      <w:r>
        <w:rPr>
          <w:rFonts w:hint="eastAsia" w:ascii="宋体" w:hAnsi="宋体" w:eastAsia="宋体" w:cs="宋体"/>
          <w:color w:val="auto"/>
          <w:sz w:val="24"/>
          <w:szCs w:val="22"/>
        </w:rPr>
        <w:t>。</w:t>
      </w:r>
    </w:p>
    <w:bookmarkEnd w:id="63"/>
    <w:bookmarkEnd w:id="64"/>
    <w:bookmarkEnd w:id="65"/>
    <w:bookmarkEnd w:id="66"/>
    <w:bookmarkEnd w:id="67"/>
    <w:bookmarkEnd w:id="68"/>
    <w:bookmarkEnd w:id="69"/>
    <w:bookmarkEnd w:id="70"/>
    <w:bookmarkEnd w:id="71"/>
    <w:p>
      <w:pPr>
        <w:pStyle w:val="2"/>
        <w:rPr>
          <w:rFonts w:hint="eastAsia"/>
          <w:lang w:val="en-US" w:eastAsia="zh-CN"/>
        </w:rPr>
      </w:pPr>
      <w:bookmarkStart w:id="107" w:name="_Toc29268"/>
      <w:bookmarkStart w:id="108" w:name="_Toc5734"/>
      <w:bookmarkStart w:id="109" w:name="_Toc27087"/>
      <w:bookmarkStart w:id="110" w:name="_Toc19092"/>
      <w:bookmarkStart w:id="111" w:name="_Toc19183"/>
      <w:r>
        <w:rPr>
          <w:rFonts w:hint="eastAsia"/>
          <w:lang w:val="en-US" w:eastAsia="zh-CN"/>
        </w:rPr>
        <w:t>项目实施服务要求</w:t>
      </w:r>
      <w:bookmarkEnd w:id="107"/>
      <w:bookmarkEnd w:id="108"/>
      <w:bookmarkEnd w:id="109"/>
      <w:bookmarkEnd w:id="110"/>
      <w:bookmarkEnd w:id="111"/>
    </w:p>
    <w:p>
      <w:pPr>
        <w:ind w:firstLine="480"/>
      </w:pPr>
      <w:bookmarkStart w:id="112" w:name="_Toc20978"/>
      <w:bookmarkStart w:id="113" w:name="_Toc11174"/>
      <w:r>
        <w:rPr>
          <w:rFonts w:hint="eastAsia"/>
          <w:lang w:eastAsia="zh-CN"/>
        </w:rPr>
        <w:t>报价人</w:t>
      </w:r>
      <w:r>
        <w:rPr>
          <w:rFonts w:hint="eastAsia"/>
        </w:rPr>
        <w:t>必须向</w:t>
      </w:r>
      <w:r>
        <w:rPr>
          <w:rFonts w:hint="eastAsia"/>
          <w:lang w:eastAsia="zh-CN"/>
        </w:rPr>
        <w:t>采购人</w:t>
      </w:r>
      <w:r>
        <w:rPr>
          <w:rFonts w:hint="eastAsia"/>
        </w:rPr>
        <w:t>提供</w:t>
      </w:r>
      <w:r>
        <w:rPr>
          <w:rFonts w:hint="eastAsia"/>
          <w:lang w:eastAsia="zh-CN"/>
        </w:rPr>
        <w:t>响应</w:t>
      </w:r>
      <w:r>
        <w:rPr>
          <w:rFonts w:hint="eastAsia"/>
        </w:rPr>
        <w:t>文件中列举的所有服务，并提交相应的技术文档及报告。若本技术规范书中的所需服务方面中出现不合理或不完整的问题时，</w:t>
      </w:r>
      <w:r>
        <w:rPr>
          <w:rFonts w:hint="eastAsia"/>
          <w:lang w:eastAsia="zh-CN"/>
        </w:rPr>
        <w:t>报价人</w:t>
      </w:r>
      <w:r>
        <w:rPr>
          <w:rFonts w:hint="eastAsia"/>
        </w:rPr>
        <w:t>有责任和义务提出补充修改方案并征得</w:t>
      </w:r>
      <w:r>
        <w:rPr>
          <w:rFonts w:hint="eastAsia"/>
          <w:lang w:eastAsia="zh-CN"/>
        </w:rPr>
        <w:t>采购人</w:t>
      </w:r>
      <w:r>
        <w:rPr>
          <w:rFonts w:hint="eastAsia"/>
        </w:rPr>
        <w:t>同意后付于实施。</w:t>
      </w:r>
    </w:p>
    <w:bookmarkEnd w:id="112"/>
    <w:bookmarkEnd w:id="113"/>
    <w:p>
      <w:bookmarkStart w:id="114" w:name="_Toc9250"/>
      <w:bookmarkStart w:id="115" w:name="_Toc22103"/>
      <w:bookmarkStart w:id="116" w:name="_Toc114153335"/>
      <w:bookmarkStart w:id="117" w:name="_Toc25209"/>
    </w:p>
    <w:p>
      <w:pPr>
        <w:pStyle w:val="3"/>
        <w:tabs>
          <w:tab w:val="left" w:pos="0"/>
          <w:tab w:val="left" w:pos="840"/>
        </w:tabs>
      </w:pPr>
      <w:bookmarkStart w:id="118" w:name="_Toc30243"/>
      <w:bookmarkStart w:id="119" w:name="_Toc29994"/>
      <w:bookmarkStart w:id="120" w:name="_Toc4873"/>
      <w:bookmarkStart w:id="121" w:name="_Toc24814"/>
      <w:r>
        <w:rPr>
          <w:rFonts w:hint="eastAsia"/>
          <w:lang w:val="en-US" w:eastAsia="zh-CN"/>
        </w:rPr>
        <w:t>工期要求</w:t>
      </w:r>
      <w:bookmarkEnd w:id="118"/>
      <w:bookmarkEnd w:id="119"/>
      <w:bookmarkEnd w:id="120"/>
    </w:p>
    <w:p>
      <w:pPr>
        <w:keepNext w:val="0"/>
        <w:keepLines w:val="0"/>
        <w:pageBreakBefore w:val="0"/>
        <w:widowControl w:val="0"/>
        <w:numPr>
          <w:ilvl w:val="0"/>
          <w:numId w:val="0"/>
        </w:numPr>
        <w:kinsoku/>
        <w:wordWrap/>
        <w:overflowPunct/>
        <w:topLinePunct w:val="0"/>
        <w:autoSpaceDE w:val="0"/>
        <w:autoSpaceDN w:val="0"/>
        <w:bidi w:val="0"/>
        <w:adjustRightInd w:val="0"/>
        <w:snapToGrid/>
        <w:ind w:leftChars="1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sv-SE" w:eastAsia="zh-CN"/>
        </w:rPr>
        <w:t>自项目合同签订后且</w:t>
      </w:r>
      <w:r>
        <w:rPr>
          <w:rFonts w:hint="eastAsia" w:ascii="宋体" w:hAnsi="宋体" w:eastAsia="宋体" w:cs="宋体"/>
          <w:color w:val="auto"/>
          <w:sz w:val="24"/>
          <w:szCs w:val="24"/>
          <w:highlight w:val="none"/>
          <w:lang w:val="en-US" w:eastAsia="zh-CN"/>
        </w:rPr>
        <w:t>开通账号</w:t>
      </w:r>
      <w:r>
        <w:rPr>
          <w:rFonts w:hint="eastAsia" w:ascii="宋体" w:hAnsi="宋体" w:eastAsia="宋体" w:cs="宋体"/>
          <w:color w:val="auto"/>
          <w:sz w:val="24"/>
          <w:szCs w:val="24"/>
          <w:highlight w:val="none"/>
          <w:lang w:val="sv-SE" w:eastAsia="zh-CN"/>
        </w:rPr>
        <w:t>之日起，</w:t>
      </w:r>
      <w:r>
        <w:rPr>
          <w:rFonts w:hint="eastAsia" w:ascii="宋体" w:hAnsi="宋体" w:eastAsia="宋体" w:cs="宋体"/>
          <w:color w:val="auto"/>
          <w:sz w:val="24"/>
          <w:szCs w:val="24"/>
          <w:highlight w:val="none"/>
          <w:lang w:val="en-US" w:eastAsia="zh-CN"/>
        </w:rPr>
        <w:t>提供1整年会员服务，可正常使用本规范书要求专属功能</w:t>
      </w:r>
      <w:r>
        <w:rPr>
          <w:rFonts w:hint="eastAsia" w:ascii="宋体" w:hAnsi="宋体" w:eastAsia="宋体" w:cs="宋体"/>
          <w:color w:val="auto"/>
          <w:sz w:val="24"/>
          <w:szCs w:val="24"/>
          <w:highlight w:val="none"/>
          <w:lang w:val="sv-SE" w:eastAsia="zh-CN"/>
        </w:rPr>
        <w:t>。</w:t>
      </w:r>
      <w:r>
        <w:rPr>
          <w:rFonts w:hint="eastAsia" w:ascii="宋体" w:hAnsi="宋体" w:cs="宋体"/>
          <w:szCs w:val="24"/>
          <w:highlight w:val="none"/>
          <w:lang w:bidi="ar"/>
        </w:rPr>
        <w:t>本项目工期具体如下：</w:t>
      </w:r>
    </w:p>
    <w:tbl>
      <w:tblPr>
        <w:tblStyle w:val="15"/>
        <w:tblW w:w="81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1"/>
        <w:gridCol w:w="4329"/>
        <w:gridCol w:w="2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jc w:val="center"/>
        </w:trPr>
        <w:tc>
          <w:tcPr>
            <w:tcW w:w="1741" w:type="dxa"/>
            <w:shd w:val="clear" w:color="auto" w:fill="D7D7D7"/>
            <w:noWrap w:val="0"/>
            <w:vAlign w:val="center"/>
          </w:tcPr>
          <w:p>
            <w:pPr>
              <w:widowControl/>
              <w:ind w:firstLine="482" w:firstLineChars="200"/>
              <w:rPr>
                <w:rFonts w:hAnsi="宋体" w:cs="宋体"/>
                <w:b/>
                <w:bCs/>
                <w:color w:val="auto"/>
                <w:kern w:val="0"/>
                <w:szCs w:val="24"/>
                <w:highlight w:val="none"/>
              </w:rPr>
            </w:pPr>
            <w:r>
              <w:rPr>
                <w:rFonts w:hint="eastAsia" w:hAnsi="宋体" w:cs="宋体"/>
                <w:b/>
                <w:bCs/>
                <w:color w:val="auto"/>
                <w:kern w:val="0"/>
                <w:szCs w:val="24"/>
                <w:highlight w:val="none"/>
              </w:rPr>
              <w:t>工作项</w:t>
            </w:r>
          </w:p>
        </w:tc>
        <w:tc>
          <w:tcPr>
            <w:tcW w:w="4329" w:type="dxa"/>
            <w:shd w:val="clear" w:color="auto" w:fill="D7D7D7"/>
            <w:noWrap w:val="0"/>
            <w:vAlign w:val="center"/>
          </w:tcPr>
          <w:p>
            <w:pPr>
              <w:widowControl/>
              <w:jc w:val="center"/>
              <w:rPr>
                <w:rFonts w:hAnsi="宋体" w:cs="宋体"/>
                <w:b/>
                <w:bCs/>
                <w:color w:val="auto"/>
                <w:kern w:val="0"/>
                <w:szCs w:val="24"/>
                <w:highlight w:val="none"/>
              </w:rPr>
            </w:pPr>
            <w:r>
              <w:rPr>
                <w:rFonts w:hint="eastAsia" w:hAnsi="宋体" w:cs="宋体"/>
                <w:b/>
                <w:bCs/>
                <w:color w:val="auto"/>
                <w:kern w:val="0"/>
                <w:szCs w:val="24"/>
                <w:highlight w:val="none"/>
              </w:rPr>
              <w:t>任务项</w:t>
            </w:r>
          </w:p>
        </w:tc>
        <w:tc>
          <w:tcPr>
            <w:tcW w:w="2060" w:type="dxa"/>
            <w:shd w:val="clear" w:color="auto" w:fill="D7D7D7"/>
            <w:noWrap w:val="0"/>
            <w:vAlign w:val="center"/>
          </w:tcPr>
          <w:p>
            <w:pPr>
              <w:widowControl/>
              <w:rPr>
                <w:rFonts w:hAnsi="宋体" w:cs="宋体"/>
                <w:b/>
                <w:bCs/>
                <w:color w:val="auto"/>
                <w:kern w:val="0"/>
                <w:szCs w:val="24"/>
                <w:highlight w:val="none"/>
              </w:rPr>
            </w:pPr>
            <w:r>
              <w:rPr>
                <w:rFonts w:hint="eastAsia" w:hAnsi="宋体" w:cs="宋体"/>
                <w:b/>
                <w:bCs/>
                <w:color w:val="auto"/>
                <w:kern w:val="0"/>
                <w:szCs w:val="24"/>
                <w:highlight w:val="none"/>
              </w:rPr>
              <w:t>完成时间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eastAsia" w:ascii="Calibri" w:hAnsi="宋体" w:eastAsia="宋体" w:cs="宋体"/>
                <w:color w:val="auto"/>
                <w:sz w:val="24"/>
                <w:szCs w:val="24"/>
                <w:highlight w:val="none"/>
                <w:lang w:val="en-US" w:eastAsia="zh-CN"/>
              </w:rPr>
              <w:t>项目前期工作</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1）开展需求对接，明确账号权限配置及服务范围要求；</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lang w:eastAsia="zh-Hans"/>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ascii="Calibri" w:hAnsi="宋体" w:eastAsia="宋体" w:cs="宋体"/>
                <w:color w:val="auto"/>
                <w:sz w:val="24"/>
                <w:szCs w:val="24"/>
                <w:highlight w:val="none"/>
              </w:rPr>
            </w:pPr>
            <w:r>
              <w:rPr>
                <w:rFonts w:hint="default" w:ascii="Calibri" w:hAnsi="宋体" w:eastAsia="宋体" w:cs="宋体"/>
                <w:color w:val="auto"/>
                <w:sz w:val="24"/>
                <w:szCs w:val="24"/>
                <w:highlight w:val="none"/>
                <w:lang w:val="en-US" w:eastAsia="zh-CN"/>
              </w:rPr>
              <w:t>账号开通</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eastAsia"/>
                <w:highlight w:val="none"/>
              </w:rPr>
            </w:pPr>
            <w:r>
              <w:rPr>
                <w:rFonts w:hint="default" w:ascii="Calibri" w:hAnsi="宋体" w:eastAsia="宋体" w:cs="宋体"/>
                <w:color w:val="auto"/>
                <w:sz w:val="24"/>
                <w:szCs w:val="24"/>
                <w:highlight w:val="none"/>
                <w:lang w:val="en-US" w:eastAsia="zh-CN"/>
              </w:rPr>
              <w:t>1）完成账号</w:t>
            </w:r>
            <w:r>
              <w:rPr>
                <w:rFonts w:hint="eastAsia" w:ascii="Calibri" w:hAnsi="宋体" w:eastAsia="宋体" w:cs="宋体"/>
                <w:color w:val="auto"/>
                <w:sz w:val="24"/>
                <w:szCs w:val="24"/>
                <w:highlight w:val="none"/>
                <w:lang w:val="en-US" w:eastAsia="zh-CN"/>
              </w:rPr>
              <w:t>开通及权限配置；</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Ansi="宋体" w:cs="宋体"/>
                <w:color w:val="auto"/>
                <w:sz w:val="24"/>
                <w:szCs w:val="24"/>
                <w:highlight w:val="none"/>
              </w:rPr>
            </w:pPr>
            <w:r>
              <w:rPr>
                <w:rFonts w:hint="default" w:ascii="Calibri" w:hAnsi="宋体" w:eastAsia="宋体" w:cs="宋体"/>
                <w:color w:val="auto"/>
                <w:sz w:val="24"/>
                <w:szCs w:val="24"/>
                <w:highlight w:val="none"/>
                <w:lang w:val="en-US" w:eastAsia="zh-CN"/>
              </w:rPr>
              <w:t>合同签订之日后1个月内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741"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eastAsia="zh-CN"/>
              </w:rPr>
            </w:pPr>
            <w:r>
              <w:rPr>
                <w:rFonts w:hint="eastAsia" w:ascii="Calibri" w:hAnsi="宋体" w:eastAsia="宋体" w:cs="宋体"/>
                <w:color w:val="auto"/>
                <w:sz w:val="24"/>
                <w:szCs w:val="24"/>
                <w:highlight w:val="none"/>
                <w:lang w:val="en-US" w:eastAsia="zh-CN"/>
              </w:rPr>
              <w:t>持续性会员服务</w:t>
            </w:r>
          </w:p>
        </w:tc>
        <w:tc>
          <w:tcPr>
            <w:tcW w:w="4329"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ascii="Calibri" w:hAnsi="宋体" w:eastAsia="宋体" w:cs="宋体"/>
                <w:color w:val="auto"/>
                <w:sz w:val="24"/>
                <w:szCs w:val="24"/>
                <w:highlight w:val="none"/>
                <w:lang w:val="en-US"/>
              </w:rPr>
            </w:pPr>
            <w:r>
              <w:rPr>
                <w:rFonts w:hint="eastAsia" w:ascii="Calibri" w:hAnsi="宋体" w:eastAsia="宋体" w:cs="宋体"/>
                <w:color w:val="auto"/>
                <w:sz w:val="24"/>
                <w:szCs w:val="24"/>
                <w:highlight w:val="none"/>
                <w:lang w:val="en-US" w:eastAsia="zh-CN"/>
              </w:rPr>
              <w:t>1</w:t>
            </w:r>
            <w:r>
              <w:rPr>
                <w:rFonts w:hint="default" w:ascii="Calibri" w:hAnsi="宋体" w:eastAsia="宋体" w:cs="宋体"/>
                <w:color w:val="auto"/>
                <w:sz w:val="24"/>
                <w:szCs w:val="24"/>
                <w:highlight w:val="none"/>
                <w:lang w:val="en-US" w:eastAsia="zh-CN"/>
              </w:rPr>
              <w:t>）持续提供</w:t>
            </w:r>
            <w:r>
              <w:rPr>
                <w:rFonts w:hint="eastAsia" w:ascii="Calibri" w:hAnsi="宋体" w:eastAsia="宋体" w:cs="宋体"/>
                <w:color w:val="auto"/>
                <w:sz w:val="24"/>
                <w:szCs w:val="24"/>
                <w:highlight w:val="none"/>
                <w:lang w:val="en-US" w:eastAsia="zh-CN"/>
              </w:rPr>
              <w:t>账号使用过程中的技术支持和咨询服务；</w:t>
            </w:r>
          </w:p>
        </w:tc>
        <w:tc>
          <w:tcPr>
            <w:tcW w:w="2060" w:type="dxa"/>
            <w:noWrap w:val="0"/>
            <w:vAlign w:val="center"/>
          </w:tcPr>
          <w:p>
            <w:pPr>
              <w:keepNext w:val="0"/>
              <w:keepLines w:val="0"/>
              <w:pageBreakBefore w:val="0"/>
              <w:widowControl/>
              <w:kinsoku/>
              <w:wordWrap/>
              <w:overflowPunct/>
              <w:topLinePunct w:val="0"/>
              <w:autoSpaceDE/>
              <w:autoSpaceDN/>
              <w:bidi w:val="0"/>
              <w:adjustRightInd/>
              <w:snapToGrid/>
              <w:ind w:firstLine="0" w:firstLineChars="0"/>
              <w:jc w:val="both"/>
              <w:textAlignment w:val="auto"/>
              <w:rPr>
                <w:rFonts w:hint="default" w:hAnsi="宋体" w:cs="宋体"/>
                <w:color w:val="auto"/>
                <w:sz w:val="24"/>
                <w:szCs w:val="24"/>
                <w:highlight w:val="none"/>
                <w:lang w:val="en-US" w:eastAsia="zh-Hans"/>
              </w:rPr>
            </w:pPr>
            <w:r>
              <w:rPr>
                <w:rFonts w:hint="default" w:ascii="Calibri" w:hAnsi="宋体" w:eastAsia="宋体" w:cs="宋体"/>
                <w:color w:val="auto"/>
                <w:sz w:val="24"/>
                <w:szCs w:val="24"/>
                <w:highlight w:val="none"/>
                <w:lang w:val="en-US" w:eastAsia="zh-CN"/>
              </w:rPr>
              <w:t>账号开通</w:t>
            </w:r>
            <w:r>
              <w:rPr>
                <w:rFonts w:hint="eastAsia" w:ascii="Calibri" w:hAnsi="宋体" w:eastAsia="宋体" w:cs="宋体"/>
                <w:color w:val="auto"/>
                <w:sz w:val="24"/>
                <w:szCs w:val="24"/>
                <w:highlight w:val="none"/>
                <w:lang w:val="en-US" w:eastAsia="zh-CN"/>
              </w:rPr>
              <w:t>后的12个月</w:t>
            </w:r>
          </w:p>
        </w:tc>
      </w:tr>
    </w:tbl>
    <w:p/>
    <w:p>
      <w:pPr>
        <w:pStyle w:val="3"/>
        <w:tabs>
          <w:tab w:val="left" w:pos="0"/>
          <w:tab w:val="left" w:pos="840"/>
        </w:tabs>
      </w:pPr>
      <w:bookmarkStart w:id="122" w:name="_Toc2397"/>
      <w:bookmarkStart w:id="123" w:name="_Toc11684"/>
      <w:bookmarkStart w:id="124" w:name="_Toc362"/>
      <w:r>
        <w:rPr>
          <w:rFonts w:hint="eastAsia"/>
          <w:lang w:val="en-US" w:eastAsia="zh-CN"/>
        </w:rPr>
        <w:t>项目验收要求</w:t>
      </w:r>
      <w:bookmarkEnd w:id="114"/>
      <w:bookmarkEnd w:id="121"/>
      <w:bookmarkEnd w:id="122"/>
      <w:bookmarkEnd w:id="123"/>
      <w:bookmarkEnd w:id="124"/>
    </w:p>
    <w:p>
      <w:pPr>
        <w:pStyle w:val="23"/>
        <w:keepNext w:val="0"/>
        <w:keepLines w:val="0"/>
        <w:pageBreakBefore w:val="0"/>
        <w:widowControl/>
        <w:kinsoku/>
        <w:wordWrap/>
        <w:overflowPunct/>
        <w:topLinePunct w:val="0"/>
        <w:autoSpaceDE/>
        <w:autoSpaceDN/>
        <w:bidi w:val="0"/>
        <w:adjustRightInd/>
        <w:snapToGrid/>
        <w:ind w:left="0" w:leftChars="0" w:firstLine="480" w:firstLineChars="200"/>
        <w:textAlignment w:val="auto"/>
        <w:rPr>
          <w:rFonts w:hint="default" w:ascii="仿宋" w:hAnsi="仿宋" w:eastAsia="仿宋" w:cs="仿宋"/>
          <w:i/>
          <w:iCs/>
          <w:color w:val="auto"/>
          <w:sz w:val="24"/>
          <w:szCs w:val="24"/>
          <w:highlight w:val="yellow"/>
          <w:lang w:val="en-US"/>
        </w:rPr>
      </w:pPr>
      <w:r>
        <w:rPr>
          <w:rFonts w:hint="eastAsia" w:ascii="宋体" w:hAnsi="宋体" w:eastAsia="宋体" w:cs="宋体"/>
          <w:color w:val="auto"/>
          <w:kern w:val="2"/>
          <w:sz w:val="24"/>
          <w:szCs w:val="24"/>
          <w:lang w:val="en-US" w:eastAsia="zh-CN" w:bidi="ar-SA"/>
        </w:rPr>
        <w:t>成交人按照双方签订的技术协议完成账号交付，经采购人验证后账号可正常登录，全部功能可正常使用，数据权限满足本规范书要求，即视为验收合格。</w:t>
      </w:r>
    </w:p>
    <w:bookmarkEnd w:id="115"/>
    <w:bookmarkEnd w:id="116"/>
    <w:bookmarkEnd w:id="117"/>
    <w:p>
      <w:pPr>
        <w:pStyle w:val="2"/>
        <w:rPr>
          <w:rFonts w:hint="eastAsia"/>
        </w:rPr>
      </w:pPr>
      <w:bookmarkStart w:id="125" w:name="_Toc3837"/>
      <w:bookmarkStart w:id="126" w:name="_Toc22387"/>
      <w:bookmarkStart w:id="127" w:name="_Toc6673"/>
      <w:bookmarkStart w:id="128" w:name="_Toc30246"/>
      <w:bookmarkStart w:id="129" w:name="_Toc28780"/>
      <w:bookmarkStart w:id="130" w:name="_Toc9089876"/>
      <w:r>
        <w:rPr>
          <w:rFonts w:hint="eastAsia"/>
          <w:lang w:val="en-US" w:eastAsia="zh-CN"/>
        </w:rPr>
        <w:t>工作成果交付</w:t>
      </w:r>
      <w:bookmarkEnd w:id="125"/>
      <w:bookmarkEnd w:id="126"/>
      <w:bookmarkEnd w:id="127"/>
      <w:bookmarkEnd w:id="128"/>
      <w:bookmarkEnd w:id="129"/>
    </w:p>
    <w:p>
      <w:pPr>
        <w:ind w:firstLine="480"/>
        <w:jc w:val="left"/>
        <w:rPr>
          <w:rFonts w:hAnsi="宋体"/>
          <w:kern w:val="0"/>
          <w:szCs w:val="24"/>
        </w:rPr>
      </w:pPr>
      <w:r>
        <w:rPr>
          <w:rFonts w:hint="eastAsia" w:ascii="宋体" w:hAnsi="宋体" w:cs="宋体"/>
          <w:kern w:val="0"/>
          <w:szCs w:val="24"/>
          <w:lang w:val="en-US" w:eastAsia="zh-CN" w:bidi="ar"/>
        </w:rPr>
        <w:t>成交人</w:t>
      </w:r>
      <w:r>
        <w:rPr>
          <w:rFonts w:hint="eastAsia" w:ascii="宋体" w:hAnsi="宋体" w:cs="宋体"/>
          <w:kern w:val="0"/>
          <w:szCs w:val="24"/>
          <w:lang w:bidi="ar"/>
        </w:rPr>
        <w:t>应在合同规定时间内，将</w:t>
      </w:r>
      <w:r>
        <w:rPr>
          <w:rFonts w:hint="eastAsia" w:ascii="宋体" w:hAnsi="宋体" w:cs="宋体"/>
          <w:kern w:val="0"/>
          <w:szCs w:val="24"/>
          <w:lang w:eastAsia="zh-CN" w:bidi="ar"/>
        </w:rPr>
        <w:t>采购</w:t>
      </w:r>
      <w:r>
        <w:rPr>
          <w:rFonts w:hint="eastAsia" w:ascii="宋体" w:hAnsi="宋体" w:cs="宋体"/>
          <w:kern w:val="0"/>
          <w:szCs w:val="24"/>
          <w:lang w:bidi="ar"/>
        </w:rPr>
        <w:t>范围内所界定的工作完成，并向</w:t>
      </w:r>
      <w:r>
        <w:rPr>
          <w:rFonts w:hint="eastAsia" w:ascii="宋体" w:hAnsi="宋体" w:cs="宋体"/>
          <w:kern w:val="0"/>
          <w:szCs w:val="24"/>
          <w:lang w:eastAsia="zh-CN" w:bidi="ar"/>
        </w:rPr>
        <w:t>采购人</w:t>
      </w:r>
      <w:r>
        <w:rPr>
          <w:rFonts w:hint="eastAsia" w:ascii="宋体" w:hAnsi="宋体" w:cs="宋体"/>
          <w:kern w:val="0"/>
          <w:szCs w:val="24"/>
          <w:lang w:bidi="ar"/>
        </w:rPr>
        <w:t>提交，但不限于以下交付项：</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rPr>
          <w:rFonts w:hint="eastAsia"/>
          <w:color w:val="auto"/>
          <w:sz w:val="24"/>
          <w:szCs w:val="28"/>
          <w:highlight w:val="none"/>
          <w:lang w:val="en-US" w:eastAsia="zh-CN"/>
        </w:rPr>
      </w:pPr>
      <w:bookmarkStart w:id="131" w:name="OLE_LINK3"/>
      <w:r>
        <w:rPr>
          <w:rFonts w:hint="eastAsia"/>
          <w:color w:val="auto"/>
          <w:sz w:val="24"/>
          <w:szCs w:val="28"/>
          <w:highlight w:val="none"/>
          <w:lang w:val="en-US" w:eastAsia="zh-CN"/>
        </w:rPr>
        <w:t>数据服务账号1套；</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账号使用说明书1套；</w:t>
      </w:r>
    </w:p>
    <w:p>
      <w:pPr>
        <w:pStyle w:val="22"/>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Chars="0"/>
        <w:textAlignment w:val="auto"/>
      </w:pPr>
      <w:r>
        <w:rPr>
          <w:rFonts w:hint="eastAsia"/>
          <w:color w:val="auto"/>
          <w:sz w:val="24"/>
          <w:szCs w:val="28"/>
          <w:highlight w:val="none"/>
          <w:lang w:val="en-US" w:eastAsia="zh-CN"/>
        </w:rPr>
        <w:t>数据授权使用文件1套。</w:t>
      </w:r>
      <w:bookmarkEnd w:id="130"/>
      <w:bookmarkEnd w:id="131"/>
    </w:p>
    <w:sectPr>
      <w:footerReference r:id="rId11" w:type="first"/>
      <w:footerReference r:id="rId10"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imHei,Bold">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w:rPr>
        <w:rFonts w:hint="eastAsia"/>
      </w:rPr>
      <w:t xml:space="preserve"> </w:t>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jc w:val="center"/>
      <w:rPr>
        <w:sz w:val="24"/>
        <w:szCs w:val="22"/>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sdt>
                    <w:sdtPr>
                      <w:id w:val="147468553"/>
                      <w:docPartObj>
                        <w:docPartGallery w:val="autotext"/>
                      </w:docPartObj>
                    </w:sdtPr>
                    <w:sdtContent>
                      <w:p>
                        <w:pPr>
                          <w:pStyle w:val="10"/>
                          <w:ind w:firstLine="360"/>
                          <w:jc w:val="center"/>
                        </w:pPr>
                        <w:r>
                          <w:rPr>
                            <w:lang w:val="zh-CN"/>
                          </w:rPr>
                          <w:t xml:space="preserve"> </w:t>
                        </w:r>
                        <w:r>
                          <w:rPr>
                            <w:rFonts w:hint="eastAsia"/>
                            <w:lang w:val="zh-CN"/>
                          </w:rPr>
                          <w:t xml:space="preserve">第  </w:t>
                        </w:r>
                        <w:r>
                          <w:rPr>
                            <w:b/>
                            <w:sz w:val="24"/>
                            <w:szCs w:val="24"/>
                          </w:rPr>
                          <w:fldChar w:fldCharType="begin"/>
                        </w:r>
                        <w:r>
                          <w:rPr>
                            <w:b/>
                          </w:rPr>
                          <w:instrText xml:space="preserve">PAGE</w:instrText>
                        </w:r>
                        <w:r>
                          <w:rPr>
                            <w:b/>
                            <w:sz w:val="24"/>
                            <w:szCs w:val="24"/>
                          </w:rPr>
                          <w:fldChar w:fldCharType="separate"/>
                        </w:r>
                        <w:r>
                          <w:rPr>
                            <w:b/>
                            <w:szCs w:val="24"/>
                          </w:rPr>
                          <w:t>5</w:t>
                        </w:r>
                        <w:r>
                          <w:rPr>
                            <w:b/>
                            <w:sz w:val="24"/>
                            <w:szCs w:val="24"/>
                          </w:rPr>
                          <w:fldChar w:fldCharType="end"/>
                        </w:r>
                        <w:r>
                          <w:rPr>
                            <w:lang w:val="zh-CN"/>
                          </w:rPr>
                          <w:t xml:space="preserve"> </w:t>
                        </w:r>
                        <w:r>
                          <w:rPr>
                            <w:rFonts w:hint="eastAsia"/>
                            <w:lang w:val="zh-CN"/>
                          </w:rPr>
                          <w:t>页</w:t>
                        </w:r>
                      </w:p>
                    </w:sdtContent>
                  </w:sdt>
                  <w:p>
                    <w:pPr>
                      <w:pStyle w:val="8"/>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7818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67809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53.4pt;mso-position-horizontal:center;mso-position-horizontal-relative:margin;z-index:251661312;mso-width-relative:page;mso-height-relative:page;" filled="f" stroked="f" coordsize="21600,21600" o:gfxdata="UEsDBAoAAAAAAIdO4kAAAAAAAAAAAAAAAAAEAAAAZHJzL1BLAwQUAAAACACHTuJArsTwctMAAAAF&#10;AQAADwAAAGRycy9kb3ducmV2LnhtbE2PQU/DMAyF70j8h8hI3FiyHaaqNN0BwQ5wokNoR691m0Lj&#10;VE3WDX49Hhe4WLLe8/P3is3ZD2qmKfaBLSwXBhRxHZqeOwtvu6e7DFRMyA0OgcnCF0XYlNdXBeZN&#10;OPErzVXqlIRwzNGCS2nMtY61I49xEUZi0doweUyyTp1uJjxJuB/0ypi19tizfHA40oOj+rM6esF4&#10;fzF++926vX/GNlZuN28fP6y9vVmae1CJzunPDBd8uYFSmA7hyE1UgwUpkn7nRTNrqXGwsMoyA7os&#10;9H/68gdQSwMEFAAAAAgAh07iQM3DJDcxAgAAVgQAAA4AAABkcnMvZTJvRG9jLnhtbK1Uy47TMBTd&#10;I/EPlvc06aAppZp0VKYqQqqYkQpi7TpOE8kvbLdJ+QD4A1Zs2PNd8x0cO00HDSxmwca9ue9z7r29&#10;uu6UJAfhfGN0QcejnBKhuSkbvSvoxw+rF1NKfGC6ZNJoUdCj8PR6/vzZVWtn4sLURpbCESTRftba&#10;gtYh2FmWeV4LxfzIWKFhrIxTLODT7bLSsRbZlcwu8nyStcaV1hkuvId22RvpKaN7SkJTVQ0XS8P3&#10;SujQZ3VCsgBIvm6sp/PUbVUJHm6ryotAZEGBNKQXRSBv45vNr9hs55itG35qgT2lhUeYFGs0ip5T&#10;LVlgZO+av1KphjvjTRVG3KisB5IYAYpx/oibTc2sSFhAtbdn0v3/S8vfH+4cacqCTijRTGHg99+/&#10;3f/4df/zK5lEelrrZ/DaWPiF7o3psDSD3kMZUXeVU/EXeAjsIPd4Jld0gXAoJ6+m+etLSjhM4+nF&#10;dJon9rOHaOt8eCuMIlEoqMPwEqfssPYBncB1cInFtFk1UqYBSk1aVHh5maeAswURUiMwYuh7jVLo&#10;tt0J2NaUR+Bypl8Mb/mqQfE18+GOOWwCoOBWwi2eShoUMSeJktq4L//SR38MCFZKWmxWQf3nPXOC&#10;EvlOY3RxDQfBDcJ2EPRe3Rgs6xhXaHkSEeCCHMTKGfUJJ7SIVWBimqNWQcMg3oR+v3GCXCwWyQnL&#10;ZllY643lMXWkz9vFPoDCxGykpefixBbWLRF+Oo24z39+J6+Hv4P5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7E8HLTAAAABQEAAA8AAAAAAAAAAQAgAAAAIgAAAGRycy9kb3ducmV2LnhtbFBLAQIU&#10;ABQAAAAIAIdO4kDNwyQ3MQIAAFYEAAAOAAAAAAAAAAEAIAAAACIBAABkcnMvZTJvRG9jLnhtbFBL&#10;BQYAAAAABgAGAFkBAADFBQAAAAA=&#10;">
              <v:fill on="f" focussize="0,0"/>
              <v:stroke on="f" weight="0.5pt"/>
              <v:imagedata o:title=""/>
              <o:lock v:ext="edit" aspectratio="f"/>
              <v:textbox inset="0mm,0mm,0mm,0mm" style="mso-fit-shape-to-text:t;">
                <w:txbxContent>
                  <w:p>
                    <w:pPr>
                      <w:pStyle w:val="10"/>
                      <w:ind w:firstLine="270" w:firstLineChars="150"/>
                    </w:pPr>
                    <w:r>
                      <w:rPr>
                        <w:rFonts w:hint="eastAsia"/>
                      </w:rPr>
                      <w:t>第</w:t>
                    </w:r>
                    <w:r>
                      <w:fldChar w:fldCharType="begin"/>
                    </w:r>
                    <w:r>
                      <w:instrText xml:space="preserve"> PAGE  \* MERGEFORMAT </w:instrText>
                    </w:r>
                    <w:r>
                      <w:fldChar w:fldCharType="separate"/>
                    </w:r>
                    <w:r>
                      <w:t>1</w:t>
                    </w:r>
                    <w:r>
                      <w:fldChar w:fldCharType="end"/>
                    </w:r>
                    <w:r>
                      <w:rPr>
                        <w:rFonts w:hint="eastAsia"/>
                      </w:rPr>
                      <w:t>页</w:t>
                    </w:r>
                  </w:p>
                </w:txbxContent>
              </v:textbox>
            </v:shape>
          </w:pict>
        </mc:Fallback>
      </mc:AlternateContent>
    </w:r>
    <w:r>
      <w:rPr>
        <w:rFonts w:hint="eastAsia"/>
      </w:rPr>
      <w:t xml:space="preserve"> </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0" w:firstLineChars="0"/>
      <w:jc w:val="right"/>
      <w:rPr>
        <w:b w:val="0"/>
        <w:bCs w:val="0"/>
        <w:sz w:val="18"/>
        <w:szCs w:val="18"/>
      </w:rPr>
    </w:pPr>
    <w:r>
      <w:rPr>
        <w:rFonts w:hint="eastAsia" w:ascii="宋体" w:hAnsi="宋体" w:eastAsia="宋体" w:cs="宋体"/>
        <w:b w:val="0"/>
        <w:bCs w:val="0"/>
        <w:sz w:val="18"/>
        <w:szCs w:val="18"/>
      </w:rPr>
      <w:t>2026年南方电网数据平台与安全（广东）有限公司废旧会员服务账号采购项目技术规范书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firstLine="0" w:firstLineChars="0"/>
      <w:jc w:val="left"/>
      <w:rPr>
        <w:b/>
        <w:bCs/>
        <w:sz w:val="24"/>
        <w:szCs w:val="24"/>
      </w:rPr>
    </w:pPr>
    <w:r>
      <w:rPr>
        <w:lang w:val="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C5710A"/>
    <w:multiLevelType w:val="multilevel"/>
    <w:tmpl w:val="02C5710A"/>
    <w:lvl w:ilvl="0" w:tentative="0">
      <w:start w:val="1"/>
      <w:numFmt w:val="decimal"/>
      <w:lvlText w:val="（%1）"/>
      <w:lvlJc w:val="left"/>
      <w:pPr>
        <w:ind w:left="0" w:firstLine="0"/>
      </w:pPr>
      <w:rPr>
        <w:rFonts w:hint="eastAsia"/>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1E2F18F2"/>
    <w:multiLevelType w:val="multilevel"/>
    <w:tmpl w:val="1E2F18F2"/>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
    <w:nsid w:val="6A01C5BD"/>
    <w:multiLevelType w:val="multilevel"/>
    <w:tmpl w:val="6A01C5BD"/>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815" w:hanging="575"/>
      </w:pPr>
      <w:rPr>
        <w:rFonts w:hint="default"/>
      </w:rPr>
    </w:lvl>
    <w:lvl w:ilvl="2" w:tentative="0">
      <w:start w:val="1"/>
      <w:numFmt w:val="decimal"/>
      <w:pStyle w:val="4"/>
      <w:lvlText w:val="%1.%2.%3."/>
      <w:lvlJc w:val="left"/>
      <w:pPr>
        <w:ind w:left="96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kZjlmYWM1OGE5M2Q2ZDk2YjVkOThkNjAxMTA2M2EifQ=="/>
  </w:docVars>
  <w:rsids>
    <w:rsidRoot w:val="2C62353D"/>
    <w:rsid w:val="006F6715"/>
    <w:rsid w:val="01001B5E"/>
    <w:rsid w:val="011D00E8"/>
    <w:rsid w:val="01396E1E"/>
    <w:rsid w:val="02833529"/>
    <w:rsid w:val="02D80691"/>
    <w:rsid w:val="03123D4B"/>
    <w:rsid w:val="032E3883"/>
    <w:rsid w:val="032F04D8"/>
    <w:rsid w:val="03FC378E"/>
    <w:rsid w:val="04001E75"/>
    <w:rsid w:val="052B68B1"/>
    <w:rsid w:val="05CD3FD8"/>
    <w:rsid w:val="066761DB"/>
    <w:rsid w:val="06862B05"/>
    <w:rsid w:val="06920D81"/>
    <w:rsid w:val="06D64E2F"/>
    <w:rsid w:val="075C09D0"/>
    <w:rsid w:val="07740BAF"/>
    <w:rsid w:val="07A144AB"/>
    <w:rsid w:val="09013D0F"/>
    <w:rsid w:val="091D0872"/>
    <w:rsid w:val="092F4A78"/>
    <w:rsid w:val="094E6CE6"/>
    <w:rsid w:val="09E06AA8"/>
    <w:rsid w:val="09F935EE"/>
    <w:rsid w:val="0ABB735E"/>
    <w:rsid w:val="0AC63784"/>
    <w:rsid w:val="0ACC2AB1"/>
    <w:rsid w:val="0ADE59D1"/>
    <w:rsid w:val="0AE778EA"/>
    <w:rsid w:val="0AE825E5"/>
    <w:rsid w:val="0C105208"/>
    <w:rsid w:val="0C8E74F6"/>
    <w:rsid w:val="0CBF0B1F"/>
    <w:rsid w:val="0D2954B8"/>
    <w:rsid w:val="0DC75DDE"/>
    <w:rsid w:val="0EDF025E"/>
    <w:rsid w:val="0FDA7A1E"/>
    <w:rsid w:val="10DD77C5"/>
    <w:rsid w:val="114B03C3"/>
    <w:rsid w:val="11900FF7"/>
    <w:rsid w:val="11A402E3"/>
    <w:rsid w:val="122D7BB4"/>
    <w:rsid w:val="127A7296"/>
    <w:rsid w:val="12851EC3"/>
    <w:rsid w:val="129640D0"/>
    <w:rsid w:val="12D97ECF"/>
    <w:rsid w:val="134F427F"/>
    <w:rsid w:val="13960100"/>
    <w:rsid w:val="145E56A4"/>
    <w:rsid w:val="15C94F55"/>
    <w:rsid w:val="16007AB2"/>
    <w:rsid w:val="161F43DC"/>
    <w:rsid w:val="162B0FD3"/>
    <w:rsid w:val="163E1D40"/>
    <w:rsid w:val="17640562"/>
    <w:rsid w:val="17CB6831"/>
    <w:rsid w:val="196C5B8A"/>
    <w:rsid w:val="19D43730"/>
    <w:rsid w:val="19D938BF"/>
    <w:rsid w:val="1A030DEE"/>
    <w:rsid w:val="1A0F4768"/>
    <w:rsid w:val="1A807414"/>
    <w:rsid w:val="1AF50CBA"/>
    <w:rsid w:val="1B097409"/>
    <w:rsid w:val="1B4B7A22"/>
    <w:rsid w:val="1C7A5D5E"/>
    <w:rsid w:val="1D6B6159"/>
    <w:rsid w:val="1DFB5CA2"/>
    <w:rsid w:val="1E661D72"/>
    <w:rsid w:val="1F9E6C9B"/>
    <w:rsid w:val="209F44E3"/>
    <w:rsid w:val="20AF17DC"/>
    <w:rsid w:val="21725D08"/>
    <w:rsid w:val="2177331E"/>
    <w:rsid w:val="21C127EB"/>
    <w:rsid w:val="22064AA6"/>
    <w:rsid w:val="233874A8"/>
    <w:rsid w:val="23FE13C7"/>
    <w:rsid w:val="24AC5447"/>
    <w:rsid w:val="24AD7057"/>
    <w:rsid w:val="24DD793C"/>
    <w:rsid w:val="24E77757"/>
    <w:rsid w:val="24F874C3"/>
    <w:rsid w:val="24FD7960"/>
    <w:rsid w:val="25583467"/>
    <w:rsid w:val="25DA20CE"/>
    <w:rsid w:val="266D4CF0"/>
    <w:rsid w:val="26864004"/>
    <w:rsid w:val="26E478B3"/>
    <w:rsid w:val="270C404F"/>
    <w:rsid w:val="27451948"/>
    <w:rsid w:val="28514A6F"/>
    <w:rsid w:val="287A36F4"/>
    <w:rsid w:val="28F10206"/>
    <w:rsid w:val="29196733"/>
    <w:rsid w:val="29233D8C"/>
    <w:rsid w:val="292C2C40"/>
    <w:rsid w:val="29802F8C"/>
    <w:rsid w:val="29F179E6"/>
    <w:rsid w:val="2A5561C7"/>
    <w:rsid w:val="2A72212B"/>
    <w:rsid w:val="2AB54EB7"/>
    <w:rsid w:val="2ABA24CE"/>
    <w:rsid w:val="2AC20E3E"/>
    <w:rsid w:val="2B285689"/>
    <w:rsid w:val="2BDB5D50"/>
    <w:rsid w:val="2BFF463C"/>
    <w:rsid w:val="2C024F53"/>
    <w:rsid w:val="2C345701"/>
    <w:rsid w:val="2C387B4E"/>
    <w:rsid w:val="2C62353D"/>
    <w:rsid w:val="2C82701B"/>
    <w:rsid w:val="2D1A75E3"/>
    <w:rsid w:val="2D700A7C"/>
    <w:rsid w:val="2DB0596C"/>
    <w:rsid w:val="2DBB1EA2"/>
    <w:rsid w:val="2DED55CD"/>
    <w:rsid w:val="2E594003"/>
    <w:rsid w:val="2E5B14E3"/>
    <w:rsid w:val="2F116C71"/>
    <w:rsid w:val="2F324D29"/>
    <w:rsid w:val="30486FE4"/>
    <w:rsid w:val="31FB327D"/>
    <w:rsid w:val="31FB58A6"/>
    <w:rsid w:val="32174CB0"/>
    <w:rsid w:val="326D34E1"/>
    <w:rsid w:val="329F3FCF"/>
    <w:rsid w:val="32B12408"/>
    <w:rsid w:val="32CB34CA"/>
    <w:rsid w:val="33064502"/>
    <w:rsid w:val="337E0E26"/>
    <w:rsid w:val="3381002D"/>
    <w:rsid w:val="340D18C0"/>
    <w:rsid w:val="34773519"/>
    <w:rsid w:val="34B01D27"/>
    <w:rsid w:val="351572F3"/>
    <w:rsid w:val="35380BBF"/>
    <w:rsid w:val="35693517"/>
    <w:rsid w:val="35EE0906"/>
    <w:rsid w:val="36F27E09"/>
    <w:rsid w:val="37226814"/>
    <w:rsid w:val="372E2279"/>
    <w:rsid w:val="37882557"/>
    <w:rsid w:val="37AC319E"/>
    <w:rsid w:val="37B5106E"/>
    <w:rsid w:val="381F5D17"/>
    <w:rsid w:val="383E64EC"/>
    <w:rsid w:val="387271C3"/>
    <w:rsid w:val="389A37FC"/>
    <w:rsid w:val="39601530"/>
    <w:rsid w:val="3AAB598F"/>
    <w:rsid w:val="3AB962FE"/>
    <w:rsid w:val="3BAC19BF"/>
    <w:rsid w:val="3C4B06C3"/>
    <w:rsid w:val="3C681620"/>
    <w:rsid w:val="3C8C0966"/>
    <w:rsid w:val="3CD502DC"/>
    <w:rsid w:val="3CD80B09"/>
    <w:rsid w:val="3D311C7C"/>
    <w:rsid w:val="3E157CEF"/>
    <w:rsid w:val="3E716E5D"/>
    <w:rsid w:val="3E9450B8"/>
    <w:rsid w:val="3EEA2F2A"/>
    <w:rsid w:val="3F4A4BF0"/>
    <w:rsid w:val="40030BB7"/>
    <w:rsid w:val="400A3D6D"/>
    <w:rsid w:val="40DF5B4C"/>
    <w:rsid w:val="41AA67A4"/>
    <w:rsid w:val="423F358D"/>
    <w:rsid w:val="4252557A"/>
    <w:rsid w:val="42993D61"/>
    <w:rsid w:val="438A6A89"/>
    <w:rsid w:val="444A6219"/>
    <w:rsid w:val="44852EC8"/>
    <w:rsid w:val="448827A3"/>
    <w:rsid w:val="44EC107E"/>
    <w:rsid w:val="453B4D0C"/>
    <w:rsid w:val="45F33BFC"/>
    <w:rsid w:val="46257D31"/>
    <w:rsid w:val="4645313C"/>
    <w:rsid w:val="4689127A"/>
    <w:rsid w:val="46AE6F33"/>
    <w:rsid w:val="477D65EB"/>
    <w:rsid w:val="483248F6"/>
    <w:rsid w:val="488A12DA"/>
    <w:rsid w:val="494B0A69"/>
    <w:rsid w:val="49B24A90"/>
    <w:rsid w:val="4A09277C"/>
    <w:rsid w:val="4A227A1C"/>
    <w:rsid w:val="4A3634C7"/>
    <w:rsid w:val="4B1355B6"/>
    <w:rsid w:val="4B69167A"/>
    <w:rsid w:val="4B75616F"/>
    <w:rsid w:val="4C750809"/>
    <w:rsid w:val="4CA7245A"/>
    <w:rsid w:val="4D986247"/>
    <w:rsid w:val="4DB63CEA"/>
    <w:rsid w:val="4E662512"/>
    <w:rsid w:val="4E66521C"/>
    <w:rsid w:val="4F656FC4"/>
    <w:rsid w:val="4FE63299"/>
    <w:rsid w:val="50795EBC"/>
    <w:rsid w:val="508B7F82"/>
    <w:rsid w:val="50A05B3E"/>
    <w:rsid w:val="51514AF5"/>
    <w:rsid w:val="51DF67D1"/>
    <w:rsid w:val="522B57B2"/>
    <w:rsid w:val="5257047F"/>
    <w:rsid w:val="527E3C5D"/>
    <w:rsid w:val="5455370C"/>
    <w:rsid w:val="5486329D"/>
    <w:rsid w:val="54AB4AB2"/>
    <w:rsid w:val="54D1747F"/>
    <w:rsid w:val="554F6D93"/>
    <w:rsid w:val="555B0286"/>
    <w:rsid w:val="5591640A"/>
    <w:rsid w:val="55977391"/>
    <w:rsid w:val="55C01586"/>
    <w:rsid w:val="55EC5382"/>
    <w:rsid w:val="560426CB"/>
    <w:rsid w:val="565C42B5"/>
    <w:rsid w:val="56904041"/>
    <w:rsid w:val="56AB0D99"/>
    <w:rsid w:val="574E4CC7"/>
    <w:rsid w:val="574E6CDF"/>
    <w:rsid w:val="57995095"/>
    <w:rsid w:val="57E502DB"/>
    <w:rsid w:val="58BA3515"/>
    <w:rsid w:val="59E07DCE"/>
    <w:rsid w:val="59ED1DE4"/>
    <w:rsid w:val="5A2F1CE1"/>
    <w:rsid w:val="5A690D4F"/>
    <w:rsid w:val="5B9E0ECC"/>
    <w:rsid w:val="5C514191"/>
    <w:rsid w:val="5C6A5252"/>
    <w:rsid w:val="5C9A78E6"/>
    <w:rsid w:val="5CB56357"/>
    <w:rsid w:val="5CD202BB"/>
    <w:rsid w:val="5DA16738"/>
    <w:rsid w:val="5E231BA8"/>
    <w:rsid w:val="5E3873B6"/>
    <w:rsid w:val="5EBC4950"/>
    <w:rsid w:val="5ECF62FF"/>
    <w:rsid w:val="5EFF5C25"/>
    <w:rsid w:val="5F2D2C93"/>
    <w:rsid w:val="5F676A83"/>
    <w:rsid w:val="5F730BCB"/>
    <w:rsid w:val="5FC24CA7"/>
    <w:rsid w:val="5FCA04E2"/>
    <w:rsid w:val="5FFC2665"/>
    <w:rsid w:val="6065020A"/>
    <w:rsid w:val="612B1454"/>
    <w:rsid w:val="62040243"/>
    <w:rsid w:val="628E0F52"/>
    <w:rsid w:val="62B80AC5"/>
    <w:rsid w:val="635F6243"/>
    <w:rsid w:val="643B6954"/>
    <w:rsid w:val="65426D6C"/>
    <w:rsid w:val="659A163A"/>
    <w:rsid w:val="65A672FB"/>
    <w:rsid w:val="65D93351"/>
    <w:rsid w:val="65DE4CE7"/>
    <w:rsid w:val="6630667E"/>
    <w:rsid w:val="669509B0"/>
    <w:rsid w:val="67095EBA"/>
    <w:rsid w:val="67FF57A5"/>
    <w:rsid w:val="681A6AB6"/>
    <w:rsid w:val="68785153"/>
    <w:rsid w:val="6894168D"/>
    <w:rsid w:val="68DD30D5"/>
    <w:rsid w:val="68EC14C9"/>
    <w:rsid w:val="69485A16"/>
    <w:rsid w:val="69E14DA6"/>
    <w:rsid w:val="6B080110"/>
    <w:rsid w:val="6B773257"/>
    <w:rsid w:val="6BA0659B"/>
    <w:rsid w:val="6C053E3B"/>
    <w:rsid w:val="6C622CF6"/>
    <w:rsid w:val="6D284A9A"/>
    <w:rsid w:val="6D2F7BD6"/>
    <w:rsid w:val="6D6655C2"/>
    <w:rsid w:val="6DD62748"/>
    <w:rsid w:val="6E1F38BA"/>
    <w:rsid w:val="6E724023"/>
    <w:rsid w:val="6E751F61"/>
    <w:rsid w:val="6EE80984"/>
    <w:rsid w:val="6F215C44"/>
    <w:rsid w:val="6F946416"/>
    <w:rsid w:val="703379DD"/>
    <w:rsid w:val="72457E9C"/>
    <w:rsid w:val="72E70F53"/>
    <w:rsid w:val="730438B3"/>
    <w:rsid w:val="731D4975"/>
    <w:rsid w:val="732301DD"/>
    <w:rsid w:val="74F8561D"/>
    <w:rsid w:val="7555340F"/>
    <w:rsid w:val="75F3537B"/>
    <w:rsid w:val="768857E3"/>
    <w:rsid w:val="76EC4D8A"/>
    <w:rsid w:val="77197ED4"/>
    <w:rsid w:val="772666F8"/>
    <w:rsid w:val="777C4EC3"/>
    <w:rsid w:val="777C610E"/>
    <w:rsid w:val="790252D0"/>
    <w:rsid w:val="7940036F"/>
    <w:rsid w:val="7B022DCE"/>
    <w:rsid w:val="7B3A1A33"/>
    <w:rsid w:val="7B474C85"/>
    <w:rsid w:val="7B6A2721"/>
    <w:rsid w:val="7C174657"/>
    <w:rsid w:val="7CE54E30"/>
    <w:rsid w:val="7D50356B"/>
    <w:rsid w:val="7D91566A"/>
    <w:rsid w:val="7E355268"/>
    <w:rsid w:val="7E4159BB"/>
    <w:rsid w:val="7E9E0514"/>
    <w:rsid w:val="7EEB3B79"/>
    <w:rsid w:val="7EFC5D86"/>
    <w:rsid w:val="7FE87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124" w:firstLineChars="200"/>
      <w:jc w:val="both"/>
    </w:pPr>
    <w:rPr>
      <w:rFonts w:asciiTheme="minorHAnsi" w:hAnsiTheme="minorHAnsi" w:eastAsiaTheme="minorEastAsia" w:cstheme="minorBidi"/>
      <w:kern w:val="2"/>
      <w:sz w:val="24"/>
      <w:szCs w:val="22"/>
      <w:lang w:val="en-US" w:eastAsia="zh-CN" w:bidi="ar-SA"/>
    </w:rPr>
  </w:style>
  <w:style w:type="paragraph" w:styleId="2">
    <w:name w:val="heading 1"/>
    <w:next w:val="1"/>
    <w:qFormat/>
    <w:uiPriority w:val="0"/>
    <w:pPr>
      <w:keepNext/>
      <w:keepLines/>
      <w:numPr>
        <w:ilvl w:val="0"/>
        <w:numId w:val="1"/>
      </w:numPr>
      <w:outlineLvl w:val="0"/>
    </w:pPr>
    <w:rPr>
      <w:rFonts w:ascii="Calibri" w:hAnsi="Calibri" w:eastAsia="黑体" w:cstheme="minorBidi"/>
      <w:b/>
      <w:bCs/>
      <w:kern w:val="44"/>
      <w:sz w:val="30"/>
      <w:szCs w:val="44"/>
      <w:lang w:val="en-US" w:eastAsia="zh-CN" w:bidi="ar-SA"/>
    </w:rPr>
  </w:style>
  <w:style w:type="paragraph" w:styleId="3">
    <w:name w:val="heading 2"/>
    <w:next w:val="1"/>
    <w:unhideWhenUsed/>
    <w:qFormat/>
    <w:uiPriority w:val="0"/>
    <w:pPr>
      <w:keepNext/>
      <w:keepLines/>
      <w:numPr>
        <w:ilvl w:val="1"/>
        <w:numId w:val="1"/>
      </w:numPr>
      <w:outlineLvl w:val="1"/>
    </w:pPr>
    <w:rPr>
      <w:rFonts w:eastAsia="黑体" w:asciiTheme="majorHAnsi" w:hAnsiTheme="majorHAnsi" w:cstheme="majorBidi"/>
      <w:b/>
      <w:bCs/>
      <w:sz w:val="28"/>
      <w:szCs w:val="32"/>
      <w:lang w:val="en-US" w:eastAsia="zh-CN" w:bidi="ar-SA"/>
    </w:rPr>
  </w:style>
  <w:style w:type="paragraph" w:styleId="4">
    <w:name w:val="heading 3"/>
    <w:basedOn w:val="1"/>
    <w:next w:val="1"/>
    <w:link w:val="21"/>
    <w:unhideWhenUsed/>
    <w:qFormat/>
    <w:uiPriority w:val="0"/>
    <w:pPr>
      <w:keepNext/>
      <w:keepLines/>
      <w:numPr>
        <w:ilvl w:val="2"/>
        <w:numId w:val="1"/>
      </w:numPr>
      <w:outlineLvl w:val="2"/>
    </w:pPr>
    <w:rPr>
      <w:rFonts w:ascii="Calibri" w:hAnsi="Calibri" w:eastAsia="黑体" w:cstheme="minorBidi"/>
      <w:b/>
      <w:bCs/>
      <w:sz w:val="28"/>
      <w:szCs w:val="32"/>
      <w:lang w:val="en-US" w:eastAsia="zh-CN" w:bidi="ar-SA"/>
    </w:rPr>
  </w:style>
  <w:style w:type="paragraph" w:styleId="5">
    <w:name w:val="heading 4"/>
    <w:next w:val="6"/>
    <w:unhideWhenUsed/>
    <w:qFormat/>
    <w:uiPriority w:val="9"/>
    <w:pPr>
      <w:keepNext/>
      <w:keepLines/>
      <w:numPr>
        <w:ilvl w:val="3"/>
        <w:numId w:val="1"/>
      </w:numPr>
      <w:spacing w:line="360" w:lineRule="auto"/>
      <w:outlineLvl w:val="3"/>
    </w:pPr>
    <w:rPr>
      <w:rFonts w:eastAsia="黑体" w:asciiTheme="majorHAnsi" w:hAnsiTheme="majorHAnsi" w:cstheme="majorBidi"/>
      <w:b/>
      <w:bCs/>
      <w:sz w:val="28"/>
      <w:szCs w:val="28"/>
      <w:lang w:val="en-US" w:eastAsia="zh-CN" w:bidi="ar-SA"/>
    </w:rPr>
  </w:style>
  <w:style w:type="paragraph" w:styleId="6">
    <w:name w:val="heading 5"/>
    <w:next w:val="1"/>
    <w:qFormat/>
    <w:uiPriority w:val="9"/>
    <w:pPr>
      <w:keepNext/>
      <w:keepLines/>
      <w:numPr>
        <w:ilvl w:val="4"/>
        <w:numId w:val="1"/>
      </w:numPr>
      <w:spacing w:line="360" w:lineRule="auto"/>
      <w:outlineLvl w:val="4"/>
    </w:pPr>
    <w:rPr>
      <w:rFonts w:ascii="Calibri" w:hAnsi="Calibri" w:eastAsia="宋体" w:cstheme="minorBidi"/>
      <w:b/>
      <w:sz w:val="24"/>
      <w:lang w:val="en-US" w:eastAsia="zh-CN" w:bidi="ar-SA"/>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0"/>
    <w:pPr>
      <w:jc w:val="left"/>
    </w:pPr>
  </w:style>
  <w:style w:type="paragraph" w:styleId="8">
    <w:name w:val="Body Text"/>
    <w:basedOn w:val="1"/>
    <w:next w:val="9"/>
    <w:qFormat/>
    <w:uiPriority w:val="99"/>
    <w:pPr>
      <w:spacing w:after="120"/>
    </w:pPr>
    <w:rPr>
      <w:rFonts w:ascii="Times New Roman" w:hAnsi="Times New Roman"/>
      <w:szCs w:val="20"/>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style>
  <w:style w:type="paragraph" w:styleId="13">
    <w:name w:val="toc 2"/>
    <w:basedOn w:val="1"/>
    <w:next w:val="1"/>
    <w:unhideWhenUsed/>
    <w:qFormat/>
    <w:uiPriority w:val="39"/>
    <w:pPr>
      <w:ind w:left="420" w:leftChars="200"/>
    </w:pPr>
  </w:style>
  <w:style w:type="paragraph" w:styleId="14">
    <w:name w:val="Normal (Web)"/>
    <w:basedOn w:val="1"/>
    <w:unhideWhenUsed/>
    <w:qFormat/>
    <w:uiPriority w:val="99"/>
    <w:pPr>
      <w:widowControl/>
      <w:spacing w:before="100" w:beforeAutospacing="1" w:after="100" w:afterAutospacing="1"/>
      <w:ind w:firstLine="0" w:firstLineChars="0"/>
      <w:jc w:val="left"/>
    </w:pPr>
    <w:rPr>
      <w:rFonts w:ascii="宋体" w:hAnsi="宋体" w:eastAsia="宋体" w:cs="宋体"/>
      <w:kern w:val="0"/>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paragraph" w:customStyle="1" w:styleId="19">
    <w:name w:val="form-control-static8"/>
    <w:basedOn w:val="1"/>
    <w:qFormat/>
    <w:uiPriority w:val="0"/>
    <w:pPr>
      <w:jc w:val="left"/>
    </w:pPr>
    <w:rPr>
      <w:rFonts w:cs="Times New Roman"/>
      <w:kern w:val="0"/>
    </w:rPr>
  </w:style>
  <w:style w:type="paragraph" w:styleId="20">
    <w:name w:val="List Paragraph"/>
    <w:basedOn w:val="1"/>
    <w:qFormat/>
    <w:uiPriority w:val="34"/>
    <w:pPr>
      <w:ind w:firstLine="420"/>
    </w:pPr>
  </w:style>
  <w:style w:type="character" w:customStyle="1" w:styleId="21">
    <w:name w:val="标题 3 字符1"/>
    <w:link w:val="4"/>
    <w:qFormat/>
    <w:uiPriority w:val="0"/>
    <w:rPr>
      <w:rFonts w:ascii="Calibri" w:hAnsi="Calibri" w:eastAsia="黑体" w:cstheme="minorBidi"/>
      <w:b/>
      <w:bCs/>
      <w:sz w:val="28"/>
      <w:szCs w:val="32"/>
      <w:lang w:val="en-US" w:eastAsia="zh-CN" w:bidi="ar-SA"/>
    </w:rPr>
  </w:style>
  <w:style w:type="paragraph" w:customStyle="1" w:styleId="22">
    <w:name w:val="列表段落2"/>
    <w:basedOn w:val="1"/>
    <w:qFormat/>
    <w:uiPriority w:val="34"/>
    <w:pPr>
      <w:spacing w:line="240" w:lineRule="auto"/>
      <w:ind w:firstLine="420"/>
    </w:pPr>
    <w:rPr>
      <w:sz w:val="21"/>
      <w:szCs w:val="22"/>
    </w:rPr>
  </w:style>
  <w:style w:type="paragraph" w:customStyle="1" w:styleId="23">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_Style 1"/>
    <w:basedOn w:val="1"/>
    <w:qFormat/>
    <w:uiPriority w:val="0"/>
    <w:pPr>
      <w:ind w:firstLine="420"/>
    </w:pPr>
  </w:style>
  <w:style w:type="character" w:customStyle="1" w:styleId="27">
    <w:name w:val="font21"/>
    <w:basedOn w:val="17"/>
    <w:qFormat/>
    <w:uiPriority w:val="0"/>
    <w:rPr>
      <w:rFonts w:hint="eastAsia" w:ascii="宋体" w:hAnsi="宋体" w:eastAsia="宋体" w:cs="宋体"/>
      <w:color w:val="FF0000"/>
      <w:sz w:val="24"/>
      <w:szCs w:val="24"/>
      <w:u w:val="none"/>
    </w:rPr>
  </w:style>
  <w:style w:type="character" w:customStyle="1" w:styleId="28">
    <w:name w:val="font11"/>
    <w:basedOn w:val="17"/>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1405</Words>
  <Characters>1482</Characters>
  <Lines>0</Lines>
  <Paragraphs>0</Paragraphs>
  <TotalTime>4</TotalTime>
  <ScaleCrop>false</ScaleCrop>
  <LinksUpToDate>false</LinksUpToDate>
  <CharactersWithSpaces>1564</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2023-06-02T00:38:00Z</dcterms:created>
  <dc:creator>刘彦</dc:creator>
  <cp:lastModifiedBy>81B06827A3C54DA3ACBD6EA2664CF85A</cp:lastModifiedBy>
  <dcterms:modified xsi:type="dcterms:W3CDTF">2026-05-22T09:09:52Z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C8357FC90E3649F9A99A2B4608C56E62_13</vt:lpwstr>
  </property>
  <property fmtid="{D5CDD505-2E9C-101B-9397-08002B2CF9AE}" pid="4" name="KSOTemplateDocerSaveRecord">
    <vt:lpwstr>eyJoZGlkIjoiYzI2MjUzOWY4ODM5YzQ1ZTkxMzhlNjM0ZDc5MGVlYmQiLCJ1c2VySWQiOiI0ODc3ODI0OTYifQ==</vt:lpwstr>
  </property>
</Properties>
</file>