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2"/>
          <w:szCs w:val="32"/>
        </w:rPr>
      </w:pPr>
      <w:r>
        <w:rPr>
          <w:rFonts w:hint="eastAsia"/>
          <w:b/>
          <w:bCs/>
          <w:sz w:val="32"/>
          <w:szCs w:val="32"/>
        </w:rPr>
        <w:t>南方电网绿能科技（广东）有限公司报价书</w:t>
      </w:r>
    </w:p>
    <w:p/>
    <w:p>
      <w:r>
        <w:rPr>
          <w:rFonts w:hint="eastAsia"/>
        </w:rPr>
        <w:t>业主方：</w:t>
      </w:r>
      <w:r>
        <w:rPr>
          <w:rFonts w:hint="eastAsia"/>
          <w:u w:val="single"/>
        </w:rPr>
        <w:t xml:space="preserve">  南方电网绿能科技（广东）有限公司 </w:t>
      </w:r>
      <w:r>
        <w:rPr>
          <w:rFonts w:hint="eastAsia"/>
        </w:rPr>
        <w:t xml:space="preserve">     报价方：</w:t>
      </w:r>
      <w:r>
        <w:rPr>
          <w:rFonts w:hint="eastAsia"/>
          <w:u w:val="single"/>
        </w:rPr>
        <w:t xml:space="preserve">                         </w:t>
      </w:r>
    </w:p>
    <w:p>
      <w:r>
        <w:rPr>
          <w:rFonts w:hint="eastAsia"/>
        </w:rPr>
        <w:t>联系人：</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何镇华</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  </w:t>
      </w:r>
      <w:r>
        <w:rPr>
          <w:rFonts w:hint="eastAsia"/>
          <w:lang w:val="en-US" w:eastAsia="zh-CN"/>
        </w:rPr>
        <w:t xml:space="preserve">   </w:t>
      </w:r>
      <w:r>
        <w:rPr>
          <w:rFonts w:hint="eastAsia"/>
        </w:rPr>
        <w:t>联系人：</w:t>
      </w:r>
      <w:r>
        <w:rPr>
          <w:rFonts w:hint="eastAsia"/>
          <w:u w:val="single"/>
        </w:rPr>
        <w:t xml:space="preserve">                         </w:t>
      </w:r>
    </w:p>
    <w:p>
      <w:r>
        <w:rPr>
          <w:rFonts w:hint="eastAsia"/>
        </w:rPr>
        <w:t>联系电话</w:t>
      </w:r>
      <w:r>
        <w:rPr>
          <w:rFonts w:hint="eastAsia"/>
          <w:u w:val="single"/>
        </w:rPr>
        <w:t xml:space="preserve">：    </w:t>
      </w:r>
      <w:r>
        <w:rPr>
          <w:rFonts w:hint="eastAsia"/>
          <w:u w:val="single"/>
          <w:lang w:val="en-US" w:eastAsia="zh-CN"/>
        </w:rPr>
        <w:t xml:space="preserve">     </w:t>
      </w:r>
      <w:r>
        <w:rPr>
          <w:rFonts w:hint="eastAsia"/>
          <w:u w:val="single"/>
        </w:rPr>
        <w:t>1</w:t>
      </w:r>
      <w:r>
        <w:rPr>
          <w:rFonts w:hint="eastAsia"/>
          <w:u w:val="single"/>
          <w:lang w:val="en-US" w:eastAsia="zh-CN"/>
        </w:rPr>
        <w:t>9926923070</w:t>
      </w:r>
      <w:r>
        <w:rPr>
          <w:rFonts w:hint="eastAsia"/>
          <w:u w:val="single"/>
        </w:rPr>
        <w:t xml:space="preserve">             </w:t>
      </w:r>
      <w:r>
        <w:rPr>
          <w:rFonts w:hint="eastAsia"/>
        </w:rPr>
        <w:t xml:space="preserve">   </w:t>
      </w:r>
      <w:r>
        <w:rPr>
          <w:rFonts w:hint="eastAsia"/>
          <w:lang w:val="en-US" w:eastAsia="zh-CN"/>
        </w:rPr>
        <w:t xml:space="preserve">  </w:t>
      </w:r>
      <w:r>
        <w:rPr>
          <w:rFonts w:hint="eastAsia"/>
        </w:rPr>
        <w:t>联系电话：</w:t>
      </w:r>
      <w:r>
        <w:rPr>
          <w:rFonts w:hint="eastAsia"/>
          <w:u w:val="single"/>
        </w:rPr>
        <w:t xml:space="preserve">                       </w:t>
      </w:r>
    </w:p>
    <w:p>
      <w:r>
        <w:rPr>
          <w:rFonts w:hint="eastAsia"/>
        </w:rPr>
        <w:t xml:space="preserve">类别：□工程   </w:t>
      </w:r>
      <w:r>
        <w:rPr>
          <w:rFonts w:hint="eastAsia"/>
        </w:rPr>
        <w:sym w:font="Wingdings 2" w:char="0052"/>
      </w:r>
      <w:r>
        <w:rPr>
          <w:rFonts w:hint="eastAsia"/>
        </w:rPr>
        <w:t xml:space="preserve">服务   □其他 </w:t>
      </w:r>
    </w:p>
    <w:tbl>
      <w:tblPr>
        <w:tblStyle w:val="6"/>
        <w:tblpPr w:leftFromText="180" w:rightFromText="180" w:vertAnchor="text" w:horzAnchor="page" w:tblpX="1274" w:tblpY="225"/>
        <w:tblOverlap w:val="never"/>
        <w:tblW w:w="9466" w:type="dxa"/>
        <w:tblInd w:w="0" w:type="dxa"/>
        <w:tblLayout w:type="fixed"/>
        <w:tblCellMar>
          <w:top w:w="15" w:type="dxa"/>
          <w:left w:w="15" w:type="dxa"/>
          <w:bottom w:w="15" w:type="dxa"/>
          <w:right w:w="15" w:type="dxa"/>
        </w:tblCellMar>
      </w:tblPr>
      <w:tblGrid>
        <w:gridCol w:w="405"/>
        <w:gridCol w:w="923"/>
        <w:gridCol w:w="2687"/>
        <w:gridCol w:w="355"/>
        <w:gridCol w:w="379"/>
        <w:gridCol w:w="552"/>
        <w:gridCol w:w="577"/>
        <w:gridCol w:w="585"/>
        <w:gridCol w:w="3003"/>
      </w:tblGrid>
      <w:tr>
        <w:tblPrEx>
          <w:tblCellMar>
            <w:top w:w="15" w:type="dxa"/>
            <w:left w:w="15" w:type="dxa"/>
            <w:bottom w:w="15" w:type="dxa"/>
            <w:right w:w="15" w:type="dxa"/>
          </w:tblCellMar>
        </w:tblPrEx>
        <w:trPr>
          <w:trHeight w:val="723" w:hRule="atLeast"/>
        </w:trPr>
        <w:tc>
          <w:tcPr>
            <w:tcW w:w="1328" w:type="dxa"/>
            <w:gridSpan w:val="2"/>
            <w:tcBorders>
              <w:top w:val="single" w:color="000000" w:sz="12" w:space="0"/>
            </w:tcBorders>
            <w:shd w:val="clear" w:color="auto" w:fill="auto"/>
            <w:vAlign w:val="center"/>
          </w:tcPr>
          <w:p>
            <w:pPr>
              <w:widowControl/>
              <w:jc w:val="center"/>
              <w:textAlignment w:val="center"/>
              <w:rPr>
                <w:rFonts w:ascii="宋体" w:hAnsi="宋体" w:eastAsia="宋体" w:cs="宋体"/>
                <w:color w:val="000000"/>
                <w:kern w:val="0"/>
                <w:sz w:val="36"/>
                <w:szCs w:val="36"/>
                <w:lang w:bidi="ar"/>
              </w:rPr>
            </w:pPr>
            <w:r>
              <w:rPr>
                <w:rFonts w:hint="eastAsia" w:ascii="宋体" w:hAnsi="宋体" w:eastAsia="宋体" w:cs="宋体"/>
                <w:color w:val="000000"/>
                <w:kern w:val="0"/>
                <w:sz w:val="36"/>
                <w:szCs w:val="36"/>
                <w:lang w:bidi="ar"/>
              </w:rPr>
              <w:t xml:space="preserve">  </w:t>
            </w:r>
          </w:p>
        </w:tc>
        <w:tc>
          <w:tcPr>
            <w:tcW w:w="8138" w:type="dxa"/>
            <w:gridSpan w:val="7"/>
            <w:tcBorders>
              <w:top w:val="single" w:color="000000" w:sz="12" w:space="0"/>
            </w:tcBorders>
            <w:shd w:val="clear" w:color="auto" w:fill="auto"/>
            <w:vAlign w:val="center"/>
          </w:tcPr>
          <w:p>
            <w:pPr>
              <w:widowControl/>
              <w:jc w:val="center"/>
              <w:textAlignment w:val="center"/>
              <w:rPr>
                <w:rFonts w:ascii="font-weight : 400" w:hAnsi="font-weight : 400" w:eastAsia="font-weight : 400" w:cs="font-weight : 400"/>
                <w:color w:val="000000"/>
                <w:kern w:val="0"/>
                <w:sz w:val="22"/>
                <w:lang w:bidi="ar"/>
              </w:rPr>
            </w:pPr>
            <w:r>
              <w:rPr>
                <w:rFonts w:hint="eastAsia" w:ascii="宋体" w:hAnsi="宋体" w:eastAsia="宋体" w:cs="宋体"/>
                <w:color w:val="000000"/>
                <w:kern w:val="0"/>
                <w:sz w:val="36"/>
                <w:szCs w:val="36"/>
                <w:lang w:bidi="ar"/>
              </w:rPr>
              <w:t>报价明细表</w:t>
            </w:r>
            <w:r>
              <w:rPr>
                <w:rFonts w:ascii="font-weight : 400" w:hAnsi="font-weight : 400" w:eastAsia="font-weight : 400" w:cs="font-weight : 400"/>
                <w:color w:val="000000"/>
                <w:kern w:val="0"/>
                <w:sz w:val="22"/>
                <w:lang w:bidi="ar"/>
              </w:rPr>
              <w:t xml:space="preserve">              </w:t>
            </w:r>
          </w:p>
          <w:p>
            <w:pPr>
              <w:widowControl/>
              <w:jc w:val="center"/>
              <w:textAlignment w:val="center"/>
              <w:rPr>
                <w:rFonts w:ascii="宋体" w:hAnsi="宋体" w:eastAsia="宋体" w:cs="宋体"/>
                <w:color w:val="000000"/>
                <w:sz w:val="36"/>
                <w:szCs w:val="36"/>
              </w:rPr>
            </w:pPr>
            <w:r>
              <w:rPr>
                <w:rFonts w:hint="eastAsia" w:ascii="font-weight : 400" w:hAnsi="font-weight : 400" w:eastAsia="font-weight : 400" w:cs="font-weight : 400"/>
                <w:color w:val="000000"/>
                <w:kern w:val="0"/>
                <w:sz w:val="22"/>
                <w:lang w:bidi="ar"/>
              </w:rPr>
              <w:t xml:space="preserve">                                                  单位：元</w:t>
            </w:r>
            <w:r>
              <w:rPr>
                <w:rFonts w:ascii="font-weight : 400" w:hAnsi="font-weight : 400" w:eastAsia="font-weight : 400" w:cs="font-weight : 400"/>
                <w:color w:val="000000"/>
                <w:kern w:val="0"/>
                <w:sz w:val="22"/>
                <w:lang w:bidi="ar"/>
              </w:rPr>
              <w:t xml:space="preserve">                                                      </w:t>
            </w:r>
            <w:r>
              <w:rPr>
                <w:rFonts w:hint="eastAsia" w:ascii="font-weight : 400" w:hAnsi="font-weight : 400" w:eastAsia="font-weight : 400" w:cs="font-weight : 400"/>
                <w:color w:val="000000"/>
                <w:kern w:val="0"/>
                <w:sz w:val="22"/>
                <w:lang w:bidi="ar"/>
              </w:rPr>
              <w:t xml:space="preserve">      </w:t>
            </w:r>
          </w:p>
        </w:tc>
      </w:tr>
      <w:tr>
        <w:tblPrEx>
          <w:tblCellMar>
            <w:top w:w="15" w:type="dxa"/>
            <w:left w:w="15" w:type="dxa"/>
            <w:bottom w:w="15" w:type="dxa"/>
            <w:right w:w="15" w:type="dxa"/>
          </w:tblCellMar>
        </w:tblPrEx>
        <w:trPr>
          <w:trHeight w:val="515" w:hRule="atLeast"/>
        </w:trPr>
        <w:tc>
          <w:tcPr>
            <w:tcW w:w="1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项目名称</w:t>
            </w:r>
          </w:p>
        </w:tc>
        <w:tc>
          <w:tcPr>
            <w:tcW w:w="813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kern w:val="0"/>
                <w:sz w:val="21"/>
                <w:szCs w:val="21"/>
                <w:lang w:bidi="ar"/>
              </w:rPr>
            </w:pPr>
            <w:r>
              <w:rPr>
                <w:rFonts w:hint="eastAsia" w:ascii="宋体" w:hAnsi="宋体"/>
                <w:sz w:val="21"/>
                <w:szCs w:val="21"/>
              </w:rPr>
              <w:t>南网绿能科技（广东）有限公司</w:t>
            </w:r>
            <w:r>
              <w:rPr>
                <w:rFonts w:hint="eastAsia" w:ascii="宋体" w:hAnsi="宋体" w:eastAsia="宋体" w:cs="Times New Roman"/>
                <w:sz w:val="21"/>
                <w:szCs w:val="21"/>
                <w:lang w:val="en-US" w:eastAsia="zh-CN"/>
              </w:rPr>
              <w:t>全氟己酮微胶囊颗粒灭火产品研发原材料及测试加工服务零星采购项目</w:t>
            </w:r>
          </w:p>
        </w:tc>
      </w:tr>
      <w:tr>
        <w:tblPrEx>
          <w:tblCellMar>
            <w:top w:w="15" w:type="dxa"/>
            <w:left w:w="15" w:type="dxa"/>
            <w:bottom w:w="15" w:type="dxa"/>
            <w:right w:w="15" w:type="dxa"/>
          </w:tblCellMar>
        </w:tblPrEx>
        <w:trPr>
          <w:trHeight w:val="303"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序号</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明细</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sz w:val="21"/>
                <w:szCs w:val="21"/>
              </w:rPr>
              <w:t>规格型号</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abs>
                <w:tab w:val="left" w:pos="407"/>
              </w:tabs>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单位</w:t>
            </w:r>
          </w:p>
        </w:tc>
        <w:tc>
          <w:tcPr>
            <w:tcW w:w="3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数量</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kern w:val="0"/>
                <w:sz w:val="21"/>
                <w:szCs w:val="21"/>
                <w:lang w:bidi="ar"/>
              </w:rPr>
              <w:t>单价</w:t>
            </w:r>
            <w:r>
              <w:rPr>
                <w:rFonts w:hint="eastAsia" w:ascii="宋体" w:hAnsi="宋体" w:eastAsia="宋体" w:cs="宋体"/>
                <w:color w:val="000000"/>
                <w:kern w:val="0"/>
                <w:sz w:val="21"/>
                <w:szCs w:val="21"/>
                <w:lang w:val="en-US" w:eastAsia="zh-CN" w:bidi="ar"/>
              </w:rPr>
              <w:t>限价</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单价报价</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金额小计</w:t>
            </w:r>
          </w:p>
        </w:tc>
        <w:tc>
          <w:tcPr>
            <w:tcW w:w="30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备注</w:t>
            </w:r>
          </w:p>
        </w:tc>
      </w:tr>
      <w:tr>
        <w:tblPrEx>
          <w:tblCellMar>
            <w:top w:w="15" w:type="dxa"/>
            <w:left w:w="15" w:type="dxa"/>
            <w:bottom w:w="15" w:type="dxa"/>
            <w:right w:w="15" w:type="dxa"/>
          </w:tblCellMar>
        </w:tblPrEx>
        <w:trPr>
          <w:trHeight w:val="1494"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1</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kern w:val="0"/>
                <w:sz w:val="21"/>
                <w:szCs w:val="21"/>
              </w:rPr>
            </w:pPr>
            <w:r>
              <w:rPr>
                <w:rFonts w:hint="eastAsia" w:ascii="宋体" w:hAnsi="宋体" w:eastAsia="宋体" w:cs="宋体"/>
                <w:kern w:val="0"/>
                <w:sz w:val="21"/>
                <w:szCs w:val="21"/>
              </w:rPr>
              <w:t>全氟己酮微胶囊颗粒灭火产品</w:t>
            </w:r>
            <w:r>
              <w:rPr>
                <w:rFonts w:hint="eastAsia" w:ascii="宋体" w:hAnsi="宋体"/>
                <w:color w:val="auto"/>
                <w:sz w:val="21"/>
                <w:szCs w:val="21"/>
                <w:lang w:val="en-US" w:eastAsia="zh-CN"/>
              </w:rPr>
              <w:t>原材料</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rPr>
            </w:pPr>
            <w:r>
              <w:rPr>
                <w:rFonts w:hint="eastAsia" w:ascii="宋体" w:hAnsi="宋体" w:eastAsia="宋体" w:cs="宋体"/>
                <w:color w:val="auto"/>
                <w:sz w:val="21"/>
                <w:szCs w:val="21"/>
                <w:highlight w:val="none"/>
                <w:lang w:val="en-US" w:eastAsia="zh-CN"/>
              </w:rPr>
              <w:t>按照技术说明书中参数、功能等要求开展全氟己酮微胶囊颗粒灭火产品研发相关原材料及零部件的采购与加工</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rPr>
            </w:pPr>
            <w:r>
              <w:rPr>
                <w:rFonts w:hint="eastAsia" w:ascii="宋体" w:hAnsi="宋体" w:eastAsia="宋体" w:cs="宋体"/>
                <w:i w:val="0"/>
                <w:color w:val="000000"/>
                <w:kern w:val="2"/>
                <w:sz w:val="21"/>
                <w:szCs w:val="21"/>
                <w:highlight w:val="none"/>
                <w:u w:val="none"/>
                <w:lang w:val="en-US" w:eastAsia="zh-CN" w:bidi="ar-SA"/>
              </w:rPr>
              <w:t>套</w:t>
            </w:r>
          </w:p>
        </w:tc>
        <w:tc>
          <w:tcPr>
            <w:tcW w:w="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rPr>
            </w:pPr>
            <w:r>
              <w:rPr>
                <w:rFonts w:hint="eastAsia" w:ascii="宋体" w:hAnsi="宋体" w:eastAsia="宋体" w:cs="宋体"/>
                <w:i w:val="0"/>
                <w:color w:val="000000"/>
                <w:sz w:val="21"/>
                <w:szCs w:val="21"/>
                <w:highlight w:val="none"/>
                <w:u w:val="none"/>
                <w:lang w:val="en-US" w:eastAsia="zh-CN"/>
              </w:rPr>
              <w:t>1</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12952</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highlight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1"/>
                <w:szCs w:val="21"/>
                <w:highlight w:val="none"/>
                <w:u w:val="none"/>
                <w:lang w:val="en-US" w:eastAsia="zh-CN"/>
              </w:rPr>
            </w:pPr>
          </w:p>
        </w:tc>
        <w:tc>
          <w:tcPr>
            <w:tcW w:w="30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eastAsia="宋体" w:cs="宋体"/>
                <w:color w:val="000000"/>
                <w:sz w:val="21"/>
                <w:szCs w:val="21"/>
              </w:rPr>
            </w:pPr>
            <w:r>
              <w:rPr>
                <w:rFonts w:hint="eastAsia" w:ascii="宋体" w:hAnsi="宋体" w:eastAsia="宋体" w:cs="宋体"/>
                <w:color w:val="auto"/>
                <w:sz w:val="21"/>
                <w:szCs w:val="21"/>
                <w:highlight w:val="none"/>
                <w:lang w:val="en-US" w:eastAsia="zh-CN"/>
              </w:rPr>
              <w:t>按照项目需求采购原材料和部件；并参与</w:t>
            </w:r>
            <w:r>
              <w:rPr>
                <w:rFonts w:hint="eastAsia" w:ascii="宋体" w:hAnsi="宋体"/>
                <w:color w:val="auto"/>
                <w:sz w:val="21"/>
                <w:szCs w:val="21"/>
                <w:highlight w:val="none"/>
                <w:lang w:val="en-US" w:eastAsia="zh-CN"/>
              </w:rPr>
              <w:t>项目原材料及零部件的加工。</w:t>
            </w:r>
          </w:p>
        </w:tc>
      </w:tr>
      <w:tr>
        <w:tblPrEx>
          <w:tblCellMar>
            <w:top w:w="15" w:type="dxa"/>
            <w:left w:w="15" w:type="dxa"/>
            <w:bottom w:w="15" w:type="dxa"/>
            <w:right w:w="15" w:type="dxa"/>
          </w:tblCellMar>
        </w:tblPrEx>
        <w:trPr>
          <w:trHeight w:val="194"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2</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kern w:val="0"/>
                <w:sz w:val="21"/>
                <w:szCs w:val="21"/>
                <w:lang w:bidi="ar"/>
              </w:rPr>
            </w:pPr>
            <w:r>
              <w:rPr>
                <w:rFonts w:hint="eastAsia" w:ascii="宋体" w:hAnsi="宋体"/>
                <w:color w:val="auto"/>
                <w:sz w:val="21"/>
                <w:szCs w:val="21"/>
                <w:lang w:val="en-US" w:eastAsia="zh-CN"/>
              </w:rPr>
              <w:t>产品测试及加工服务</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rPr>
            </w:pPr>
            <w:r>
              <w:rPr>
                <w:rFonts w:hint="eastAsia" w:ascii="宋体" w:hAnsi="宋体"/>
                <w:color w:val="auto"/>
                <w:sz w:val="21"/>
                <w:szCs w:val="21"/>
                <w:highlight w:val="none"/>
                <w:lang w:val="en-US" w:eastAsia="zh-CN"/>
              </w:rPr>
              <w:t>全氟己酮微胶囊颗粒灭火产品</w:t>
            </w:r>
            <w:r>
              <w:rPr>
                <w:rFonts w:hint="eastAsia" w:ascii="CESI_SS_GB18030" w:hAnsi="CESI_SS_GB18030" w:eastAsia="CESI_SS_GB18030" w:cs="CESI_SS_GB18030"/>
                <w:color w:val="auto"/>
                <w:sz w:val="21"/>
                <w:szCs w:val="21"/>
                <w:highlight w:val="none"/>
                <w:lang w:val="en-US" w:eastAsia="zh-CN"/>
              </w:rPr>
              <w:t>测试</w:t>
            </w:r>
            <w:r>
              <w:rPr>
                <w:rFonts w:hint="eastAsia" w:ascii="宋体" w:hAnsi="宋体"/>
                <w:color w:val="auto"/>
                <w:sz w:val="21"/>
                <w:szCs w:val="21"/>
                <w:highlight w:val="none"/>
                <w:lang w:val="en-US" w:eastAsia="zh-CN"/>
              </w:rPr>
              <w:t>，交付全氟己酮微胶囊颗粒灭火产品（全氟己酮自感应灭火绳、全氟己酮自感应灭火胶带、全氟己酮自感应灭火毯、全氟己酮自感应灭火贴）样品4件;全氟己酮微胶囊颗粒灭火产品用于第三方测试，交付具有CNAS认证的第三方检测报告共4份。完成新技术成果鉴定1份及新产品技术鉴定1份。</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sz w:val="21"/>
                <w:szCs w:val="21"/>
              </w:rPr>
            </w:pPr>
            <w:r>
              <w:rPr>
                <w:rFonts w:hint="eastAsia" w:ascii="宋体" w:hAnsi="宋体" w:eastAsia="宋体" w:cs="宋体"/>
                <w:i w:val="0"/>
                <w:color w:val="000000"/>
                <w:kern w:val="2"/>
                <w:sz w:val="21"/>
                <w:szCs w:val="21"/>
                <w:highlight w:val="none"/>
                <w:u w:val="none"/>
                <w:lang w:val="en-US" w:eastAsia="zh-CN" w:bidi="ar-SA"/>
              </w:rPr>
              <w:t>次</w:t>
            </w:r>
          </w:p>
        </w:tc>
        <w:tc>
          <w:tcPr>
            <w:tcW w:w="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rPr>
            </w:pPr>
            <w:r>
              <w:rPr>
                <w:rFonts w:hint="eastAsia" w:ascii="宋体" w:hAnsi="宋体" w:eastAsia="宋体" w:cs="宋体"/>
                <w:i w:val="0"/>
                <w:color w:val="000000"/>
                <w:sz w:val="21"/>
                <w:szCs w:val="21"/>
                <w:highlight w:val="none"/>
                <w:u w:val="none"/>
                <w:lang w:val="en-US" w:eastAsia="zh-CN"/>
              </w:rPr>
              <w:t>1</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14320</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highlight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1"/>
                <w:szCs w:val="21"/>
                <w:highlight w:val="none"/>
                <w:u w:val="none"/>
                <w:lang w:val="en-US" w:eastAsia="zh-CN"/>
              </w:rPr>
            </w:pPr>
          </w:p>
        </w:tc>
        <w:tc>
          <w:tcPr>
            <w:tcW w:w="30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宋体" w:hAnsi="宋体" w:eastAsia="宋体" w:cs="宋体"/>
                <w:sz w:val="21"/>
                <w:szCs w:val="21"/>
                <w:lang w:val="en-US"/>
              </w:rPr>
            </w:pPr>
            <w:r>
              <w:rPr>
                <w:rFonts w:hint="eastAsia" w:ascii="宋体" w:hAnsi="宋体" w:eastAsia="宋体" w:cs="宋体"/>
                <w:i w:val="0"/>
                <w:color w:val="000000"/>
                <w:sz w:val="21"/>
                <w:szCs w:val="21"/>
                <w:highlight w:val="none"/>
                <w:u w:val="none"/>
                <w:shd w:val="clear"/>
                <w:lang w:val="en-US" w:eastAsia="zh-CN"/>
              </w:rPr>
              <w:t>服务内容1、</w:t>
            </w:r>
            <w:r>
              <w:rPr>
                <w:rFonts w:hint="eastAsia" w:ascii="宋体" w:hAnsi="宋体" w:eastAsia="宋体" w:cs="宋体"/>
                <w:color w:val="000000"/>
                <w:sz w:val="21"/>
                <w:szCs w:val="21"/>
              </w:rPr>
              <w:t>全氟己酮微胶囊灭火产品工程化组装，</w:t>
            </w:r>
            <w:r>
              <w:rPr>
                <w:rFonts w:ascii="宋体" w:hAnsi="宋体" w:eastAsia="宋体" w:cs="宋体"/>
                <w:color w:val="000000"/>
                <w:sz w:val="21"/>
                <w:szCs w:val="21"/>
              </w:rPr>
              <w:t>完成微胶囊颗粒与智能触发系统</w:t>
            </w:r>
            <w:r>
              <w:rPr>
                <w:rFonts w:hint="eastAsia" w:ascii="宋体" w:hAnsi="宋体" w:eastAsia="宋体" w:cs="宋体"/>
                <w:color w:val="000000"/>
                <w:sz w:val="21"/>
                <w:szCs w:val="21"/>
              </w:rPr>
              <w:t>、</w:t>
            </w:r>
            <w:r>
              <w:rPr>
                <w:rFonts w:ascii="宋体" w:hAnsi="宋体" w:eastAsia="宋体" w:cs="宋体"/>
                <w:color w:val="000000"/>
                <w:sz w:val="21"/>
                <w:szCs w:val="21"/>
              </w:rPr>
              <w:t>远程监测系统的一体化工程化组装</w:t>
            </w:r>
            <w:r>
              <w:rPr>
                <w:rFonts w:hint="eastAsia" w:ascii="宋体" w:hAnsi="宋体" w:eastAsia="宋体" w:cs="宋体"/>
                <w:i w:val="0"/>
                <w:color w:val="000000"/>
                <w:sz w:val="21"/>
                <w:szCs w:val="21"/>
                <w:highlight w:val="none"/>
                <w:u w:val="none"/>
                <w:shd w:val="clear"/>
                <w:lang w:val="en-US" w:eastAsia="zh-CN"/>
              </w:rPr>
              <w:t>；2、</w:t>
            </w:r>
            <w:r>
              <w:rPr>
                <w:rFonts w:hint="eastAsia" w:ascii="宋体" w:hAnsi="宋体" w:eastAsia="宋体" w:cs="宋体"/>
                <w:color w:val="000000"/>
                <w:sz w:val="21"/>
                <w:szCs w:val="21"/>
              </w:rPr>
              <w:t>全生命周期安全监测与故障自诊断系统开发，</w:t>
            </w:r>
            <w:r>
              <w:rPr>
                <w:rFonts w:ascii="宋体" w:hAnsi="宋体" w:eastAsia="宋体" w:cs="宋体"/>
                <w:color w:val="000000"/>
                <w:sz w:val="21"/>
                <w:szCs w:val="21"/>
              </w:rPr>
              <w:t>实现火情早期预警、设备运行状态实时监测</w:t>
            </w:r>
            <w:r>
              <w:rPr>
                <w:rFonts w:hint="eastAsia" w:ascii="宋体" w:hAnsi="宋体" w:eastAsia="宋体" w:cs="宋体"/>
                <w:i w:val="0"/>
                <w:color w:val="000000"/>
                <w:sz w:val="21"/>
                <w:szCs w:val="21"/>
                <w:highlight w:val="none"/>
                <w:u w:val="none"/>
                <w:shd w:val="clear"/>
                <w:lang w:val="en-US" w:eastAsia="zh-CN"/>
              </w:rPr>
              <w:t>；3、</w:t>
            </w:r>
            <w:r>
              <w:rPr>
                <w:rFonts w:ascii="宋体" w:hAnsi="宋体" w:eastAsia="宋体" w:cs="宋体"/>
                <w:color w:val="000000"/>
                <w:sz w:val="21"/>
                <w:szCs w:val="21"/>
              </w:rPr>
              <w:t>开展产品的灭火性能、安全性能、耐久性能及环境适应性测试</w:t>
            </w:r>
            <w:r>
              <w:rPr>
                <w:rFonts w:hint="eastAsia" w:ascii="宋体" w:hAnsi="宋体" w:eastAsia="宋体" w:cs="宋体"/>
                <w:color w:val="000000"/>
                <w:sz w:val="21"/>
                <w:szCs w:val="21"/>
                <w:lang w:eastAsia="zh-CN"/>
              </w:rPr>
              <w:t>，</w:t>
            </w:r>
            <w:r>
              <w:rPr>
                <w:rFonts w:ascii="宋体" w:hAnsi="宋体" w:eastAsia="宋体" w:cs="宋体"/>
                <w:color w:val="000000"/>
                <w:sz w:val="21"/>
                <w:szCs w:val="21"/>
              </w:rPr>
              <w:t>优化产品结构与工艺参数</w:t>
            </w:r>
            <w:r>
              <w:rPr>
                <w:rFonts w:hint="eastAsia" w:ascii="宋体" w:hAnsi="宋体" w:eastAsia="宋体" w:cs="宋体"/>
                <w:i w:val="0"/>
                <w:color w:val="000000"/>
                <w:sz w:val="21"/>
                <w:szCs w:val="21"/>
                <w:highlight w:val="none"/>
                <w:u w:val="none"/>
                <w:shd w:val="clear"/>
                <w:lang w:val="en-US" w:eastAsia="zh-CN"/>
              </w:rPr>
              <w:t>；4、开展第三方检测报告；5、完成新技术成果鉴定及新产品技术鉴定。</w:t>
            </w:r>
          </w:p>
        </w:tc>
      </w:tr>
      <w:tr>
        <w:tblPrEx>
          <w:tblCellMar>
            <w:top w:w="15" w:type="dxa"/>
            <w:left w:w="15" w:type="dxa"/>
            <w:bottom w:w="15" w:type="dxa"/>
            <w:right w:w="15" w:type="dxa"/>
          </w:tblCellMar>
        </w:tblPrEx>
        <w:trPr>
          <w:trHeight w:val="286" w:hRule="atLeast"/>
        </w:trPr>
        <w:tc>
          <w:tcPr>
            <w:tcW w:w="1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firstLineChars="200"/>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合计</w:t>
            </w:r>
          </w:p>
        </w:tc>
        <w:tc>
          <w:tcPr>
            <w:tcW w:w="397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大写：</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eastAsia="宋体" w:cs="宋体"/>
                <w:color w:val="000000"/>
                <w:sz w:val="21"/>
                <w:szCs w:val="21"/>
              </w:rPr>
            </w:pPr>
            <w:r>
              <w:rPr>
                <w:rFonts w:hint="eastAsia" w:ascii="宋体" w:hAnsi="宋体" w:eastAsia="宋体" w:cs="宋体"/>
                <w:color w:val="000000"/>
                <w:sz w:val="21"/>
                <w:szCs w:val="21"/>
              </w:rPr>
              <w:t>小写：</w:t>
            </w:r>
          </w:p>
        </w:tc>
        <w:tc>
          <w:tcPr>
            <w:tcW w:w="35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eastAsia="宋体" w:cs="宋体"/>
                <w:color w:val="000000"/>
                <w:sz w:val="21"/>
                <w:szCs w:val="21"/>
              </w:rPr>
            </w:pPr>
          </w:p>
        </w:tc>
      </w:tr>
    </w:tbl>
    <w:p>
      <w:r>
        <w:rPr>
          <w:rFonts w:hint="eastAsia"/>
        </w:rPr>
        <w:t>以上报价包含税率，提供</w:t>
      </w:r>
      <w:r>
        <w:rPr>
          <w:rFonts w:hint="eastAsia"/>
          <w:u w:val="single"/>
        </w:rPr>
        <w:t xml:space="preserve"> 6 </w:t>
      </w:r>
      <w:r>
        <w:rPr>
          <w:rFonts w:hint="eastAsia"/>
        </w:rPr>
        <w:t>%增值税专用发票。</w:t>
      </w:r>
    </w:p>
    <w:p>
      <w:r>
        <w:rPr>
          <w:rFonts w:hint="eastAsia"/>
        </w:rPr>
        <w:t>郑重承诺：本单位不与其他报价单位相互串通报价，不存在围标陪标情况。</w:t>
      </w:r>
    </w:p>
    <w:p>
      <w:pPr>
        <w:spacing w:line="360" w:lineRule="auto"/>
      </w:pPr>
      <w:r>
        <w:rPr>
          <w:rFonts w:hint="eastAsia"/>
        </w:rPr>
        <w:t>1、被询价方需根据本“询价明细表”的格式内容进行报价，并签字盖章，报价方为有效。</w:t>
      </w:r>
    </w:p>
    <w:p>
      <w:pPr>
        <w:spacing w:line="360" w:lineRule="auto"/>
        <w:rPr>
          <w:lang w:val="zh-CN"/>
        </w:rPr>
      </w:pPr>
      <w:r>
        <w:rPr>
          <w:rFonts w:hint="eastAsia"/>
        </w:rPr>
        <w:t>2</w:t>
      </w:r>
      <w:r>
        <w:rPr>
          <w:rFonts w:hint="eastAsia"/>
          <w:lang w:val="zh-CN"/>
        </w:rPr>
        <w:t>、被询价方应在采购公告要求的截止时间前书面回复，否则视为放弃报价。</w:t>
      </w:r>
    </w:p>
    <w:p>
      <w:pPr>
        <w:spacing w:line="360" w:lineRule="auto"/>
      </w:pPr>
      <w:r>
        <w:rPr>
          <w:rFonts w:hint="eastAsia"/>
        </w:rPr>
        <w:t>3、相关服务需要在202</w:t>
      </w:r>
      <w:r>
        <w:rPr>
          <w:rFonts w:hint="eastAsia"/>
          <w:lang w:val="en-US" w:eastAsia="zh-CN"/>
        </w:rPr>
        <w:t>6</w:t>
      </w:r>
      <w:r>
        <w:rPr>
          <w:rFonts w:hint="eastAsia"/>
        </w:rPr>
        <w:t>年</w:t>
      </w:r>
      <w:r>
        <w:rPr>
          <w:rFonts w:hint="eastAsia"/>
          <w:lang w:val="en-US" w:eastAsia="zh-CN"/>
        </w:rPr>
        <w:t>12</w:t>
      </w:r>
      <w:r>
        <w:rPr>
          <w:rFonts w:hint="eastAsia"/>
        </w:rPr>
        <w:t>月30日前完成各项工作。</w:t>
      </w:r>
      <w:bookmarkStart w:id="1" w:name="_GoBack"/>
      <w:bookmarkEnd w:id="1"/>
    </w:p>
    <w:p/>
    <w:p>
      <w:pPr>
        <w:wordWrap w:val="0"/>
        <w:jc w:val="right"/>
      </w:pPr>
      <w:r>
        <w:rPr>
          <w:rFonts w:hint="eastAsia"/>
        </w:rPr>
        <w:t>报价单位：</w:t>
      </w:r>
      <w:r>
        <w:rPr>
          <w:rFonts w:hint="eastAsia"/>
          <w:highlight w:val="yellow"/>
        </w:rPr>
        <w:t>XXXXXXX</w:t>
      </w:r>
      <w:r>
        <w:rPr>
          <w:rFonts w:hint="eastAsia"/>
        </w:rPr>
        <w:t>单位（盖章）</w:t>
      </w:r>
    </w:p>
    <w:p>
      <w:pPr>
        <w:jc w:val="right"/>
      </w:pPr>
    </w:p>
    <w:p>
      <w:pPr>
        <w:jc w:val="right"/>
      </w:pPr>
      <w:r>
        <w:rPr>
          <w:rFonts w:hint="eastAsia"/>
        </w:rPr>
        <w:t xml:space="preserve">   202</w:t>
      </w:r>
      <w:r>
        <w:rPr>
          <w:rFonts w:hint="eastAsia"/>
          <w:lang w:val="en-US" w:eastAsia="zh-CN"/>
        </w:rPr>
        <w:t>6</w:t>
      </w:r>
      <w:r>
        <w:rPr>
          <w:rFonts w:hint="eastAsia"/>
        </w:rPr>
        <w:t>年</w:t>
      </w:r>
      <w:r>
        <w:rPr>
          <w:rFonts w:hint="eastAsia"/>
          <w:highlight w:val="yellow"/>
        </w:rPr>
        <w:t>XX</w:t>
      </w:r>
      <w:r>
        <w:rPr>
          <w:rFonts w:hint="eastAsia"/>
        </w:rPr>
        <w:t>月</w:t>
      </w:r>
      <w:r>
        <w:rPr>
          <w:rFonts w:hint="eastAsia"/>
          <w:highlight w:val="yellow"/>
        </w:rPr>
        <w:t>XX</w:t>
      </w:r>
      <w:r>
        <w:rPr>
          <w:rFonts w:hint="eastAsia"/>
        </w:rPr>
        <w:t>日</w:t>
      </w:r>
    </w:p>
    <w:p>
      <w:pPr>
        <w:keepNext/>
        <w:keepLines/>
        <w:spacing w:before="260" w:after="260" w:line="416" w:lineRule="auto"/>
        <w:jc w:val="center"/>
        <w:outlineLvl w:val="2"/>
        <w:rPr>
          <w:rFonts w:ascii="宋体" w:hAnsi="宋体" w:eastAsia="宋体" w:cs="Times New Roman"/>
          <w:b/>
          <w:bCs/>
          <w:sz w:val="32"/>
          <w:szCs w:val="32"/>
          <w:highlight w:val="yellow"/>
        </w:rPr>
      </w:pPr>
      <w:bookmarkStart w:id="0" w:name="_Toc495410631"/>
      <w:r>
        <w:rPr>
          <w:rFonts w:hint="eastAsia" w:ascii="宋体" w:hAnsi="宋体" w:eastAsia="宋体" w:cs="Times New Roman"/>
          <w:b/>
          <w:bCs/>
          <w:sz w:val="32"/>
          <w:szCs w:val="32"/>
          <w:highlight w:val="yellow"/>
        </w:rPr>
        <w:t>营业执照、组织</w:t>
      </w:r>
      <w:r>
        <w:rPr>
          <w:rFonts w:ascii="宋体" w:hAnsi="宋体" w:eastAsia="宋体" w:cs="Times New Roman"/>
          <w:b/>
          <w:bCs/>
          <w:sz w:val="32"/>
          <w:szCs w:val="32"/>
          <w:highlight w:val="yellow"/>
        </w:rPr>
        <w:t>机构</w:t>
      </w:r>
      <w:r>
        <w:rPr>
          <w:rFonts w:hint="eastAsia" w:ascii="宋体" w:hAnsi="宋体" w:eastAsia="宋体" w:cs="Times New Roman"/>
          <w:b/>
          <w:bCs/>
          <w:sz w:val="32"/>
          <w:szCs w:val="32"/>
          <w:highlight w:val="yellow"/>
        </w:rPr>
        <w:t>代码证、税务登记证（三证合一扫描件）</w:t>
      </w:r>
      <w:bookmarkEnd w:id="0"/>
    </w:p>
    <w:p>
      <w:pPr>
        <w:keepNext/>
        <w:keepLines/>
        <w:spacing w:before="260" w:after="260" w:line="416" w:lineRule="auto"/>
        <w:jc w:val="center"/>
        <w:outlineLvl w:val="2"/>
        <w:rPr>
          <w:rFonts w:hint="eastAsia" w:ascii="宋体" w:hAnsi="宋体" w:cs="Batang"/>
          <w:b/>
          <w:sz w:val="24"/>
          <w:szCs w:val="24"/>
        </w:rPr>
        <w:sectPr>
          <w:pgSz w:w="11906" w:h="16838"/>
          <w:pgMar w:top="1440" w:right="1800" w:bottom="1440" w:left="1800" w:header="851" w:footer="992" w:gutter="0"/>
          <w:cols w:space="425" w:num="1"/>
          <w:docGrid w:type="lines" w:linePitch="312" w:charSpace="0"/>
        </w:sectPr>
      </w:pPr>
    </w:p>
    <w:p>
      <w:pPr>
        <w:tabs>
          <w:tab w:val="left" w:pos="360"/>
        </w:tabs>
        <w:spacing w:before="156" w:beforeLines="50" w:after="156" w:afterLines="50" w:line="440" w:lineRule="exact"/>
        <w:rPr>
          <w:rFonts w:ascii="宋体" w:hAnsi="宋体" w:cs="Batang"/>
          <w:b/>
          <w:sz w:val="24"/>
          <w:szCs w:val="24"/>
        </w:rPr>
      </w:pPr>
      <w:r>
        <w:rPr>
          <w:rFonts w:hint="eastAsia" w:ascii="宋体" w:hAnsi="宋体" w:cs="Batang"/>
          <w:b/>
          <w:sz w:val="24"/>
          <w:szCs w:val="24"/>
        </w:rPr>
        <w:t>附件：廉洁承诺书</w:t>
      </w:r>
    </w:p>
    <w:p>
      <w:pPr>
        <w:spacing w:line="500" w:lineRule="exact"/>
        <w:ind w:firstLine="880"/>
        <w:jc w:val="center"/>
        <w:rPr>
          <w:rFonts w:ascii="华文楷体" w:hAnsi="华文楷体" w:eastAsia="华文楷体"/>
          <w:sz w:val="28"/>
          <w:szCs w:val="28"/>
        </w:rPr>
      </w:pPr>
      <w:r>
        <w:rPr>
          <w:rFonts w:hint="eastAsia" w:ascii="方正小标宋简体" w:eastAsia="方正小标宋简体"/>
          <w:sz w:val="32"/>
          <w:szCs w:val="32"/>
        </w:rPr>
        <w:t>廉洁承诺书</w:t>
      </w:r>
    </w:p>
    <w:p>
      <w:pPr>
        <w:spacing w:line="500" w:lineRule="exact"/>
        <w:ind w:firstLine="480" w:firstLineChars="200"/>
        <w:rPr>
          <w:sz w:val="24"/>
          <w:szCs w:val="24"/>
        </w:rPr>
      </w:pPr>
      <w:r>
        <w:rPr>
          <w:rFonts w:hint="eastAsia"/>
          <w:sz w:val="24"/>
          <w:szCs w:val="24"/>
        </w:rPr>
        <w:t>为增强廉洁从业意识，营造守法诚信、廉洁高效的工作环境，防止发生违法违纪行为，保护国家、集体和当事人的合法权益，安全有序的完成委托工作事项，</w:t>
      </w:r>
    </w:p>
    <w:p>
      <w:pPr>
        <w:spacing w:line="500" w:lineRule="exact"/>
        <w:rPr>
          <w:sz w:val="24"/>
          <w:szCs w:val="24"/>
        </w:rPr>
      </w:pPr>
      <w:r>
        <w:rPr>
          <w:rFonts w:hint="eastAsia"/>
          <w:sz w:val="24"/>
          <w:szCs w:val="24"/>
        </w:rPr>
        <w:t>在与甲方业务交往过程中，按照有关法律法规和程序开展工作，严格执行国家的有关方针、政策，并遵守以下规定：</w:t>
      </w:r>
    </w:p>
    <w:p>
      <w:pPr>
        <w:spacing w:line="500" w:lineRule="exact"/>
        <w:ind w:firstLine="480" w:firstLineChars="200"/>
        <w:rPr>
          <w:sz w:val="24"/>
          <w:szCs w:val="24"/>
        </w:rPr>
      </w:pPr>
      <w:r>
        <w:rPr>
          <w:rFonts w:hint="eastAsia"/>
          <w:sz w:val="24"/>
          <w:szCs w:val="24"/>
        </w:rPr>
        <w:t>（一）不以任何理由为甲方和相关单位报销应由对方或个人支付的费用；</w:t>
      </w:r>
    </w:p>
    <w:p>
      <w:pPr>
        <w:spacing w:line="500" w:lineRule="exact"/>
        <w:ind w:firstLine="480" w:firstLineChars="200"/>
        <w:rPr>
          <w:sz w:val="24"/>
          <w:szCs w:val="24"/>
        </w:rPr>
      </w:pPr>
      <w:r>
        <w:rPr>
          <w:rFonts w:hint="eastAsia"/>
          <w:sz w:val="24"/>
          <w:szCs w:val="24"/>
        </w:rPr>
        <w:t>（二）不以任何理由向甲方负责人及其工作人员赠送回扣、红包、礼金、购物卡、有价证券、贵重物品和好处费、感谢费等；</w:t>
      </w:r>
    </w:p>
    <w:p>
      <w:pPr>
        <w:spacing w:line="500" w:lineRule="exact"/>
        <w:ind w:firstLine="480" w:firstLineChars="200"/>
        <w:rPr>
          <w:sz w:val="24"/>
          <w:szCs w:val="24"/>
        </w:rPr>
      </w:pPr>
      <w:r>
        <w:rPr>
          <w:rFonts w:hint="eastAsia"/>
          <w:sz w:val="24"/>
          <w:szCs w:val="24"/>
        </w:rPr>
        <w:t>（三）不以任何理由为甲方、与甲方相关的单位或个人提供高消费宴请及娱乐活动；</w:t>
      </w:r>
    </w:p>
    <w:p>
      <w:pPr>
        <w:spacing w:line="500" w:lineRule="exact"/>
        <w:ind w:firstLine="480" w:firstLineChars="200"/>
        <w:rPr>
          <w:sz w:val="24"/>
          <w:szCs w:val="24"/>
        </w:rPr>
      </w:pPr>
      <w:r>
        <w:rPr>
          <w:rFonts w:hint="eastAsia"/>
          <w:sz w:val="24"/>
          <w:szCs w:val="24"/>
        </w:rPr>
        <w:t>（四）不以任何理由为甲方、与甲方相关的单位或个人购置或提供通讯工具、交通工具和高档办公用品；</w:t>
      </w:r>
    </w:p>
    <w:p>
      <w:pPr>
        <w:spacing w:line="500" w:lineRule="exact"/>
        <w:ind w:firstLine="480" w:firstLineChars="200"/>
        <w:rPr>
          <w:sz w:val="24"/>
          <w:szCs w:val="24"/>
        </w:rPr>
      </w:pPr>
      <w:r>
        <w:rPr>
          <w:rFonts w:hint="eastAsia"/>
          <w:sz w:val="24"/>
          <w:szCs w:val="24"/>
        </w:rPr>
        <w:t>（五）不接受或暗示为甲方、与甲方相关的单位或个人装修住房、婚丧嫁取、配偶子女的工作安排以及境内外旅游等提供方便；</w:t>
      </w:r>
    </w:p>
    <w:p>
      <w:pPr>
        <w:spacing w:line="500" w:lineRule="exact"/>
        <w:ind w:firstLine="480" w:firstLineChars="200"/>
        <w:rPr>
          <w:rFonts w:eastAsia="宋体"/>
          <w:sz w:val="24"/>
          <w:szCs w:val="24"/>
        </w:rPr>
      </w:pPr>
      <w:r>
        <w:rPr>
          <w:rFonts w:hint="eastAsia"/>
          <w:sz w:val="24"/>
          <w:szCs w:val="24"/>
        </w:rPr>
        <w:t>（六）不以谋取非正当利益为目的，擅自与甲方工作人员就业务问题进行私下商谈或者达成利益默契；</w:t>
      </w:r>
    </w:p>
    <w:p>
      <w:pPr>
        <w:spacing w:line="500" w:lineRule="exact"/>
        <w:ind w:firstLine="480" w:firstLineChars="200"/>
        <w:rPr>
          <w:sz w:val="24"/>
          <w:szCs w:val="24"/>
        </w:rPr>
      </w:pPr>
      <w:r>
        <w:rPr>
          <w:rFonts w:hint="eastAsia"/>
          <w:sz w:val="24"/>
          <w:szCs w:val="24"/>
        </w:rPr>
        <w:t>（七）发现甲方工作人员有违反本廉洁协议书规定的，应向甲方单位举报。</w:t>
      </w:r>
      <w:r>
        <w:rPr>
          <w:sz w:val="24"/>
          <w:szCs w:val="24"/>
        </w:rPr>
        <w:t xml:space="preserve"> </w:t>
      </w:r>
    </w:p>
    <w:p>
      <w:pPr>
        <w:spacing w:line="500" w:lineRule="exact"/>
        <w:ind w:firstLine="480" w:firstLineChars="200"/>
        <w:rPr>
          <w:color w:val="000000"/>
          <w:sz w:val="24"/>
          <w:szCs w:val="24"/>
        </w:rPr>
      </w:pPr>
      <w:r>
        <w:rPr>
          <w:rFonts w:hint="eastAsia"/>
          <w:sz w:val="24"/>
          <w:szCs w:val="24"/>
        </w:rPr>
        <w:t>（八）本廉洁承诺书作为询价书的附件，在业务关系存续期间有效。</w:t>
      </w:r>
    </w:p>
    <w:p>
      <w:pPr>
        <w:ind w:firstLine="6000" w:firstLineChars="2500"/>
        <w:jc w:val="left"/>
        <w:rPr>
          <w:rFonts w:ascii="宋体" w:hAnsi="宋体"/>
          <w:color w:val="000000"/>
          <w:sz w:val="24"/>
          <w:szCs w:val="24"/>
        </w:rPr>
      </w:pPr>
    </w:p>
    <w:p>
      <w:pPr>
        <w:ind w:firstLine="4320" w:firstLineChars="1800"/>
        <w:jc w:val="left"/>
        <w:rPr>
          <w:rFonts w:ascii="宋体" w:hAnsi="宋体"/>
          <w:color w:val="000000"/>
          <w:sz w:val="24"/>
          <w:szCs w:val="24"/>
        </w:rPr>
      </w:pPr>
      <w:r>
        <w:rPr>
          <w:rFonts w:hint="eastAsia" w:ascii="宋体" w:hAnsi="宋体"/>
          <w:color w:val="000000"/>
          <w:sz w:val="24"/>
          <w:szCs w:val="24"/>
        </w:rPr>
        <w:t>承诺单位（签字/盖章）：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ascii="宋体" w:hAnsi="宋体"/>
          <w:color w:val="000000"/>
          <w:sz w:val="24"/>
          <w:szCs w:val="24"/>
        </w:rPr>
      </w:pPr>
      <w:r>
        <w:rPr>
          <w:rFonts w:hint="eastAsia" w:ascii="宋体" w:hAnsi="宋体"/>
          <w:color w:val="000000"/>
          <w:sz w:val="24"/>
          <w:szCs w:val="24"/>
        </w:rPr>
        <w:t xml:space="preserve">            </w:t>
      </w:r>
    </w:p>
    <w:p>
      <w:pPr>
        <w:jc w:val="right"/>
      </w:pPr>
      <w:r>
        <w:rPr>
          <w:rFonts w:hint="eastAsia" w:ascii="宋体" w:hAnsi="宋体"/>
          <w:color w:val="000000"/>
          <w:sz w:val="24"/>
          <w:szCs w:val="24"/>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embedRegular r:id="rId1" w:fontKey="{EDFC7733-BAE0-4873-92D2-619D10C68794}"/>
  </w:font>
  <w:font w:name="font-weight : 400">
    <w:altName w:val="Segoe Print"/>
    <w:panose1 w:val="00000000000000000000"/>
    <w:charset w:val="00"/>
    <w:family w:val="auto"/>
    <w:pitch w:val="default"/>
    <w:sig w:usb0="00000000" w:usb1="00000000" w:usb2="00000000" w:usb3="00000000" w:csb0="00000000" w:csb1="00000000"/>
    <w:embedRegular r:id="rId2" w:fontKey="{43AD60E4-B8E5-4FD8-96F4-00A015089A20}"/>
  </w:font>
  <w:font w:name="CESI_SS_GB18030">
    <w:altName w:val="宋体"/>
    <w:panose1 w:val="02000500000000000000"/>
    <w:charset w:val="86"/>
    <w:family w:val="auto"/>
    <w:pitch w:val="default"/>
    <w:sig w:usb0="00000000" w:usb1="00000000" w:usb2="00000016" w:usb3="00000000" w:csb0="0004000F" w:csb1="00000000"/>
    <w:embedRegular r:id="rId3" w:fontKey="{274DE8D1-320F-48B1-8B50-C85E9817B7F3}"/>
  </w:font>
  <w:font w:name="Batang">
    <w:panose1 w:val="02030600000101010101"/>
    <w:charset w:val="81"/>
    <w:family w:val="roman"/>
    <w:pitch w:val="default"/>
    <w:sig w:usb0="B00002AF" w:usb1="69D77CFB" w:usb2="00000030" w:usb3="00000000" w:csb0="4008009F" w:csb1="DFD70000"/>
    <w:embedRegular r:id="rId4" w:fontKey="{E61B3982-D25A-4A4F-8A5C-F17721169647}"/>
  </w:font>
  <w:font w:name="华文楷体">
    <w:panose1 w:val="02010600040101010101"/>
    <w:charset w:val="86"/>
    <w:family w:val="auto"/>
    <w:pitch w:val="default"/>
    <w:sig w:usb0="00000287" w:usb1="080F0000" w:usb2="00000000" w:usb3="00000000" w:csb0="0004009F" w:csb1="DFD70000"/>
    <w:embedRegular r:id="rId5" w:fontKey="{1DBF08B1-B62E-49A7-9CBE-AFE74C128956}"/>
  </w:font>
  <w:font w:name="方正小标宋简体">
    <w:panose1 w:val="03000509000000000000"/>
    <w:charset w:val="86"/>
    <w:family w:val="auto"/>
    <w:pitch w:val="default"/>
    <w:sig w:usb0="00000001" w:usb1="080E0000" w:usb2="00000000" w:usb3="00000000" w:csb0="00040000" w:csb1="00000000"/>
    <w:embedRegular r:id="rId6" w:fontKey="{91FD8C32-0E54-48E0-BB1F-3C8329FD057E}"/>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xMzU0NTg5MDc5ZGQwYWE1MDQ1MDNmYjY0MDU4YTYifQ=="/>
  </w:docVars>
  <w:rsids>
    <w:rsidRoot w:val="782266EE"/>
    <w:rsid w:val="001A1504"/>
    <w:rsid w:val="0020772F"/>
    <w:rsid w:val="002D2146"/>
    <w:rsid w:val="00521CCB"/>
    <w:rsid w:val="005247CE"/>
    <w:rsid w:val="00545455"/>
    <w:rsid w:val="005858E4"/>
    <w:rsid w:val="005C4D2E"/>
    <w:rsid w:val="00791E72"/>
    <w:rsid w:val="007F27CB"/>
    <w:rsid w:val="008A347D"/>
    <w:rsid w:val="00B71493"/>
    <w:rsid w:val="00C32A13"/>
    <w:rsid w:val="00DF770A"/>
    <w:rsid w:val="00E15496"/>
    <w:rsid w:val="00E645F8"/>
    <w:rsid w:val="00FE055B"/>
    <w:rsid w:val="00FE5B7E"/>
    <w:rsid w:val="010B6D68"/>
    <w:rsid w:val="011E6BE5"/>
    <w:rsid w:val="01245A0A"/>
    <w:rsid w:val="01E21263"/>
    <w:rsid w:val="023043E3"/>
    <w:rsid w:val="02391BF0"/>
    <w:rsid w:val="02521D8D"/>
    <w:rsid w:val="02870AB8"/>
    <w:rsid w:val="02F14A88"/>
    <w:rsid w:val="0354759C"/>
    <w:rsid w:val="03933317"/>
    <w:rsid w:val="03CE5F43"/>
    <w:rsid w:val="042E5633"/>
    <w:rsid w:val="044A79F5"/>
    <w:rsid w:val="04557B39"/>
    <w:rsid w:val="045F303F"/>
    <w:rsid w:val="04BA01F9"/>
    <w:rsid w:val="04DF01D3"/>
    <w:rsid w:val="055A508B"/>
    <w:rsid w:val="059F1690"/>
    <w:rsid w:val="05AF5900"/>
    <w:rsid w:val="05B02E1E"/>
    <w:rsid w:val="05C14567"/>
    <w:rsid w:val="05E97064"/>
    <w:rsid w:val="06657E23"/>
    <w:rsid w:val="06A24AE7"/>
    <w:rsid w:val="06F23CF7"/>
    <w:rsid w:val="07167F79"/>
    <w:rsid w:val="07177C01"/>
    <w:rsid w:val="076170CE"/>
    <w:rsid w:val="0786509D"/>
    <w:rsid w:val="07927288"/>
    <w:rsid w:val="07D958B8"/>
    <w:rsid w:val="07E47904"/>
    <w:rsid w:val="089878F7"/>
    <w:rsid w:val="09214F15"/>
    <w:rsid w:val="09406A98"/>
    <w:rsid w:val="094720A5"/>
    <w:rsid w:val="09491773"/>
    <w:rsid w:val="0A64778B"/>
    <w:rsid w:val="0AAB0D8C"/>
    <w:rsid w:val="0AB601A5"/>
    <w:rsid w:val="0AD06DC4"/>
    <w:rsid w:val="0AEB73DB"/>
    <w:rsid w:val="0B094DFD"/>
    <w:rsid w:val="0B8C1536"/>
    <w:rsid w:val="0C6D2071"/>
    <w:rsid w:val="0C9C0D15"/>
    <w:rsid w:val="0CB657C6"/>
    <w:rsid w:val="0CBB0300"/>
    <w:rsid w:val="0CCC104B"/>
    <w:rsid w:val="0D207ACB"/>
    <w:rsid w:val="0D7A0EF6"/>
    <w:rsid w:val="0DB42842"/>
    <w:rsid w:val="0DCD1019"/>
    <w:rsid w:val="0DD759F4"/>
    <w:rsid w:val="0E372937"/>
    <w:rsid w:val="0E5136D5"/>
    <w:rsid w:val="0E7565F4"/>
    <w:rsid w:val="0E8477F8"/>
    <w:rsid w:val="0ED96826"/>
    <w:rsid w:val="0F1D61B1"/>
    <w:rsid w:val="0FFF7484"/>
    <w:rsid w:val="10065010"/>
    <w:rsid w:val="109E6C9D"/>
    <w:rsid w:val="10A625D7"/>
    <w:rsid w:val="10B669D8"/>
    <w:rsid w:val="10ED286C"/>
    <w:rsid w:val="11C16EA0"/>
    <w:rsid w:val="11DA6480"/>
    <w:rsid w:val="12376050"/>
    <w:rsid w:val="126B219E"/>
    <w:rsid w:val="12E3308D"/>
    <w:rsid w:val="130E34D1"/>
    <w:rsid w:val="133236CD"/>
    <w:rsid w:val="13367661"/>
    <w:rsid w:val="13394A5B"/>
    <w:rsid w:val="134F3B3E"/>
    <w:rsid w:val="14BE5778"/>
    <w:rsid w:val="14FF7972"/>
    <w:rsid w:val="15192D96"/>
    <w:rsid w:val="154E794C"/>
    <w:rsid w:val="15CB41CE"/>
    <w:rsid w:val="15DA4667"/>
    <w:rsid w:val="16197FD9"/>
    <w:rsid w:val="16677B31"/>
    <w:rsid w:val="16C94348"/>
    <w:rsid w:val="170046E2"/>
    <w:rsid w:val="17487963"/>
    <w:rsid w:val="17507633"/>
    <w:rsid w:val="17585921"/>
    <w:rsid w:val="178F07FA"/>
    <w:rsid w:val="17BA65DB"/>
    <w:rsid w:val="17C3523B"/>
    <w:rsid w:val="17E94844"/>
    <w:rsid w:val="17FD699F"/>
    <w:rsid w:val="1808755D"/>
    <w:rsid w:val="180D75BF"/>
    <w:rsid w:val="186500A0"/>
    <w:rsid w:val="18A73D3C"/>
    <w:rsid w:val="18B264E8"/>
    <w:rsid w:val="194351F8"/>
    <w:rsid w:val="19636CF3"/>
    <w:rsid w:val="1A717AC2"/>
    <w:rsid w:val="1ADC0142"/>
    <w:rsid w:val="1AF44089"/>
    <w:rsid w:val="1B3C333B"/>
    <w:rsid w:val="1B4D19EC"/>
    <w:rsid w:val="1B8D21E1"/>
    <w:rsid w:val="1BB04DA7"/>
    <w:rsid w:val="1CAE2016"/>
    <w:rsid w:val="1CD557F5"/>
    <w:rsid w:val="1CDB621D"/>
    <w:rsid w:val="1CDD0B4D"/>
    <w:rsid w:val="1CF24FB3"/>
    <w:rsid w:val="1DDA6E3B"/>
    <w:rsid w:val="1DDE0EB6"/>
    <w:rsid w:val="1E2E5EA8"/>
    <w:rsid w:val="1E4C75DC"/>
    <w:rsid w:val="1EE12B77"/>
    <w:rsid w:val="1F1840BF"/>
    <w:rsid w:val="1F1D7927"/>
    <w:rsid w:val="1F3E1F2E"/>
    <w:rsid w:val="1F3E409F"/>
    <w:rsid w:val="1FCA360B"/>
    <w:rsid w:val="1FF71F26"/>
    <w:rsid w:val="1FFD1092"/>
    <w:rsid w:val="20562558"/>
    <w:rsid w:val="20566C4C"/>
    <w:rsid w:val="20711CEA"/>
    <w:rsid w:val="2076109D"/>
    <w:rsid w:val="20841E8F"/>
    <w:rsid w:val="20E424AA"/>
    <w:rsid w:val="21301B23"/>
    <w:rsid w:val="219D762A"/>
    <w:rsid w:val="219F2BEF"/>
    <w:rsid w:val="21AD00A0"/>
    <w:rsid w:val="21AF090B"/>
    <w:rsid w:val="21BF6A73"/>
    <w:rsid w:val="21C8366E"/>
    <w:rsid w:val="21CA38C1"/>
    <w:rsid w:val="21D53285"/>
    <w:rsid w:val="22161825"/>
    <w:rsid w:val="224551CB"/>
    <w:rsid w:val="22BD2FB3"/>
    <w:rsid w:val="22E91FFA"/>
    <w:rsid w:val="23005595"/>
    <w:rsid w:val="23856D93"/>
    <w:rsid w:val="239E7108"/>
    <w:rsid w:val="23A0585C"/>
    <w:rsid w:val="23FF386A"/>
    <w:rsid w:val="2428607B"/>
    <w:rsid w:val="248F6BD1"/>
    <w:rsid w:val="253759C0"/>
    <w:rsid w:val="253B4663"/>
    <w:rsid w:val="25781AD9"/>
    <w:rsid w:val="265D679B"/>
    <w:rsid w:val="266433E7"/>
    <w:rsid w:val="269314E9"/>
    <w:rsid w:val="277C0980"/>
    <w:rsid w:val="27D210D5"/>
    <w:rsid w:val="27F200C3"/>
    <w:rsid w:val="28684C23"/>
    <w:rsid w:val="288E34AB"/>
    <w:rsid w:val="28983CD0"/>
    <w:rsid w:val="29BB751B"/>
    <w:rsid w:val="2A0B4CC0"/>
    <w:rsid w:val="2A3811BA"/>
    <w:rsid w:val="2AE43DC1"/>
    <w:rsid w:val="2B1166F3"/>
    <w:rsid w:val="2B8E1990"/>
    <w:rsid w:val="2CA172B8"/>
    <w:rsid w:val="2CCE2260"/>
    <w:rsid w:val="2D870D8D"/>
    <w:rsid w:val="2E05053B"/>
    <w:rsid w:val="2E0979F4"/>
    <w:rsid w:val="3098536A"/>
    <w:rsid w:val="30C419B0"/>
    <w:rsid w:val="30EB1FD9"/>
    <w:rsid w:val="31501496"/>
    <w:rsid w:val="31867CE1"/>
    <w:rsid w:val="31AE78A1"/>
    <w:rsid w:val="32277E9A"/>
    <w:rsid w:val="32544FB6"/>
    <w:rsid w:val="32AE46C6"/>
    <w:rsid w:val="32E91BA2"/>
    <w:rsid w:val="33173DBD"/>
    <w:rsid w:val="3359469F"/>
    <w:rsid w:val="336F32B6"/>
    <w:rsid w:val="33851779"/>
    <w:rsid w:val="33865643"/>
    <w:rsid w:val="339935C8"/>
    <w:rsid w:val="341A3311"/>
    <w:rsid w:val="34264730"/>
    <w:rsid w:val="345F4FA4"/>
    <w:rsid w:val="347B6233"/>
    <w:rsid w:val="34BF0E0C"/>
    <w:rsid w:val="3568369D"/>
    <w:rsid w:val="359D5D9D"/>
    <w:rsid w:val="359E1C40"/>
    <w:rsid w:val="36074B92"/>
    <w:rsid w:val="361D78A7"/>
    <w:rsid w:val="36545E50"/>
    <w:rsid w:val="36F61A9D"/>
    <w:rsid w:val="372873A9"/>
    <w:rsid w:val="375872F6"/>
    <w:rsid w:val="37CF580A"/>
    <w:rsid w:val="38961E84"/>
    <w:rsid w:val="38A55DD2"/>
    <w:rsid w:val="38B927E7"/>
    <w:rsid w:val="397877DC"/>
    <w:rsid w:val="39BD0505"/>
    <w:rsid w:val="39CE1C19"/>
    <w:rsid w:val="3A1F234D"/>
    <w:rsid w:val="3ACC4283"/>
    <w:rsid w:val="3ADB03EF"/>
    <w:rsid w:val="3AFD56E5"/>
    <w:rsid w:val="3B4200A1"/>
    <w:rsid w:val="3B443E1A"/>
    <w:rsid w:val="3B9308FD"/>
    <w:rsid w:val="3C266366"/>
    <w:rsid w:val="3C4F6F1A"/>
    <w:rsid w:val="3CD70AAB"/>
    <w:rsid w:val="3CEA419B"/>
    <w:rsid w:val="3D41032F"/>
    <w:rsid w:val="3D6754F1"/>
    <w:rsid w:val="3E335F0F"/>
    <w:rsid w:val="3E5F540E"/>
    <w:rsid w:val="3E97617D"/>
    <w:rsid w:val="3EAA1604"/>
    <w:rsid w:val="3F243599"/>
    <w:rsid w:val="3F367F1D"/>
    <w:rsid w:val="3F377E20"/>
    <w:rsid w:val="3F86185F"/>
    <w:rsid w:val="3FA64287"/>
    <w:rsid w:val="3FC419FC"/>
    <w:rsid w:val="3FE4182D"/>
    <w:rsid w:val="400802AA"/>
    <w:rsid w:val="402F3F8F"/>
    <w:rsid w:val="405B62CB"/>
    <w:rsid w:val="40754A75"/>
    <w:rsid w:val="408C07F3"/>
    <w:rsid w:val="419B050B"/>
    <w:rsid w:val="419C3C14"/>
    <w:rsid w:val="41BB4282"/>
    <w:rsid w:val="41DF2E01"/>
    <w:rsid w:val="41E45B00"/>
    <w:rsid w:val="41EA4FEF"/>
    <w:rsid w:val="42040A67"/>
    <w:rsid w:val="42723962"/>
    <w:rsid w:val="429A3E2F"/>
    <w:rsid w:val="42C341BE"/>
    <w:rsid w:val="42E966D2"/>
    <w:rsid w:val="430F5586"/>
    <w:rsid w:val="43352A91"/>
    <w:rsid w:val="43D61873"/>
    <w:rsid w:val="448259B3"/>
    <w:rsid w:val="448C1F56"/>
    <w:rsid w:val="44C155BB"/>
    <w:rsid w:val="44F22A30"/>
    <w:rsid w:val="452F78E8"/>
    <w:rsid w:val="454B4856"/>
    <w:rsid w:val="45D0028A"/>
    <w:rsid w:val="45D466E2"/>
    <w:rsid w:val="462803DC"/>
    <w:rsid w:val="46565349"/>
    <w:rsid w:val="46566583"/>
    <w:rsid w:val="46571746"/>
    <w:rsid w:val="46EC6727"/>
    <w:rsid w:val="46F30DEA"/>
    <w:rsid w:val="47015186"/>
    <w:rsid w:val="473E2065"/>
    <w:rsid w:val="47541D2E"/>
    <w:rsid w:val="48637284"/>
    <w:rsid w:val="4895529D"/>
    <w:rsid w:val="4965333B"/>
    <w:rsid w:val="49B02754"/>
    <w:rsid w:val="49DA0F6D"/>
    <w:rsid w:val="49E304B0"/>
    <w:rsid w:val="4A5D78CF"/>
    <w:rsid w:val="4A803898"/>
    <w:rsid w:val="4AD41CA9"/>
    <w:rsid w:val="4B9A5CD8"/>
    <w:rsid w:val="4BC00595"/>
    <w:rsid w:val="4BE62CCB"/>
    <w:rsid w:val="4C3103EA"/>
    <w:rsid w:val="4CDA6626"/>
    <w:rsid w:val="4D0A4797"/>
    <w:rsid w:val="4D0B20F6"/>
    <w:rsid w:val="4E2E6325"/>
    <w:rsid w:val="4E367387"/>
    <w:rsid w:val="4E527FC4"/>
    <w:rsid w:val="4E630C01"/>
    <w:rsid w:val="4E821B43"/>
    <w:rsid w:val="4E854F25"/>
    <w:rsid w:val="4E8642F1"/>
    <w:rsid w:val="4EC62B85"/>
    <w:rsid w:val="4F302409"/>
    <w:rsid w:val="4F964317"/>
    <w:rsid w:val="4FC377D9"/>
    <w:rsid w:val="501F49FD"/>
    <w:rsid w:val="503C735D"/>
    <w:rsid w:val="503F0474"/>
    <w:rsid w:val="505A2FFA"/>
    <w:rsid w:val="50A51B84"/>
    <w:rsid w:val="50B213CE"/>
    <w:rsid w:val="50BD2394"/>
    <w:rsid w:val="50E5187F"/>
    <w:rsid w:val="50E85999"/>
    <w:rsid w:val="50F6079F"/>
    <w:rsid w:val="513B3ABC"/>
    <w:rsid w:val="513E6709"/>
    <w:rsid w:val="514054C7"/>
    <w:rsid w:val="51493AE0"/>
    <w:rsid w:val="51720BA6"/>
    <w:rsid w:val="51752340"/>
    <w:rsid w:val="51EC265D"/>
    <w:rsid w:val="52065E75"/>
    <w:rsid w:val="538A5BE3"/>
    <w:rsid w:val="53F70E9A"/>
    <w:rsid w:val="53F71F19"/>
    <w:rsid w:val="54134879"/>
    <w:rsid w:val="54AB4AB2"/>
    <w:rsid w:val="55342970"/>
    <w:rsid w:val="55444566"/>
    <w:rsid w:val="55630EE8"/>
    <w:rsid w:val="55A97243"/>
    <w:rsid w:val="55C8590C"/>
    <w:rsid w:val="55CD2BCE"/>
    <w:rsid w:val="55D20F47"/>
    <w:rsid w:val="561E7C1B"/>
    <w:rsid w:val="56AB5315"/>
    <w:rsid w:val="576B5C20"/>
    <w:rsid w:val="57787EC2"/>
    <w:rsid w:val="57961EBA"/>
    <w:rsid w:val="579655A5"/>
    <w:rsid w:val="57B30168"/>
    <w:rsid w:val="57C82F29"/>
    <w:rsid w:val="57D75472"/>
    <w:rsid w:val="58116C3C"/>
    <w:rsid w:val="58421289"/>
    <w:rsid w:val="584E40D2"/>
    <w:rsid w:val="586D648B"/>
    <w:rsid w:val="588F0CB5"/>
    <w:rsid w:val="59035687"/>
    <w:rsid w:val="593021EC"/>
    <w:rsid w:val="596039F1"/>
    <w:rsid w:val="596C0CB3"/>
    <w:rsid w:val="59795512"/>
    <w:rsid w:val="597A240B"/>
    <w:rsid w:val="598649EC"/>
    <w:rsid w:val="59EA5857"/>
    <w:rsid w:val="5A0F163F"/>
    <w:rsid w:val="5A274BDA"/>
    <w:rsid w:val="5A807DAF"/>
    <w:rsid w:val="5B0D6BCF"/>
    <w:rsid w:val="5B530BE3"/>
    <w:rsid w:val="5BE2262B"/>
    <w:rsid w:val="5BF154A0"/>
    <w:rsid w:val="5C107728"/>
    <w:rsid w:val="5C381321"/>
    <w:rsid w:val="5C8063E6"/>
    <w:rsid w:val="5CB53DD7"/>
    <w:rsid w:val="5D030151"/>
    <w:rsid w:val="5D4930BA"/>
    <w:rsid w:val="5D55798B"/>
    <w:rsid w:val="5D8B1FD6"/>
    <w:rsid w:val="5D8D744A"/>
    <w:rsid w:val="5D942587"/>
    <w:rsid w:val="5DC72825"/>
    <w:rsid w:val="5E3C677A"/>
    <w:rsid w:val="5EB00E29"/>
    <w:rsid w:val="5F2F7983"/>
    <w:rsid w:val="5F48187B"/>
    <w:rsid w:val="5F585836"/>
    <w:rsid w:val="5FFA069B"/>
    <w:rsid w:val="60082DB8"/>
    <w:rsid w:val="600B28A8"/>
    <w:rsid w:val="60602BF4"/>
    <w:rsid w:val="60E829B1"/>
    <w:rsid w:val="60EE71EE"/>
    <w:rsid w:val="61176028"/>
    <w:rsid w:val="6151078F"/>
    <w:rsid w:val="617C3A5E"/>
    <w:rsid w:val="61955803"/>
    <w:rsid w:val="62375B13"/>
    <w:rsid w:val="625811B1"/>
    <w:rsid w:val="63584057"/>
    <w:rsid w:val="63D70C72"/>
    <w:rsid w:val="6407059F"/>
    <w:rsid w:val="64120551"/>
    <w:rsid w:val="6424211E"/>
    <w:rsid w:val="64417270"/>
    <w:rsid w:val="647A4A89"/>
    <w:rsid w:val="647E28C5"/>
    <w:rsid w:val="648570CD"/>
    <w:rsid w:val="64A04FBF"/>
    <w:rsid w:val="64A137F3"/>
    <w:rsid w:val="64C76ABF"/>
    <w:rsid w:val="64F56864"/>
    <w:rsid w:val="65237792"/>
    <w:rsid w:val="655041BA"/>
    <w:rsid w:val="656D3487"/>
    <w:rsid w:val="65F041B9"/>
    <w:rsid w:val="65F21201"/>
    <w:rsid w:val="66176767"/>
    <w:rsid w:val="66A7086B"/>
    <w:rsid w:val="66F3762E"/>
    <w:rsid w:val="67256946"/>
    <w:rsid w:val="67B27DA9"/>
    <w:rsid w:val="67D177D9"/>
    <w:rsid w:val="68876BBB"/>
    <w:rsid w:val="68B03437"/>
    <w:rsid w:val="68E1064A"/>
    <w:rsid w:val="69C24051"/>
    <w:rsid w:val="6A4D53A3"/>
    <w:rsid w:val="6A9E2C97"/>
    <w:rsid w:val="6AB76B43"/>
    <w:rsid w:val="6B0C5E52"/>
    <w:rsid w:val="6B32518D"/>
    <w:rsid w:val="6B4A0F65"/>
    <w:rsid w:val="6B767770"/>
    <w:rsid w:val="6B841E74"/>
    <w:rsid w:val="6BEF0C7A"/>
    <w:rsid w:val="6BF23ABF"/>
    <w:rsid w:val="6D38061F"/>
    <w:rsid w:val="6D5D432A"/>
    <w:rsid w:val="6D644FDF"/>
    <w:rsid w:val="6DCE5641"/>
    <w:rsid w:val="6E036D20"/>
    <w:rsid w:val="6E126D65"/>
    <w:rsid w:val="6E660B18"/>
    <w:rsid w:val="6E753D0F"/>
    <w:rsid w:val="6E775CD9"/>
    <w:rsid w:val="6E9A5523"/>
    <w:rsid w:val="6EC201FF"/>
    <w:rsid w:val="6F667AFB"/>
    <w:rsid w:val="6F811C86"/>
    <w:rsid w:val="6F9401C4"/>
    <w:rsid w:val="702017A0"/>
    <w:rsid w:val="705636CC"/>
    <w:rsid w:val="707A6463"/>
    <w:rsid w:val="70A22DB5"/>
    <w:rsid w:val="70D93F49"/>
    <w:rsid w:val="70FC2C51"/>
    <w:rsid w:val="71371D60"/>
    <w:rsid w:val="71DE6C5C"/>
    <w:rsid w:val="71F9266C"/>
    <w:rsid w:val="71FC19CD"/>
    <w:rsid w:val="720A5939"/>
    <w:rsid w:val="723143F0"/>
    <w:rsid w:val="7237107B"/>
    <w:rsid w:val="72484245"/>
    <w:rsid w:val="726E11A1"/>
    <w:rsid w:val="72F777E7"/>
    <w:rsid w:val="732A5A5A"/>
    <w:rsid w:val="733A5527"/>
    <w:rsid w:val="73B250BD"/>
    <w:rsid w:val="73B9644B"/>
    <w:rsid w:val="73DE5EB2"/>
    <w:rsid w:val="74171692"/>
    <w:rsid w:val="74485B23"/>
    <w:rsid w:val="74512B28"/>
    <w:rsid w:val="7456013E"/>
    <w:rsid w:val="74790F7F"/>
    <w:rsid w:val="74CF767D"/>
    <w:rsid w:val="74FF4332"/>
    <w:rsid w:val="753320FC"/>
    <w:rsid w:val="7554129F"/>
    <w:rsid w:val="757E5B9F"/>
    <w:rsid w:val="757E62FE"/>
    <w:rsid w:val="75A05F4B"/>
    <w:rsid w:val="75C478EC"/>
    <w:rsid w:val="76F40A25"/>
    <w:rsid w:val="7735006E"/>
    <w:rsid w:val="775B0E53"/>
    <w:rsid w:val="782266EE"/>
    <w:rsid w:val="7836450F"/>
    <w:rsid w:val="786D76B6"/>
    <w:rsid w:val="7879140C"/>
    <w:rsid w:val="78AF2D9B"/>
    <w:rsid w:val="78E263A9"/>
    <w:rsid w:val="79440EAD"/>
    <w:rsid w:val="7960607D"/>
    <w:rsid w:val="7A05297A"/>
    <w:rsid w:val="7A172A1B"/>
    <w:rsid w:val="7A240CDE"/>
    <w:rsid w:val="7A68769D"/>
    <w:rsid w:val="7A8D0632"/>
    <w:rsid w:val="7B433A1C"/>
    <w:rsid w:val="7B725947"/>
    <w:rsid w:val="7B8967A4"/>
    <w:rsid w:val="7C0367C0"/>
    <w:rsid w:val="7C0A3BF4"/>
    <w:rsid w:val="7C3D5117"/>
    <w:rsid w:val="7C7907FF"/>
    <w:rsid w:val="7C7970C0"/>
    <w:rsid w:val="7CDF1D4A"/>
    <w:rsid w:val="7CF55222"/>
    <w:rsid w:val="7D7D673C"/>
    <w:rsid w:val="7DB36601"/>
    <w:rsid w:val="7E0F599D"/>
    <w:rsid w:val="7E4454AB"/>
    <w:rsid w:val="7EED78F1"/>
    <w:rsid w:val="7EF20628"/>
    <w:rsid w:val="7F643A24"/>
    <w:rsid w:val="7F81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ind w:firstLine="880" w:firstLineChars="200"/>
    </w:pPr>
    <w:rPr>
      <w:rFonts w:ascii="仿宋_GB2312" w:hAnsi="仿宋_GB2312" w:eastAsia="仿宋_GB2312" w:cs="Arial"/>
      <w:sz w:val="32"/>
      <w:szCs w:val="20"/>
    </w:r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0"/>
    <w:rPr>
      <w:rFonts w:asciiTheme="minorHAnsi" w:hAnsiTheme="minorHAnsi" w:eastAsiaTheme="minorEastAsia" w:cstheme="minorBidi"/>
      <w:kern w:val="2"/>
      <w:sz w:val="18"/>
      <w:szCs w:val="18"/>
    </w:rPr>
  </w:style>
  <w:style w:type="character" w:customStyle="1" w:styleId="10">
    <w:name w:val="页脚 字符"/>
    <w:basedOn w:val="8"/>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1235</Words>
  <Characters>1268</Characters>
  <Lines>183</Lines>
  <Paragraphs>143</Paragraphs>
  <TotalTime>2</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2021-08-12T01:27:00Z</dcterms:created>
  <dc:creator>张熙刚</dc:creator>
  <cp:lastModifiedBy>hezhenhua2</cp:lastModifiedBy>
  <cp:lastPrinted>2024-03-06T06:33:00Z</cp:lastPrinted>
  <dcterms:modified xsi:type="dcterms:W3CDTF">2026-06-03T02:54:13Z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5A9A2F103A574AF7A48BBBD59609035F_13</vt:lpwstr>
  </property>
  <property fmtid="{D5CDD505-2E9C-101B-9397-08002B2CF9AE}" pid="4" name="KSOTemplateDocerSaveRecord">
    <vt:lpwstr>eyJoZGlkIjoiNmUxYTYyN2Q2OGNlODIwZmVhNTE1OTNmMmJhYTRjMjkiLCJ1c2VySWQiOiIxNzgwNjE0MzgxIn0=</vt:lpwstr>
  </property>
</Properties>
</file>