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Times New Roman"/>
          <w:sz w:val="20"/>
        </w:rPr>
      </w:pPr>
      <w:r>
        <w:drawing>
          <wp:anchor distT="0" distB="0" distL="0" distR="0" simplePos="0" relativeHeight="251659264" behindDoc="1" locked="0" layoutInCell="1" allowOverlap="1">
            <wp:simplePos x="0" y="0"/>
            <wp:positionH relativeFrom="page">
              <wp:posOffset>0</wp:posOffset>
            </wp:positionH>
            <wp:positionV relativeFrom="page">
              <wp:posOffset>0</wp:posOffset>
            </wp:positionV>
            <wp:extent cx="7560310" cy="2494915"/>
            <wp:effectExtent l="0" t="0" r="2540" b="63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4" cstate="print"/>
                    <a:stretch>
                      <a:fillRect/>
                    </a:stretch>
                  </pic:blipFill>
                  <pic:spPr>
                    <a:xfrm>
                      <a:off x="0" y="0"/>
                      <a:ext cx="7560309" cy="2494787"/>
                    </a:xfrm>
                    <a:prstGeom prst="rect">
                      <a:avLst/>
                    </a:prstGeom>
                  </pic:spPr>
                </pic:pic>
              </a:graphicData>
            </a:graphic>
          </wp:anchor>
        </w:drawing>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tabs>
          <w:tab w:val="left" w:pos="3382"/>
        </w:tabs>
        <w:rPr>
          <w:rFonts w:hint="eastAsia" w:ascii="Times New Roman" w:eastAsia="仿宋_GB2312"/>
          <w:sz w:val="20"/>
          <w:lang w:eastAsia="zh-CN"/>
        </w:rPr>
      </w:pPr>
    </w:p>
    <w:p>
      <w:pPr>
        <w:pStyle w:val="2"/>
        <w:rPr>
          <w:rFonts w:ascii="Times New Roman"/>
          <w:sz w:val="20"/>
        </w:rPr>
      </w:pPr>
    </w:p>
    <w:p>
      <w:pPr>
        <w:pStyle w:val="2"/>
        <w:spacing w:before="2"/>
        <w:rPr>
          <w:rFonts w:ascii="Times New Roman"/>
          <w:sz w:val="26"/>
        </w:rPr>
      </w:pPr>
    </w:p>
    <w:p>
      <w:pPr>
        <w:spacing w:before="28" w:line="336" w:lineRule="auto"/>
        <w:ind w:left="301" w:leftChars="0" w:right="0" w:rightChars="0" w:hanging="301" w:hangingChars="61"/>
        <w:jc w:val="center"/>
        <w:rPr>
          <w:rFonts w:hint="eastAsia" w:ascii="黑体" w:eastAsia="黑体"/>
          <w:b/>
          <w:sz w:val="52"/>
        </w:rPr>
      </w:pPr>
      <w:bookmarkStart w:id="0" w:name="深圳供电局有限公司2024年生产办公用电绿色电力证书（GEC）采购技术条件"/>
      <w:bookmarkEnd w:id="0"/>
      <w:r>
        <w:rPr>
          <w:rFonts w:hint="eastAsia" w:ascii="黑体" w:eastAsia="黑体"/>
          <w:b/>
          <w:spacing w:val="-14"/>
          <w:sz w:val="52"/>
          <w:lang w:eastAsia="zh-CN"/>
        </w:rPr>
        <w:t>南方电网</w:t>
      </w:r>
      <w:r>
        <w:rPr>
          <w:rFonts w:hint="eastAsia" w:ascii="黑体" w:eastAsia="黑体"/>
          <w:b/>
          <w:spacing w:val="-14"/>
          <w:sz w:val="52"/>
          <w:lang w:val="en-US" w:eastAsia="zh-CN"/>
        </w:rPr>
        <w:t>通用航空服务有限公司</w:t>
      </w:r>
      <w:r>
        <w:rPr>
          <w:rFonts w:hint="eastAsia" w:ascii="黑体" w:eastAsia="黑体"/>
          <w:b/>
          <w:sz w:val="52"/>
        </w:rPr>
        <w:t>202</w:t>
      </w:r>
      <w:r>
        <w:rPr>
          <w:rFonts w:hint="eastAsia" w:ascii="黑体" w:eastAsia="黑体"/>
          <w:b/>
          <w:sz w:val="52"/>
          <w:lang w:val="en-US" w:eastAsia="zh-CN"/>
        </w:rPr>
        <w:t>5</w:t>
      </w:r>
      <w:r>
        <w:rPr>
          <w:rFonts w:hint="eastAsia" w:ascii="黑体" w:eastAsia="黑体"/>
          <w:b/>
          <w:spacing w:val="-21"/>
          <w:sz w:val="52"/>
        </w:rPr>
        <w:t>年生产办公用电绿色电力证书（GEC）采购技术条件</w:t>
      </w:r>
    </w:p>
    <w:p>
      <w:pPr>
        <w:pStyle w:val="2"/>
        <w:rPr>
          <w:rFonts w:ascii="黑体"/>
          <w:b/>
          <w:sz w:val="52"/>
        </w:rPr>
      </w:pPr>
    </w:p>
    <w:p>
      <w:pPr>
        <w:pStyle w:val="2"/>
        <w:spacing w:before="12"/>
        <w:rPr>
          <w:rFonts w:ascii="黑体"/>
          <w:b/>
          <w:sz w:val="51"/>
        </w:rPr>
      </w:pPr>
    </w:p>
    <w:p>
      <w:pPr>
        <w:pStyle w:val="2"/>
        <w:spacing w:before="12"/>
        <w:rPr>
          <w:rFonts w:ascii="黑体"/>
          <w:b/>
          <w:sz w:val="51"/>
        </w:rPr>
      </w:pPr>
    </w:p>
    <w:p>
      <w:pPr>
        <w:pStyle w:val="2"/>
        <w:spacing w:before="12"/>
        <w:rPr>
          <w:rFonts w:ascii="黑体"/>
          <w:b/>
          <w:sz w:val="51"/>
        </w:rPr>
      </w:pPr>
    </w:p>
    <w:p>
      <w:pPr>
        <w:pStyle w:val="2"/>
        <w:spacing w:before="12"/>
        <w:rPr>
          <w:rFonts w:ascii="黑体"/>
          <w:b/>
          <w:sz w:val="51"/>
        </w:rPr>
      </w:pPr>
    </w:p>
    <w:p>
      <w:pPr>
        <w:spacing w:before="0"/>
        <w:ind w:left="103" w:right="98" w:firstLine="0"/>
        <w:jc w:val="center"/>
        <w:rPr>
          <w:rFonts w:hint="eastAsia" w:ascii="仿宋_GB2312" w:hAnsi="仿宋_GB2312" w:eastAsia="仿宋_GB2312" w:cs="仿宋_GB2312"/>
          <w:spacing w:val="-6"/>
          <w:sz w:val="30"/>
          <w:szCs w:val="22"/>
          <w:lang w:val="zh-CN" w:eastAsia="zh-CN" w:bidi="zh-CN"/>
        </w:rPr>
        <w:sectPr>
          <w:pgSz w:w="11906" w:h="16838"/>
          <w:pgMar w:top="1440" w:right="1800" w:bottom="1440" w:left="1800" w:header="851" w:footer="992" w:gutter="0"/>
          <w:cols w:space="425" w:num="1"/>
          <w:docGrid w:type="lines" w:linePitch="312" w:charSpace="0"/>
        </w:sectPr>
      </w:pPr>
      <w:bookmarkStart w:id="1" w:name="二〇二五年四月"/>
      <w:bookmarkEnd w:id="1"/>
      <w:r>
        <w:rPr>
          <w:rFonts w:hint="eastAsia" w:ascii="黑体" w:eastAsia="黑体"/>
          <w:b/>
          <w:sz w:val="32"/>
        </w:rPr>
        <w:t>二〇二</w:t>
      </w:r>
      <w:r>
        <w:rPr>
          <w:rFonts w:hint="eastAsia" w:ascii="黑体" w:eastAsia="黑体"/>
          <w:b/>
          <w:sz w:val="32"/>
          <w:lang w:val="en-US" w:eastAsia="zh-CN"/>
        </w:rPr>
        <w:t>六</w:t>
      </w:r>
      <w:r>
        <w:rPr>
          <w:rFonts w:hint="eastAsia" w:ascii="黑体" w:eastAsia="黑体"/>
          <w:b/>
          <w:sz w:val="32"/>
        </w:rPr>
        <w:t>年</w:t>
      </w:r>
      <w:r>
        <w:rPr>
          <w:rFonts w:hint="eastAsia" w:ascii="黑体" w:eastAsia="黑体"/>
          <w:b/>
          <w:sz w:val="32"/>
          <w:lang w:val="en-US" w:eastAsia="zh-CN"/>
        </w:rPr>
        <w:t>五月</w:t>
      </w:r>
    </w:p>
    <w:p>
      <w:pPr>
        <w:keepNext w:val="0"/>
        <w:keepLines w:val="0"/>
        <w:pageBreakBefore w:val="0"/>
        <w:widowControl w:val="0"/>
        <w:numPr>
          <w:numId w:val="0"/>
        </w:numPr>
        <w:kinsoku/>
        <w:wordWrap/>
        <w:overflowPunct/>
        <w:topLinePunct w:val="0"/>
        <w:autoSpaceDE/>
        <w:autoSpaceDN/>
        <w:bidi w:val="0"/>
        <w:adjustRightInd/>
        <w:snapToGrid/>
        <w:ind w:firstLine="616"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1、</w:t>
      </w:r>
      <w:r>
        <w:rPr>
          <w:rFonts w:hint="eastAsia" w:ascii="仿宋_GB2312" w:hAnsi="仿宋_GB2312" w:eastAsia="仿宋_GB2312" w:cs="仿宋_GB2312"/>
          <w:spacing w:val="-6"/>
          <w:sz w:val="32"/>
          <w:szCs w:val="24"/>
          <w:lang w:val="zh-CN" w:eastAsia="zh-CN" w:bidi="zh-CN"/>
        </w:rPr>
        <w:t>绿色电力证书：指EGC（Green Electricity Certificate），以下简称绿证，由中华人民共和国国家能源局电力业务资质管理 中心负责核发，是可再生能源电量环境属性的唯一证明，以及认定可再生能源电力生产、消费的唯一凭证。每个证书具有唯一编码及二维码，能够跟踪可再生电力生产的属性，包括发电项目名称、项目类型、电量生产日期等。1单位证书相当于1000千瓦时（kWh）可再生能源电量。</w:t>
      </w:r>
    </w:p>
    <w:p>
      <w:pPr>
        <w:keepNext w:val="0"/>
        <w:keepLines w:val="0"/>
        <w:pageBreakBefore w:val="0"/>
        <w:widowControl w:val="0"/>
        <w:numPr>
          <w:numId w:val="0"/>
        </w:numPr>
        <w:kinsoku/>
        <w:wordWrap/>
        <w:overflowPunct/>
        <w:topLinePunct w:val="0"/>
        <w:autoSpaceDE/>
        <w:autoSpaceDN/>
        <w:bidi w:val="0"/>
        <w:adjustRightInd/>
        <w:snapToGrid/>
        <w:ind w:firstLine="616"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2、</w:t>
      </w:r>
      <w:r>
        <w:rPr>
          <w:rFonts w:hint="eastAsia" w:ascii="仿宋_GB2312" w:hAnsi="仿宋_GB2312" w:eastAsia="仿宋_GB2312" w:cs="仿宋_GB2312"/>
          <w:spacing w:val="-6"/>
          <w:sz w:val="32"/>
          <w:szCs w:val="24"/>
          <w:lang w:val="zh-CN" w:eastAsia="zh-CN" w:bidi="zh-CN"/>
        </w:rPr>
        <w:t>绿色电力证书：</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en-US" w:eastAsia="zh-CN" w:bidi="zh-CN"/>
        </w:rPr>
      </w:pPr>
      <w:r>
        <w:rPr>
          <w:rFonts w:hint="eastAsia" w:ascii="仿宋_GB2312" w:hAnsi="仿宋_GB2312" w:eastAsia="仿宋_GB2312" w:cs="仿宋_GB2312"/>
          <w:spacing w:val="-6"/>
          <w:sz w:val="32"/>
          <w:szCs w:val="24"/>
          <w:lang w:val="en-US" w:eastAsia="zh-CN" w:bidi="zh-CN"/>
        </w:rPr>
        <w:t>发电时间：</w:t>
      </w:r>
      <w:r>
        <w:rPr>
          <w:rFonts w:hint="eastAsia" w:ascii="仿宋_GB2312" w:hAnsi="仿宋_GB2312" w:eastAsia="仿宋_GB2312" w:cs="仿宋_GB2312"/>
          <w:spacing w:val="-6"/>
          <w:sz w:val="32"/>
          <w:szCs w:val="28"/>
        </w:rPr>
        <w:t>绿证发电时间应为 202</w:t>
      </w:r>
      <w:r>
        <w:rPr>
          <w:rFonts w:hint="eastAsia" w:ascii="仿宋_GB2312" w:hAnsi="仿宋_GB2312" w:eastAsia="仿宋_GB2312" w:cs="仿宋_GB2312"/>
          <w:spacing w:val="-6"/>
          <w:sz w:val="32"/>
          <w:szCs w:val="28"/>
          <w:lang w:val="en-US" w:eastAsia="zh-CN"/>
        </w:rPr>
        <w:t>4</w:t>
      </w:r>
      <w:r>
        <w:rPr>
          <w:rFonts w:hint="eastAsia" w:ascii="仿宋_GB2312" w:hAnsi="仿宋_GB2312" w:eastAsia="仿宋_GB2312" w:cs="仿宋_GB2312"/>
          <w:spacing w:val="-6"/>
          <w:sz w:val="32"/>
          <w:szCs w:val="28"/>
        </w:rPr>
        <w:t>年</w:t>
      </w:r>
      <w:r>
        <w:rPr>
          <w:rFonts w:hint="eastAsia" w:ascii="仿宋_GB2312" w:hAnsi="仿宋_GB2312" w:eastAsia="仿宋_GB2312" w:cs="仿宋_GB2312"/>
          <w:spacing w:val="-6"/>
          <w:sz w:val="32"/>
          <w:szCs w:val="28"/>
          <w:lang w:val="en-US" w:eastAsia="zh-CN"/>
        </w:rPr>
        <w:t>6</w:t>
      </w:r>
      <w:r>
        <w:rPr>
          <w:rFonts w:hint="eastAsia" w:ascii="仿宋_GB2312" w:hAnsi="仿宋_GB2312" w:eastAsia="仿宋_GB2312" w:cs="仿宋_GB2312"/>
          <w:spacing w:val="-6"/>
          <w:sz w:val="32"/>
          <w:szCs w:val="28"/>
        </w:rPr>
        <w:t>月至202</w:t>
      </w:r>
      <w:r>
        <w:rPr>
          <w:rFonts w:hint="eastAsia" w:ascii="仿宋_GB2312" w:hAnsi="仿宋_GB2312" w:eastAsia="仿宋_GB2312" w:cs="仿宋_GB2312"/>
          <w:spacing w:val="-6"/>
          <w:sz w:val="32"/>
          <w:szCs w:val="28"/>
          <w:lang w:val="en-US" w:eastAsia="zh-CN"/>
        </w:rPr>
        <w:t>5</w:t>
      </w:r>
      <w:r>
        <w:rPr>
          <w:rFonts w:hint="eastAsia" w:ascii="仿宋_GB2312" w:hAnsi="仿宋_GB2312" w:eastAsia="仿宋_GB2312" w:cs="仿宋_GB2312"/>
          <w:spacing w:val="-6"/>
          <w:sz w:val="32"/>
          <w:szCs w:val="28"/>
        </w:rPr>
        <w:t>年</w:t>
      </w:r>
      <w:r>
        <w:rPr>
          <w:rFonts w:hint="eastAsia" w:ascii="仿宋_GB2312" w:hAnsi="仿宋_GB2312" w:eastAsia="仿宋_GB2312" w:cs="仿宋_GB2312"/>
          <w:spacing w:val="-6"/>
          <w:sz w:val="32"/>
          <w:szCs w:val="28"/>
          <w:lang w:val="en-US" w:eastAsia="zh-CN"/>
        </w:rPr>
        <w:t>12</w:t>
      </w:r>
      <w:r>
        <w:rPr>
          <w:rFonts w:hint="eastAsia" w:ascii="仿宋_GB2312" w:hAnsi="仿宋_GB2312" w:eastAsia="仿宋_GB2312" w:cs="仿宋_GB2312"/>
          <w:spacing w:val="-6"/>
          <w:sz w:val="32"/>
          <w:szCs w:val="28"/>
        </w:rPr>
        <w:t>月之间。</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en-US" w:eastAsia="zh-CN" w:bidi="zh-CN"/>
        </w:rPr>
      </w:pPr>
      <w:r>
        <w:rPr>
          <w:rFonts w:hint="eastAsia" w:ascii="仿宋_GB2312" w:hAnsi="仿宋_GB2312" w:eastAsia="仿宋_GB2312" w:cs="仿宋_GB2312"/>
          <w:spacing w:val="-6"/>
          <w:sz w:val="32"/>
          <w:szCs w:val="24"/>
          <w:lang w:val="en-US" w:eastAsia="zh-CN" w:bidi="zh-CN"/>
        </w:rPr>
        <w:t>需求数量：</w:t>
      </w:r>
      <w:r>
        <w:rPr>
          <w:rFonts w:hint="eastAsia" w:ascii="仿宋_GB2312" w:hAnsi="仿宋_GB2312" w:eastAsia="仿宋_GB2312" w:cs="仿宋_GB2312"/>
          <w:spacing w:val="-6"/>
          <w:sz w:val="32"/>
          <w:szCs w:val="28"/>
          <w:lang w:val="en-US" w:eastAsia="zh-CN"/>
        </w:rPr>
        <w:t>660</w:t>
      </w:r>
      <w:r>
        <w:rPr>
          <w:rFonts w:hint="eastAsia" w:ascii="仿宋_GB2312" w:hAnsi="仿宋_GB2312" w:eastAsia="仿宋_GB2312" w:cs="仿宋_GB2312"/>
          <w:spacing w:val="-6"/>
          <w:sz w:val="32"/>
          <w:szCs w:val="28"/>
        </w:rPr>
        <w:t>张。</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en-US" w:eastAsia="zh-CN" w:bidi="zh-CN"/>
        </w:rPr>
      </w:pPr>
      <w:r>
        <w:rPr>
          <w:rFonts w:hint="eastAsia" w:ascii="仿宋_GB2312" w:hAnsi="仿宋_GB2312" w:eastAsia="仿宋_GB2312" w:cs="仿宋_GB2312"/>
          <w:spacing w:val="-6"/>
          <w:sz w:val="32"/>
          <w:szCs w:val="28"/>
          <w:lang w:val="en-US" w:eastAsia="zh-CN"/>
        </w:rPr>
        <w:t>绿证</w:t>
      </w:r>
      <w:r>
        <w:rPr>
          <w:rFonts w:hint="eastAsia" w:ascii="仿宋_GB2312" w:hAnsi="仿宋_GB2312" w:eastAsia="仿宋_GB2312" w:cs="仿宋_GB2312"/>
          <w:spacing w:val="-6"/>
          <w:sz w:val="32"/>
          <w:szCs w:val="28"/>
        </w:rPr>
        <w:t>电源类型应为风电及光伏发电项目，且该发电项目须于中国大陆地区境内</w:t>
      </w:r>
      <w:r>
        <w:rPr>
          <w:rFonts w:hint="eastAsia" w:ascii="仿宋_GB2312" w:hAnsi="仿宋_GB2312" w:eastAsia="仿宋_GB2312" w:cs="仿宋_GB2312"/>
          <w:spacing w:val="-6"/>
          <w:sz w:val="32"/>
          <w:szCs w:val="28"/>
          <w:lang w:eastAsia="zh-CN"/>
        </w:rPr>
        <w:t>，</w:t>
      </w:r>
      <w:r>
        <w:rPr>
          <w:rFonts w:hint="eastAsia" w:ascii="仿宋_GB2312" w:hAnsi="仿宋_GB2312" w:eastAsia="仿宋_GB2312" w:cs="仿宋_GB2312"/>
          <w:spacing w:val="-6"/>
          <w:sz w:val="32"/>
          <w:szCs w:val="28"/>
        </w:rPr>
        <w:t>未受政府补贴（平价项目），设施已投用时间不超过15年（项目启用时间不得早于20</w:t>
      </w:r>
      <w:r>
        <w:rPr>
          <w:rFonts w:hint="eastAsia" w:ascii="仿宋_GB2312" w:hAnsi="仿宋_GB2312" w:eastAsia="仿宋_GB2312" w:cs="仿宋_GB2312"/>
          <w:spacing w:val="-6"/>
          <w:sz w:val="32"/>
          <w:szCs w:val="28"/>
          <w:lang w:val="en-US" w:eastAsia="zh-CN"/>
        </w:rPr>
        <w:t>11</w:t>
      </w:r>
      <w:r>
        <w:rPr>
          <w:rFonts w:hint="eastAsia" w:ascii="仿宋_GB2312" w:hAnsi="仿宋_GB2312" w:eastAsia="仿宋_GB2312" w:cs="仿宋_GB2312"/>
          <w:spacing w:val="-6"/>
          <w:sz w:val="32"/>
          <w:szCs w:val="28"/>
        </w:rPr>
        <w:t>年）。</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en-US" w:eastAsia="zh-CN" w:bidi="zh-CN"/>
        </w:rPr>
      </w:pPr>
      <w:r>
        <w:rPr>
          <w:rFonts w:hint="eastAsia" w:ascii="仿宋_GB2312" w:hAnsi="仿宋_GB2312" w:eastAsia="仿宋_GB2312" w:cs="仿宋_GB2312"/>
          <w:spacing w:val="-6"/>
          <w:sz w:val="32"/>
          <w:szCs w:val="28"/>
          <w:lang w:val="en-US" w:eastAsia="zh-CN"/>
        </w:rPr>
        <w:t>未开发</w:t>
      </w:r>
      <w:r>
        <w:rPr>
          <w:rFonts w:hint="eastAsia" w:ascii="仿宋_GB2312" w:hAnsi="仿宋_GB2312" w:eastAsia="仿宋_GB2312" w:cs="仿宋_GB2312"/>
          <w:spacing w:val="-6"/>
          <w:sz w:val="32"/>
          <w:szCs w:val="28"/>
        </w:rPr>
        <w:t>成其他绿证（例如国际绿证i-REC、TIGR 等）或碳信用产品。</w:t>
      </w:r>
    </w:p>
    <w:p>
      <w:pPr>
        <w:keepNext w:val="0"/>
        <w:keepLines w:val="0"/>
        <w:pageBreakBefore w:val="0"/>
        <w:widowControl w:val="0"/>
        <w:numPr>
          <w:numId w:val="0"/>
        </w:numPr>
        <w:kinsoku/>
        <w:wordWrap/>
        <w:overflowPunct/>
        <w:topLinePunct w:val="0"/>
        <w:autoSpaceDE/>
        <w:autoSpaceDN/>
        <w:bidi w:val="0"/>
        <w:adjustRightInd/>
        <w:snapToGrid/>
        <w:ind w:firstLine="616"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3、质量要求</w:t>
      </w:r>
      <w:r>
        <w:rPr>
          <w:rFonts w:hint="eastAsia" w:ascii="仿宋_GB2312" w:hAnsi="仿宋_GB2312" w:eastAsia="仿宋_GB2312" w:cs="仿宋_GB2312"/>
          <w:spacing w:val="-6"/>
          <w:sz w:val="32"/>
          <w:szCs w:val="24"/>
          <w:lang w:val="zh-CN" w:eastAsia="zh-CN" w:bidi="zh-CN"/>
        </w:rPr>
        <w:t>：</w:t>
      </w:r>
    </w:p>
    <w:p>
      <w:pPr>
        <w:keepNext w:val="0"/>
        <w:keepLines w:val="0"/>
        <w:pageBreakBefore w:val="0"/>
        <w:widowControl w:val="0"/>
        <w:numPr>
          <w:ilvl w:val="0"/>
          <w:numId w:val="2"/>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en-US" w:eastAsia="zh-CN" w:bidi="zh-CN"/>
        </w:rPr>
      </w:pPr>
      <w:r>
        <w:rPr>
          <w:rFonts w:hint="eastAsia" w:ascii="仿宋_GB2312" w:hAnsi="仿宋_GB2312" w:eastAsia="仿宋_GB2312" w:cs="仿宋_GB2312"/>
          <w:spacing w:val="-6"/>
          <w:sz w:val="32"/>
          <w:szCs w:val="24"/>
          <w:lang w:val="en-US" w:eastAsia="zh-CN" w:bidi="zh-CN"/>
        </w:rPr>
        <w:t>证书</w:t>
      </w:r>
      <w:r>
        <w:rPr>
          <w:rFonts w:hint="eastAsia" w:ascii="仿宋_GB2312" w:hAnsi="仿宋_GB2312" w:eastAsia="仿宋_GB2312" w:cs="仿宋_GB2312"/>
          <w:spacing w:val="-6"/>
          <w:sz w:val="32"/>
          <w:szCs w:val="28"/>
        </w:rPr>
        <w:t>真实性：供应商提供的 GEC 须真实有效，带“国家能源局绿色电力证书专用章”合法有效标志。证书信息应可在国家可再生能源信息管理中心相关系统或中国绿色电力证书交易平台进行查询验证，包括证书编号、发电项目信息、电量信息、核发时间等内容。</w:t>
      </w:r>
    </w:p>
    <w:p>
      <w:pPr>
        <w:keepNext w:val="0"/>
        <w:keepLines w:val="0"/>
        <w:pageBreakBefore w:val="0"/>
        <w:widowControl w:val="0"/>
        <w:numPr>
          <w:ilvl w:val="0"/>
          <w:numId w:val="2"/>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en-US" w:eastAsia="zh-CN" w:bidi="zh-CN"/>
        </w:rPr>
      </w:pPr>
      <w:r>
        <w:rPr>
          <w:rFonts w:hint="eastAsia" w:ascii="仿宋_GB2312" w:hAnsi="仿宋_GB2312" w:eastAsia="仿宋_GB2312" w:cs="仿宋_GB2312"/>
          <w:spacing w:val="-6"/>
          <w:sz w:val="32"/>
          <w:szCs w:val="28"/>
          <w:lang w:val="en-US" w:eastAsia="zh-CN"/>
        </w:rPr>
        <w:t>信息</w:t>
      </w:r>
      <w:r>
        <w:rPr>
          <w:rFonts w:hint="eastAsia" w:ascii="仿宋_GB2312" w:hAnsi="仿宋_GB2312" w:eastAsia="仿宋_GB2312" w:cs="仿宋_GB2312"/>
          <w:spacing w:val="-6"/>
          <w:sz w:val="32"/>
          <w:szCs w:val="28"/>
        </w:rPr>
        <w:t>准确性：GEC 所包含的各项信息，如发电项目名称、项目地址、发电时间、电量等必须准确无误，与实际发电情况和相关记录一致。如有信息错误或虚假，供应商应承担相应法律责任和经济赔偿。</w:t>
      </w:r>
    </w:p>
    <w:p>
      <w:pPr>
        <w:keepNext w:val="0"/>
        <w:keepLines w:val="0"/>
        <w:pageBreakBefore w:val="0"/>
        <w:widowControl w:val="0"/>
        <w:numPr>
          <w:numId w:val="0"/>
        </w:numPr>
        <w:kinsoku/>
        <w:wordWrap/>
        <w:overflowPunct/>
        <w:topLinePunct w:val="0"/>
        <w:autoSpaceDE/>
        <w:autoSpaceDN/>
        <w:bidi w:val="0"/>
        <w:adjustRightInd/>
        <w:snapToGrid/>
        <w:ind w:left="630" w:leftChars="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4、交付要求</w:t>
      </w:r>
      <w:r>
        <w:rPr>
          <w:rFonts w:hint="eastAsia" w:ascii="仿宋_GB2312" w:hAnsi="仿宋_GB2312" w:eastAsia="仿宋_GB2312" w:cs="仿宋_GB2312"/>
          <w:spacing w:val="-6"/>
          <w:sz w:val="32"/>
          <w:szCs w:val="24"/>
          <w:lang w:val="zh-CN" w:eastAsia="zh-CN" w:bidi="zh-CN"/>
        </w:rPr>
        <w:t>：</w:t>
      </w:r>
    </w:p>
    <w:p>
      <w:pPr>
        <w:keepNext w:val="0"/>
        <w:keepLines w:val="0"/>
        <w:pageBreakBefore w:val="0"/>
        <w:widowControl w:val="0"/>
        <w:numPr>
          <w:ilvl w:val="0"/>
          <w:numId w:val="3"/>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交付</w:t>
      </w:r>
      <w:r>
        <w:rPr>
          <w:rFonts w:hint="eastAsia" w:ascii="仿宋_GB2312" w:hAnsi="仿宋_GB2312" w:eastAsia="仿宋_GB2312" w:cs="仿宋_GB2312"/>
          <w:spacing w:val="-6"/>
          <w:sz w:val="32"/>
          <w:szCs w:val="28"/>
        </w:rPr>
        <w:t>时间：</w:t>
      </w:r>
      <w:r>
        <w:rPr>
          <w:rFonts w:hint="eastAsia" w:ascii="仿宋_GB2312" w:hAnsi="仿宋_GB2312" w:eastAsia="仿宋_GB2312" w:cs="仿宋_GB2312"/>
          <w:spacing w:val="-6"/>
          <w:sz w:val="32"/>
          <w:szCs w:val="28"/>
          <w:lang w:val="en-US" w:eastAsia="zh-CN"/>
        </w:rPr>
        <w:t>双方签订交易确认单后</w:t>
      </w:r>
      <w:r>
        <w:rPr>
          <w:rFonts w:hint="eastAsia" w:ascii="仿宋_GB2312" w:hAnsi="仿宋_GB2312" w:eastAsia="仿宋_GB2312" w:cs="仿宋_GB2312"/>
          <w:spacing w:val="-6"/>
          <w:sz w:val="32"/>
          <w:szCs w:val="28"/>
        </w:rPr>
        <w:t>1</w:t>
      </w:r>
      <w:r>
        <w:rPr>
          <w:rFonts w:hint="eastAsia" w:ascii="仿宋_GB2312" w:hAnsi="仿宋_GB2312" w:eastAsia="仿宋_GB2312" w:cs="仿宋_GB2312"/>
          <w:spacing w:val="-6"/>
          <w:sz w:val="32"/>
          <w:szCs w:val="28"/>
          <w:lang w:val="en-US" w:eastAsia="zh-CN"/>
        </w:rPr>
        <w:t>0</w:t>
      </w:r>
      <w:r>
        <w:rPr>
          <w:rFonts w:hint="eastAsia" w:ascii="仿宋_GB2312" w:hAnsi="仿宋_GB2312" w:eastAsia="仿宋_GB2312" w:cs="仿宋_GB2312"/>
          <w:spacing w:val="-6"/>
          <w:sz w:val="32"/>
          <w:szCs w:val="28"/>
        </w:rPr>
        <w:t xml:space="preserve"> 天内在绿证交易平台将绿证划转至采购人账户。</w:t>
      </w:r>
      <w:bookmarkStart w:id="2" w:name="_GoBack"/>
      <w:bookmarkEnd w:id="2"/>
    </w:p>
    <w:p>
      <w:pPr>
        <w:keepNext w:val="0"/>
        <w:keepLines w:val="0"/>
        <w:pageBreakBefore w:val="0"/>
        <w:widowControl w:val="0"/>
        <w:numPr>
          <w:ilvl w:val="0"/>
          <w:numId w:val="3"/>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8"/>
          <w:lang w:val="en-US" w:eastAsia="zh-CN"/>
        </w:rPr>
        <w:t>交付</w:t>
      </w:r>
      <w:r>
        <w:rPr>
          <w:rFonts w:hint="eastAsia" w:ascii="仿宋_GB2312" w:hAnsi="仿宋_GB2312" w:eastAsia="仿宋_GB2312" w:cs="仿宋_GB2312"/>
          <w:sz w:val="32"/>
          <w:szCs w:val="28"/>
        </w:rPr>
        <w:t>方式：通过广州电力交易中心绿证交易平台购买</w:t>
      </w:r>
      <w:r>
        <w:rPr>
          <w:rFonts w:hint="eastAsia" w:ascii="仿宋_GB2312" w:hAnsi="仿宋_GB2312" w:eastAsia="仿宋_GB2312" w:cs="仿宋_GB2312"/>
          <w:spacing w:val="-10"/>
          <w:sz w:val="32"/>
          <w:szCs w:val="28"/>
        </w:rPr>
        <w:t>并完成划转交付。在交付过程中，供应商应配合采购方完成相关</w:t>
      </w:r>
      <w:r>
        <w:rPr>
          <w:rFonts w:hint="eastAsia" w:ascii="仿宋_GB2312" w:hAnsi="仿宋_GB2312" w:eastAsia="仿宋_GB2312" w:cs="仿宋_GB2312"/>
          <w:spacing w:val="-11"/>
          <w:sz w:val="32"/>
          <w:szCs w:val="28"/>
        </w:rPr>
        <w:t>手续和操作，确保划转顺利进行，并及时提供划转成功的证明文</w:t>
      </w:r>
      <w:r>
        <w:rPr>
          <w:rFonts w:hint="eastAsia" w:ascii="仿宋_GB2312" w:hAnsi="仿宋_GB2312" w:eastAsia="仿宋_GB2312" w:cs="仿宋_GB2312"/>
          <w:sz w:val="32"/>
          <w:szCs w:val="28"/>
        </w:rPr>
        <w:t>件。</w:t>
      </w:r>
    </w:p>
    <w:p>
      <w:pPr>
        <w:keepNext w:val="0"/>
        <w:keepLines w:val="0"/>
        <w:pageBreakBefore w:val="0"/>
        <w:widowControl w:val="0"/>
        <w:numPr>
          <w:numId w:val="0"/>
        </w:numPr>
        <w:kinsoku/>
        <w:wordWrap/>
        <w:overflowPunct/>
        <w:topLinePunct w:val="0"/>
        <w:autoSpaceDE/>
        <w:autoSpaceDN/>
        <w:bidi w:val="0"/>
        <w:adjustRightInd/>
        <w:snapToGrid/>
        <w:ind w:left="630" w:leftChars="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5、验收要求</w:t>
      </w:r>
      <w:r>
        <w:rPr>
          <w:rFonts w:hint="eastAsia" w:ascii="仿宋_GB2312" w:hAnsi="仿宋_GB2312" w:eastAsia="仿宋_GB2312" w:cs="仿宋_GB2312"/>
          <w:spacing w:val="-6"/>
          <w:sz w:val="32"/>
          <w:szCs w:val="24"/>
          <w:lang w:val="zh-CN" w:eastAsia="zh-CN" w:bidi="zh-CN"/>
        </w:rPr>
        <w:t>：</w:t>
      </w:r>
    </w:p>
    <w:p>
      <w:pPr>
        <w:keepNext w:val="0"/>
        <w:keepLines w:val="0"/>
        <w:pageBreakBefore w:val="0"/>
        <w:widowControl w:val="0"/>
        <w:numPr>
          <w:ilvl w:val="0"/>
          <w:numId w:val="4"/>
        </w:numPr>
        <w:kinsoku/>
        <w:wordWrap/>
        <w:overflowPunct/>
        <w:topLinePunct w:val="0"/>
        <w:autoSpaceDE/>
        <w:autoSpaceDN/>
        <w:bidi w:val="0"/>
        <w:adjustRightInd/>
        <w:snapToGrid/>
        <w:ind w:left="0" w:leftChars="0" w:firstLine="616"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pacing w:val="-6"/>
          <w:sz w:val="32"/>
          <w:szCs w:val="24"/>
          <w:lang w:val="en-US" w:eastAsia="zh-CN" w:bidi="zh-CN"/>
        </w:rPr>
        <w:t>证书</w:t>
      </w:r>
      <w:r>
        <w:rPr>
          <w:rFonts w:hint="eastAsia" w:ascii="仿宋_GB2312" w:hAnsi="仿宋_GB2312" w:eastAsia="仿宋_GB2312" w:cs="仿宋_GB2312"/>
          <w:spacing w:val="-5"/>
          <w:sz w:val="32"/>
          <w:szCs w:val="28"/>
        </w:rPr>
        <w:t>查验：采购方在收到</w:t>
      </w:r>
      <w:r>
        <w:rPr>
          <w:rFonts w:hint="eastAsia" w:ascii="仿宋_GB2312" w:hAnsi="仿宋_GB2312" w:eastAsia="仿宋_GB2312" w:cs="仿宋_GB2312"/>
          <w:sz w:val="32"/>
          <w:szCs w:val="28"/>
        </w:rPr>
        <w:t>GEC</w:t>
      </w:r>
      <w:r>
        <w:rPr>
          <w:rFonts w:hint="eastAsia" w:ascii="仿宋_GB2312" w:hAnsi="仿宋_GB2312" w:eastAsia="仿宋_GB2312" w:cs="仿宋_GB2312"/>
          <w:spacing w:val="-8"/>
          <w:sz w:val="32"/>
          <w:szCs w:val="28"/>
        </w:rPr>
        <w:t>后，将通过官方渠道对</w:t>
      </w:r>
      <w:r>
        <w:rPr>
          <w:rFonts w:hint="eastAsia" w:ascii="仿宋_GB2312" w:hAnsi="仿宋_GB2312" w:eastAsia="仿宋_GB2312" w:cs="仿宋_GB2312"/>
          <w:spacing w:val="-13"/>
          <w:sz w:val="32"/>
          <w:szCs w:val="28"/>
        </w:rPr>
        <w:t>证书的真实性、有效性和信息准确性进行查验。如发现证书存在</w:t>
      </w:r>
      <w:r>
        <w:rPr>
          <w:rFonts w:hint="eastAsia" w:ascii="仿宋_GB2312" w:hAnsi="仿宋_GB2312" w:eastAsia="仿宋_GB2312" w:cs="仿宋_GB2312"/>
          <w:spacing w:val="-12"/>
          <w:sz w:val="32"/>
          <w:szCs w:val="28"/>
        </w:rPr>
        <w:t>问题，供应商应在接到通知后</w:t>
      </w:r>
      <w:r>
        <w:rPr>
          <w:rFonts w:hint="eastAsia" w:ascii="仿宋_GB2312" w:hAnsi="仿宋_GB2312" w:eastAsia="仿宋_GB2312" w:cs="仿宋_GB2312"/>
          <w:sz w:val="32"/>
          <w:szCs w:val="28"/>
        </w:rPr>
        <w:t>3</w:t>
      </w:r>
      <w:r>
        <w:rPr>
          <w:rFonts w:hint="eastAsia" w:ascii="仿宋_GB2312" w:hAnsi="仿宋_GB2312" w:eastAsia="仿宋_GB2312" w:cs="仿宋_GB2312"/>
          <w:spacing w:val="-13"/>
          <w:sz w:val="32"/>
          <w:szCs w:val="28"/>
        </w:rPr>
        <w:t>个工作日内进行处理</w:t>
      </w:r>
      <w:r>
        <w:rPr>
          <w:rFonts w:hint="eastAsia" w:ascii="仿宋_GB2312" w:hAnsi="仿宋_GB2312" w:eastAsia="仿宋_GB2312" w:cs="仿宋_GB2312"/>
          <w:spacing w:val="-13"/>
          <w:sz w:val="32"/>
          <w:szCs w:val="28"/>
          <w:lang w:eastAsia="zh-CN"/>
        </w:rPr>
        <w:t>，</w:t>
      </w:r>
      <w:r>
        <w:rPr>
          <w:rFonts w:hint="eastAsia" w:ascii="仿宋_GB2312" w:hAnsi="仿宋_GB2312" w:eastAsia="仿宋_GB2312" w:cs="仿宋_GB2312"/>
          <w:spacing w:val="-13"/>
          <w:sz w:val="32"/>
          <w:szCs w:val="28"/>
        </w:rPr>
        <w:t>包括但不</w:t>
      </w:r>
      <w:r>
        <w:rPr>
          <w:rFonts w:hint="eastAsia" w:ascii="仿宋_GB2312" w:hAnsi="仿宋_GB2312" w:eastAsia="仿宋_GB2312" w:cs="仿宋_GB2312"/>
          <w:sz w:val="32"/>
          <w:szCs w:val="28"/>
        </w:rPr>
        <w:t>限于更换证书、修正信息等。</w:t>
      </w:r>
    </w:p>
    <w:p>
      <w:pPr>
        <w:keepNext w:val="0"/>
        <w:keepLines w:val="0"/>
        <w:pageBreakBefore w:val="0"/>
        <w:widowControl w:val="0"/>
        <w:numPr>
          <w:ilvl w:val="0"/>
          <w:numId w:val="4"/>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pacing w:val="-6"/>
          <w:sz w:val="32"/>
          <w:szCs w:val="24"/>
          <w:lang w:val="zh-CN" w:eastAsia="zh-CN" w:bidi="zh-CN"/>
        </w:rPr>
      </w:pPr>
      <w:r>
        <w:rPr>
          <w:rFonts w:hint="eastAsia" w:ascii="仿宋_GB2312" w:hAnsi="仿宋_GB2312" w:eastAsia="仿宋_GB2312" w:cs="仿宋_GB2312"/>
          <w:sz w:val="32"/>
          <w:szCs w:val="28"/>
          <w:lang w:val="en-US" w:eastAsia="zh-CN"/>
        </w:rPr>
        <w:t>信息</w:t>
      </w:r>
      <w:r>
        <w:rPr>
          <w:rFonts w:hint="eastAsia" w:ascii="仿宋_GB2312" w:hAnsi="仿宋_GB2312" w:eastAsia="仿宋_GB2312" w:cs="仿宋_GB2312"/>
          <w:spacing w:val="-8"/>
          <w:sz w:val="32"/>
          <w:szCs w:val="28"/>
        </w:rPr>
        <w:t>核对：核对</w:t>
      </w:r>
      <w:r>
        <w:rPr>
          <w:rFonts w:hint="eastAsia" w:ascii="仿宋_GB2312" w:hAnsi="仿宋_GB2312" w:eastAsia="仿宋_GB2312" w:cs="仿宋_GB2312"/>
          <w:sz w:val="32"/>
          <w:szCs w:val="28"/>
        </w:rPr>
        <w:t>GEC</w:t>
      </w:r>
      <w:r>
        <w:rPr>
          <w:rFonts w:hint="eastAsia" w:ascii="仿宋_GB2312" w:hAnsi="仿宋_GB2312" w:eastAsia="仿宋_GB2312" w:cs="仿宋_GB2312"/>
          <w:spacing w:val="-8"/>
          <w:sz w:val="32"/>
          <w:szCs w:val="28"/>
        </w:rPr>
        <w:t>对应的发电项目信息、电量信息</w:t>
      </w:r>
      <w:r>
        <w:rPr>
          <w:rFonts w:hint="eastAsia" w:ascii="仿宋_GB2312" w:hAnsi="仿宋_GB2312" w:eastAsia="仿宋_GB2312" w:cs="仿宋_GB2312"/>
          <w:spacing w:val="-14"/>
          <w:sz w:val="32"/>
          <w:szCs w:val="28"/>
        </w:rPr>
        <w:t>等是否与采购要求一致。若存在不一致情况</w:t>
      </w:r>
      <w:r>
        <w:rPr>
          <w:rFonts w:hint="eastAsia" w:ascii="仿宋_GB2312" w:hAnsi="仿宋_GB2312" w:eastAsia="仿宋_GB2312" w:cs="仿宋_GB2312"/>
          <w:spacing w:val="-14"/>
          <w:sz w:val="32"/>
          <w:szCs w:val="28"/>
          <w:lang w:eastAsia="zh-CN"/>
        </w:rPr>
        <w:t>，</w:t>
      </w:r>
      <w:r>
        <w:rPr>
          <w:rFonts w:hint="eastAsia" w:ascii="仿宋_GB2312" w:hAnsi="仿宋_GB2312" w:eastAsia="仿宋_GB2312" w:cs="仿宋_GB2312"/>
          <w:spacing w:val="-14"/>
          <w:sz w:val="32"/>
          <w:szCs w:val="28"/>
        </w:rPr>
        <w:t>供应商应提供合理</w:t>
      </w:r>
      <w:r>
        <w:rPr>
          <w:rFonts w:hint="eastAsia" w:ascii="仿宋_GB2312" w:hAnsi="仿宋_GB2312" w:eastAsia="仿宋_GB2312" w:cs="仿宋_GB2312"/>
          <w:sz w:val="32"/>
          <w:szCs w:val="28"/>
        </w:rPr>
        <w:t>说明，并按照采购方要求进行整改</w:t>
      </w:r>
      <w:r>
        <w:rPr>
          <w:rFonts w:hint="eastAsia" w:ascii="仿宋_GB2312" w:hAnsi="仿宋_GB2312" w:eastAsia="仿宋_GB2312" w:cs="仿宋_GB2312"/>
          <w:sz w:val="32"/>
          <w:szCs w:val="28"/>
          <w:lang w:eastAsia="zh-CN"/>
        </w:rPr>
        <w:t>，</w:t>
      </w:r>
      <w:r>
        <w:rPr>
          <w:rFonts w:hint="eastAsia" w:ascii="仿宋_GB2312" w:hAnsi="仿宋_GB2312" w:eastAsia="仿宋_GB2312" w:cs="仿宋_GB2312"/>
          <w:sz w:val="32"/>
          <w:szCs w:val="28"/>
        </w:rPr>
        <w:t>直至符合验收标准。</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仿宋_GB2312" w:hAnsi="仿宋_GB2312" w:eastAsia="仿宋_GB2312" w:cs="仿宋_GB2312"/>
          <w:spacing w:val="-6"/>
          <w:sz w:val="30"/>
          <w:szCs w:val="22"/>
          <w:lang w:val="zh-CN" w:eastAsia="zh-CN" w:bidi="zh-CN"/>
        </w:rPr>
      </w:pP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仿宋_GB2312" w:hAnsi="仿宋_GB2312" w:eastAsia="仿宋_GB2312" w:cs="仿宋_GB2312"/>
          <w:spacing w:val="-6"/>
          <w:sz w:val="30"/>
          <w:szCs w:val="22"/>
          <w:lang w:val="en-US" w:eastAsia="zh-CN" w:bidi="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7050D6"/>
    <w:multiLevelType w:val="singleLevel"/>
    <w:tmpl w:val="A47050D6"/>
    <w:lvl w:ilvl="0" w:tentative="0">
      <w:start w:val="1"/>
      <w:numFmt w:val="decimal"/>
      <w:lvlText w:val="(%1)"/>
      <w:lvlJc w:val="left"/>
      <w:pPr>
        <w:ind w:left="1055" w:hanging="425"/>
      </w:pPr>
      <w:rPr>
        <w:rFonts w:hint="default"/>
      </w:rPr>
    </w:lvl>
  </w:abstractNum>
  <w:abstractNum w:abstractNumId="1">
    <w:nsid w:val="C6D66051"/>
    <w:multiLevelType w:val="singleLevel"/>
    <w:tmpl w:val="C6D66051"/>
    <w:lvl w:ilvl="0" w:tentative="0">
      <w:start w:val="1"/>
      <w:numFmt w:val="decimal"/>
      <w:lvlText w:val="(%1)"/>
      <w:lvlJc w:val="left"/>
      <w:pPr>
        <w:ind w:left="1055" w:hanging="425"/>
      </w:pPr>
      <w:rPr>
        <w:rFonts w:hint="default"/>
      </w:rPr>
    </w:lvl>
  </w:abstractNum>
  <w:abstractNum w:abstractNumId="2">
    <w:nsid w:val="EBA317A3"/>
    <w:multiLevelType w:val="singleLevel"/>
    <w:tmpl w:val="EBA317A3"/>
    <w:lvl w:ilvl="0" w:tentative="0">
      <w:start w:val="1"/>
      <w:numFmt w:val="decimal"/>
      <w:lvlText w:val="(%1)"/>
      <w:lvlJc w:val="left"/>
      <w:pPr>
        <w:ind w:left="1055" w:hanging="425"/>
      </w:pPr>
      <w:rPr>
        <w:rFonts w:hint="default"/>
      </w:rPr>
    </w:lvl>
  </w:abstractNum>
  <w:abstractNum w:abstractNumId="3">
    <w:nsid w:val="738B51D0"/>
    <w:multiLevelType w:val="singleLevel"/>
    <w:tmpl w:val="738B51D0"/>
    <w:lvl w:ilvl="0" w:tentative="0">
      <w:start w:val="1"/>
      <w:numFmt w:val="decimal"/>
      <w:lvlText w:val="(%1)"/>
      <w:lvlJc w:val="left"/>
      <w:pPr>
        <w:ind w:left="1055" w:hanging="425"/>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AB5335"/>
    <w:rsid w:val="1AD4156C"/>
    <w:rsid w:val="1DBE52F9"/>
    <w:rsid w:val="3B9F1543"/>
    <w:rsid w:val="4E4E6CB7"/>
    <w:rsid w:val="51AB5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仿宋_GB2312" w:hAnsi="仿宋_GB2312" w:eastAsia="仿宋_GB2312" w:cs="仿宋_GB2312"/>
      <w:sz w:val="30"/>
      <w:szCs w:val="30"/>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2025-05-12T08:19:00Z</dcterms:created>
  <dc:creator>9B73BDABE1F54CE4BDAF7A77781E534A</dc:creator>
  <cp:lastModifiedBy>刘鑫雨</cp:lastModifiedBy>
  <cp:lastPrinted>2025-05-12T08:31:00Z</cp:lastPrinted>
  <dcterms:modified xsi:type="dcterms:W3CDTF">2026-06-01T10:26:34Z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6C9672C01A8A42ABAD1CDDA3CFF2891C</vt:lpwstr>
  </property>
</Properties>
</file>