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宋体" w:hAnsi="宋体" w:eastAsia="宋体" w:cs="宋体"/>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海南</w:t>
      </w:r>
      <w:r>
        <w:rPr>
          <w:rFonts w:hint="eastAsia" w:ascii="宋体" w:hAnsi="宋体" w:cs="宋体"/>
          <w:color w:val="auto"/>
          <w:sz w:val="21"/>
          <w:szCs w:val="21"/>
          <w:highlight w:val="none"/>
          <w:u w:val="single"/>
          <w:lang w:val="en-US" w:eastAsia="zh-CN"/>
        </w:rPr>
        <w:t>电网能源发展</w:t>
      </w:r>
      <w:r>
        <w:rPr>
          <w:rFonts w:hint="eastAsia" w:ascii="宋体" w:hAnsi="宋体" w:eastAsia="宋体" w:cs="宋体"/>
          <w:color w:val="auto"/>
          <w:sz w:val="21"/>
          <w:szCs w:val="21"/>
          <w:highlight w:val="none"/>
          <w:u w:val="single"/>
          <w:lang w:val="en-US" w:eastAsia="zh-CN"/>
        </w:rPr>
        <w:t>有限公司</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我公司愿意按照贵（</w:t>
      </w:r>
      <w:r>
        <w:rPr>
          <w:rFonts w:hint="eastAsia" w:ascii="宋体" w:hAnsi="宋体" w:eastAsia="宋体" w:cs="宋体"/>
          <w:color w:val="auto"/>
          <w:sz w:val="21"/>
          <w:szCs w:val="21"/>
          <w:highlight w:val="none"/>
          <w:u w:val="single"/>
          <w:lang w:val="en-US" w:eastAsia="zh-CN"/>
        </w:rPr>
        <w:t>单位</w:t>
      </w:r>
      <w:r>
        <w:rPr>
          <w:rFonts w:hint="eastAsia" w:ascii="宋体" w:hAnsi="宋体" w:eastAsia="宋体" w:cs="宋体"/>
          <w:color w:val="auto"/>
          <w:sz w:val="21"/>
          <w:szCs w:val="21"/>
          <w:highlight w:val="none"/>
          <w:lang w:val="en-US" w:eastAsia="zh-CN"/>
        </w:rPr>
        <w:t>）要求，按照以下报价和承诺提供所需的（</w:t>
      </w:r>
      <w:r>
        <w:rPr>
          <w:rFonts w:hint="eastAsia" w:ascii="宋体" w:hAnsi="宋体" w:cs="宋体"/>
          <w:color w:val="auto"/>
          <w:sz w:val="21"/>
          <w:szCs w:val="21"/>
          <w:highlight w:val="none"/>
          <w:u w:val="single"/>
          <w:lang w:val="en-US" w:eastAsia="zh-CN"/>
        </w:rPr>
        <w:t>货物</w:t>
      </w:r>
      <w:r>
        <w:rPr>
          <w:rFonts w:hint="eastAsia" w:ascii="宋体" w:hAnsi="宋体" w:eastAsia="宋体" w:cs="宋体"/>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一、报价情况</w:t>
      </w:r>
    </w:p>
    <w:tbl>
      <w:tblPr>
        <w:tblStyle w:val="5"/>
        <w:tblW w:w="11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530"/>
        <w:gridCol w:w="1044"/>
        <w:gridCol w:w="620"/>
        <w:gridCol w:w="650"/>
        <w:gridCol w:w="953"/>
        <w:gridCol w:w="1494"/>
        <w:gridCol w:w="1494"/>
        <w:gridCol w:w="1108"/>
        <w:gridCol w:w="1108"/>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序号</w:t>
            </w:r>
          </w:p>
        </w:tc>
        <w:tc>
          <w:tcPr>
            <w:tcW w:w="153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名称</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具体品牌及规格型号、技术参数等</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数量</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计量单位</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含税单价（元）</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含税单价限价（元）</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cs="宋体"/>
                <w:b/>
                <w:bCs/>
                <w:color w:val="auto"/>
                <w:sz w:val="18"/>
                <w:szCs w:val="18"/>
                <w:highlight w:val="none"/>
                <w:u w:val="none"/>
                <w:vertAlign w:val="baseline"/>
                <w:lang w:val="en-US" w:eastAsia="zh-CN"/>
              </w:rPr>
              <w:t>小计</w:t>
            </w:r>
            <w:r>
              <w:rPr>
                <w:rFonts w:hint="eastAsia" w:ascii="宋体" w:hAnsi="宋体" w:eastAsia="宋体" w:cs="宋体"/>
                <w:b/>
                <w:bCs/>
                <w:color w:val="auto"/>
                <w:sz w:val="18"/>
                <w:szCs w:val="18"/>
                <w:highlight w:val="none"/>
                <w:u w:val="none"/>
                <w:vertAlign w:val="baseline"/>
                <w:lang w:val="en-US" w:eastAsia="zh-CN"/>
              </w:rPr>
              <w:t>（元）</w:t>
            </w: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b/>
                <w:bCs/>
                <w:color w:val="auto"/>
                <w:sz w:val="18"/>
                <w:szCs w:val="18"/>
                <w:highlight w:val="none"/>
                <w:u w:val="none"/>
                <w:vertAlign w:val="baseline"/>
                <w:lang w:val="en-US" w:eastAsia="zh-CN"/>
              </w:rPr>
            </w:pPr>
            <w:r>
              <w:rPr>
                <w:rFonts w:hint="eastAsia" w:ascii="宋体" w:hAnsi="宋体" w:cs="宋体"/>
                <w:b/>
                <w:bCs/>
                <w:color w:val="auto"/>
                <w:sz w:val="18"/>
                <w:szCs w:val="18"/>
                <w:highlight w:val="none"/>
                <w:u w:val="none"/>
                <w:vertAlign w:val="baseline"/>
                <w:lang w:val="en-US" w:eastAsia="zh-CN"/>
              </w:rPr>
              <w:t>税率（%）</w:t>
            </w: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b/>
                <w:bCs/>
                <w:color w:val="auto"/>
                <w:sz w:val="18"/>
                <w:szCs w:val="18"/>
                <w:highlight w:val="none"/>
                <w:u w:val="none"/>
                <w:vertAlign w:val="baseline"/>
                <w:lang w:val="en-US" w:eastAsia="zh-CN"/>
              </w:rPr>
            </w:pPr>
            <w:r>
              <w:rPr>
                <w:rFonts w:hint="eastAsia" w:ascii="宋体" w:hAnsi="宋体" w:cs="宋体"/>
                <w:b/>
                <w:bCs/>
                <w:color w:val="auto"/>
                <w:sz w:val="18"/>
                <w:szCs w:val="18"/>
                <w:highlight w:val="none"/>
                <w:u w:val="none"/>
                <w:vertAlign w:val="baseline"/>
                <w:lang w:val="en-US" w:eastAsia="zh-CN"/>
              </w:rPr>
              <w:t>交货</w:t>
            </w:r>
            <w:r>
              <w:rPr>
                <w:rFonts w:hint="eastAsia" w:ascii="宋体" w:hAnsi="宋体" w:eastAsia="宋体" w:cs="宋体"/>
                <w:b/>
                <w:bCs/>
                <w:color w:val="auto"/>
                <w:sz w:val="18"/>
                <w:szCs w:val="18"/>
                <w:highlight w:val="none"/>
                <w:u w:val="none"/>
                <w:vertAlign w:val="baseline"/>
                <w:lang w:val="en-US" w:eastAsia="zh-CN"/>
              </w:rPr>
              <w:t>期</w:t>
            </w:r>
          </w:p>
        </w:tc>
        <w:tc>
          <w:tcPr>
            <w:tcW w:w="72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b/>
                <w:bCs/>
                <w:color w:val="auto"/>
                <w:sz w:val="18"/>
                <w:szCs w:val="18"/>
                <w:highlight w:val="none"/>
                <w:u w:val="none"/>
                <w:vertAlign w:val="baseline"/>
                <w:lang w:val="en-US" w:eastAsia="zh-CN"/>
              </w:rPr>
            </w:pPr>
            <w:r>
              <w:rPr>
                <w:rFonts w:hint="eastAsia" w:ascii="宋体" w:hAnsi="宋体" w:eastAsia="宋体" w:cs="宋体"/>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eastAsia="宋体" w:cs="宋体"/>
                <w:color w:val="auto"/>
                <w:sz w:val="18"/>
                <w:szCs w:val="18"/>
                <w:highlight w:val="none"/>
                <w:u w:val="none"/>
                <w:vertAlign w:val="baseline"/>
                <w:lang w:val="en-US" w:eastAsia="zh-CN"/>
              </w:rPr>
            </w:pPr>
            <w:r>
              <w:rPr>
                <w:rFonts w:hint="eastAsia" w:ascii="宋体" w:hAnsi="宋体" w:eastAsia="宋体" w:cs="宋体"/>
                <w:color w:val="auto"/>
                <w:sz w:val="18"/>
                <w:szCs w:val="18"/>
                <w:highlight w:val="none"/>
                <w:u w:val="none"/>
                <w:vertAlign w:val="baseline"/>
                <w:lang w:val="en-US" w:eastAsia="zh-CN"/>
              </w:rPr>
              <w:t>1</w:t>
            </w:r>
          </w:p>
        </w:tc>
        <w:tc>
          <w:tcPr>
            <w:tcW w:w="1530" w:type="dxa"/>
            <w:vAlign w:val="center"/>
          </w:tcPr>
          <w:p>
            <w:pPr>
              <w:numPr>
                <w:ilvl w:val="0"/>
                <w:numId w:val="0"/>
              </w:numPr>
              <w:jc w:val="center"/>
              <w:rPr>
                <w:rFonts w:hint="default" w:ascii="宋体" w:hAnsi="宋体" w:eastAsia="宋体" w:cs="宋体"/>
                <w:color w:val="auto"/>
                <w:sz w:val="18"/>
                <w:szCs w:val="18"/>
                <w:highlight w:val="none"/>
                <w:u w:val="none"/>
                <w:vertAlign w:val="baseli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220kV安全工器具收纳箱</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 xml:space="preserve">     /</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10</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个</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1750</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收到成交通知书后十日内</w:t>
            </w:r>
          </w:p>
        </w:tc>
        <w:tc>
          <w:tcPr>
            <w:tcW w:w="723"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2</w:t>
            </w:r>
          </w:p>
        </w:tc>
        <w:tc>
          <w:tcPr>
            <w:tcW w:w="1530" w:type="dxa"/>
            <w:vAlign w:val="center"/>
          </w:tcPr>
          <w:p>
            <w:pPr>
              <w:numPr>
                <w:ilvl w:val="0"/>
                <w:numId w:val="0"/>
              </w:numPr>
              <w:ind w:left="0" w:leftChars="0" w:firstLine="0" w:firstLineChars="0"/>
              <w:jc w:val="center"/>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110kV安全工器具收纳箱</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10</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个</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1750</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p>
        </w:tc>
        <w:tc>
          <w:tcPr>
            <w:tcW w:w="72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2"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3</w:t>
            </w:r>
          </w:p>
        </w:tc>
        <w:tc>
          <w:tcPr>
            <w:tcW w:w="1530" w:type="dxa"/>
            <w:vAlign w:val="center"/>
          </w:tcPr>
          <w:p>
            <w:pPr>
              <w:numPr>
                <w:ilvl w:val="0"/>
                <w:numId w:val="0"/>
              </w:numPr>
              <w:ind w:left="0" w:leftChars="0" w:firstLine="0" w:firstLineChars="0"/>
              <w:jc w:val="center"/>
              <w:rPr>
                <w:rFonts w:hint="eastAsia" w:asciiTheme="minorEastAsia" w:hAnsiTheme="minorEastAsia" w:eastAsiaTheme="minorEastAsia" w:cstheme="minorEastAsia"/>
                <w:b w:val="0"/>
                <w:bCs w:val="0"/>
                <w:color w:val="auto"/>
                <w:sz w:val="18"/>
                <w:szCs w:val="18"/>
                <w:highlight w:val="none"/>
                <w:lang w:val="en-US" w:eastAsia="zh-CN"/>
              </w:rPr>
            </w:pPr>
            <w:r>
              <w:rPr>
                <w:rFonts w:hint="eastAsia" w:asciiTheme="minorEastAsia" w:hAnsiTheme="minorEastAsia" w:eastAsiaTheme="minorEastAsia" w:cstheme="minorEastAsia"/>
                <w:b w:val="0"/>
                <w:bCs w:val="0"/>
                <w:color w:val="auto"/>
                <w:sz w:val="18"/>
                <w:szCs w:val="18"/>
                <w:highlight w:val="none"/>
                <w:lang w:val="en-US" w:eastAsia="zh-CN"/>
              </w:rPr>
              <w:t>35kV安全工器具收纳箱</w:t>
            </w:r>
          </w:p>
        </w:tc>
        <w:tc>
          <w:tcPr>
            <w:tcW w:w="104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w:t>
            </w:r>
          </w:p>
        </w:tc>
        <w:tc>
          <w:tcPr>
            <w:tcW w:w="62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8</w:t>
            </w:r>
          </w:p>
        </w:tc>
        <w:tc>
          <w:tcPr>
            <w:tcW w:w="65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个</w:t>
            </w:r>
          </w:p>
        </w:tc>
        <w:tc>
          <w:tcPr>
            <w:tcW w:w="95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1750</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p>
        </w:tc>
        <w:tc>
          <w:tcPr>
            <w:tcW w:w="72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289"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r>
              <w:rPr>
                <w:rFonts w:hint="eastAsia" w:ascii="宋体" w:hAnsi="宋体" w:cs="宋体"/>
                <w:color w:val="auto"/>
                <w:sz w:val="18"/>
                <w:szCs w:val="18"/>
                <w:highlight w:val="none"/>
                <w:u w:val="none"/>
                <w:vertAlign w:val="baseline"/>
                <w:lang w:val="en-US" w:eastAsia="zh-CN"/>
              </w:rPr>
              <w:t>合计：</w:t>
            </w: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p>
        </w:tc>
        <w:tc>
          <w:tcPr>
            <w:tcW w:w="14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c>
          <w:tcPr>
            <w:tcW w:w="110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宋体" w:hAnsi="宋体" w:cs="宋体"/>
                <w:color w:val="auto"/>
                <w:sz w:val="18"/>
                <w:szCs w:val="18"/>
                <w:highlight w:val="none"/>
                <w:u w:val="none"/>
                <w:vertAlign w:val="baseline"/>
                <w:lang w:val="en-US" w:eastAsia="zh-CN"/>
              </w:rPr>
            </w:pPr>
          </w:p>
        </w:tc>
        <w:tc>
          <w:tcPr>
            <w:tcW w:w="72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宋体" w:hAnsi="宋体" w:eastAsia="宋体" w:cs="宋体"/>
                <w:color w:val="auto"/>
                <w:sz w:val="18"/>
                <w:szCs w:val="18"/>
                <w:highlight w:val="none"/>
                <w:u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1.上述含运输</w:t>
      </w:r>
      <w:r>
        <w:rPr>
          <w:rFonts w:hint="eastAsia" w:ascii="宋体" w:hAnsi="宋体" w:eastAsia="宋体" w:cs="宋体"/>
          <w:color w:val="auto"/>
          <w:sz w:val="21"/>
          <w:szCs w:val="21"/>
          <w:highlight w:val="none"/>
          <w:u w:val="none"/>
          <w:lang w:val="en-US" w:eastAsia="zh-CN"/>
        </w:rPr>
        <w:t>费、</w:t>
      </w:r>
      <w:r>
        <w:rPr>
          <w:rFonts w:hint="eastAsia" w:ascii="宋体" w:hAnsi="宋体" w:cs="宋体"/>
          <w:color w:val="auto"/>
          <w:sz w:val="21"/>
          <w:szCs w:val="21"/>
          <w:highlight w:val="none"/>
          <w:u w:val="none"/>
          <w:lang w:val="en-US" w:eastAsia="zh-CN"/>
        </w:rPr>
        <w:t>卸货费、</w:t>
      </w:r>
      <w:r>
        <w:rPr>
          <w:rFonts w:hint="eastAsia" w:asciiTheme="minorEastAsia" w:hAnsiTheme="minorEastAsia" w:eastAsiaTheme="minorEastAsia" w:cstheme="minorEastAsia"/>
          <w:b w:val="0"/>
          <w:bCs w:val="0"/>
          <w:color w:val="auto"/>
          <w:sz w:val="21"/>
          <w:szCs w:val="21"/>
          <w:highlight w:val="none"/>
          <w:u w:val="none"/>
          <w:lang w:val="en-US" w:eastAsia="zh-CN"/>
        </w:rPr>
        <w:t>含税价（增值税专用发票）。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2.单价报价超过单价限价无效报价。 开标后采购人发现供应商的报价明显低于其他采购报价或低于成本价的，可要求供应商补充提供书面说明和</w:t>
      </w:r>
      <w:bookmarkStart w:id="0" w:name="_GoBack"/>
      <w:bookmarkEnd w:id="0"/>
      <w:r>
        <w:rPr>
          <w:rFonts w:hint="eastAsia" w:asciiTheme="minorEastAsia" w:hAnsiTheme="minorEastAsia" w:eastAsiaTheme="minorEastAsia" w:cstheme="minorEastAsia"/>
          <w:b w:val="0"/>
          <w:bCs w:val="0"/>
          <w:color w:val="auto"/>
          <w:sz w:val="21"/>
          <w:szCs w:val="21"/>
          <w:highlight w:val="none"/>
          <w:u w:val="none"/>
          <w:lang w:val="en-US" w:eastAsia="zh-CN"/>
        </w:rPr>
        <w:t>相关证明材料，供应商不提供或提供的材料不能合理说明报价的，视为无效报价。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default"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3.结算方式：全部货物验收合格并移交后，凭符合要求的增值税专用发票（金额为全部费用的100%）申请支付手续，凭到货证明办理结算款。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4.联系人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rPr>
          <w:rFonts w:hint="eastAsia" w:ascii="宋体" w:hAnsi="宋体" w:eastAsia="宋体" w:cs="宋体"/>
          <w:b/>
          <w:bCs/>
          <w:color w:val="auto"/>
          <w:sz w:val="21"/>
          <w:szCs w:val="21"/>
          <w:highlight w:val="none"/>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MTg5OTkxZTRhMTFjZDQ0MzQ4ZmYzODE3ZDI3NTYifQ=="/>
  </w:docVars>
  <w:rsids>
    <w:rsidRoot w:val="00000000"/>
    <w:rsid w:val="01FA4AAB"/>
    <w:rsid w:val="021E6506"/>
    <w:rsid w:val="03F313D1"/>
    <w:rsid w:val="07C5765D"/>
    <w:rsid w:val="0A006EB5"/>
    <w:rsid w:val="0D3C1D7E"/>
    <w:rsid w:val="14C07AB8"/>
    <w:rsid w:val="17E26241"/>
    <w:rsid w:val="184D50FE"/>
    <w:rsid w:val="18B55FD6"/>
    <w:rsid w:val="235974A8"/>
    <w:rsid w:val="287E0B45"/>
    <w:rsid w:val="2AB75CE7"/>
    <w:rsid w:val="2C72738B"/>
    <w:rsid w:val="30AB09B1"/>
    <w:rsid w:val="3C4773FC"/>
    <w:rsid w:val="3FB927EA"/>
    <w:rsid w:val="44C47D79"/>
    <w:rsid w:val="55BC235C"/>
    <w:rsid w:val="591653F5"/>
    <w:rsid w:val="5ED76D15"/>
    <w:rsid w:val="60644CD3"/>
    <w:rsid w:val="65BB0C79"/>
    <w:rsid w:val="65DB34D7"/>
    <w:rsid w:val="6BAA0347"/>
    <w:rsid w:val="6F7B2195"/>
    <w:rsid w:val="712B7D35"/>
    <w:rsid w:val="74F753BE"/>
    <w:rsid w:val="75556EEE"/>
    <w:rsid w:val="78DF0714"/>
    <w:rsid w:val="799D2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285</Words>
  <Characters>313</Characters>
  <Paragraphs>37</Paragraphs>
  <TotalTime>34</TotalTime>
  <ScaleCrop>false</ScaleCrop>
  <LinksUpToDate>false</LinksUpToDate>
  <CharactersWithSpaces>343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周祖涛</cp:lastModifiedBy>
  <dcterms:modified xsi:type="dcterms:W3CDTF">2026-06-09T08:31:03Z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070134B5A725443980BF47B091152E2F</vt:lpwstr>
  </property>
  <property fmtid="{D5CDD505-2E9C-101B-9397-08002B2CF9AE}" pid="4" name="KSOTemplateDocerSaveRecord">
    <vt:lpwstr>eyJoZGlkIjoiMzhiMTg5OTkxZTRhMTFjZDQ0MzQ4ZmYzODE3ZDI3NTYiLCJ1c2VySWQiOiI0Mjc2NDE3OTAifQ==</vt:lpwstr>
  </property>
</Properties>
</file>