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eastAsia="宋体" w:cs="宋体"/>
          <w:b/>
          <w:bCs/>
          <w:strike/>
          <w:dstrike w:val="0"/>
          <w:color w:val="0000FF"/>
          <w:sz w:val="44"/>
          <w:szCs w:val="44"/>
          <w:highlight w:val="none"/>
          <w:lang w:val="en-US" w:eastAsia="zh-CN"/>
        </w:rPr>
      </w:pPr>
      <w:r>
        <w:rPr>
          <w:rFonts w:hint="eastAsia" w:ascii="宋体" w:hAnsi="宋体" w:eastAsia="宋体" w:cs="宋体"/>
          <w:b/>
          <w:bCs/>
          <w:color w:val="auto"/>
          <w:sz w:val="44"/>
          <w:szCs w:val="44"/>
          <w:highlight w:val="none"/>
          <w:lang w:val="en-US" w:eastAsia="zh-CN"/>
        </w:rPr>
        <w:t>服务采购需求</w:t>
      </w:r>
    </w:p>
    <w:p>
      <w:pPr>
        <w:pStyle w:val="3"/>
        <w:numPr>
          <w:ilvl w:val="0"/>
          <w:numId w:val="2"/>
        </w:numPr>
        <w:spacing w:line="360" w:lineRule="auto"/>
        <w:ind w:leftChars="0"/>
        <w:rPr>
          <w:rFonts w:hint="eastAsia" w:ascii="仿宋" w:hAnsi="仿宋" w:eastAsia="仿宋" w:cs="仿宋"/>
          <w:b w:val="0"/>
          <w:bCs w:val="0"/>
          <w:snapToGrid/>
          <w:color w:val="auto"/>
          <w:kern w:val="0"/>
          <w:sz w:val="32"/>
          <w:szCs w:val="32"/>
          <w:highlight w:val="none"/>
          <w:lang w:val="en-US" w:eastAsia="zh-CN" w:bidi="ar-SA"/>
        </w:rPr>
      </w:pPr>
      <w:r>
        <w:rPr>
          <w:rFonts w:hint="eastAsia" w:ascii="仿宋" w:hAnsi="仿宋" w:eastAsia="仿宋" w:cs="仿宋"/>
          <w:b w:val="0"/>
          <w:bCs w:val="0"/>
          <w:snapToGrid/>
          <w:color w:val="auto"/>
          <w:kern w:val="0"/>
          <w:sz w:val="32"/>
          <w:szCs w:val="32"/>
          <w:highlight w:val="none"/>
          <w:lang w:val="en-US" w:eastAsia="zh-CN" w:bidi="ar-SA"/>
        </w:rPr>
        <w:t>项目背景</w:t>
      </w:r>
    </w:p>
    <w:p>
      <w:pPr>
        <w:pStyle w:val="3"/>
        <w:numPr>
          <w:ilvl w:val="0"/>
          <w:numId w:val="0"/>
        </w:numPr>
        <w:spacing w:line="360" w:lineRule="auto"/>
        <w:ind w:leftChars="0" w:firstLine="640" w:firstLineChars="200"/>
        <w:rPr>
          <w:rStyle w:val="6"/>
          <w:rFonts w:hint="eastAsia" w:ascii="仿宋" w:hAnsi="仿宋" w:eastAsia="仿宋" w:cs="仿宋"/>
          <w:b w:val="0"/>
          <w:bCs w:val="0"/>
          <w:i w:val="0"/>
          <w:iCs w:val="0"/>
          <w:snapToGrid/>
          <w:color w:val="auto"/>
          <w:kern w:val="0"/>
          <w:sz w:val="32"/>
          <w:szCs w:val="32"/>
          <w:highlight w:val="none"/>
          <w:lang w:val="en-US" w:eastAsia="zh-CN" w:bidi="ar"/>
        </w:rPr>
      </w:pPr>
      <w:r>
        <w:rPr>
          <w:rStyle w:val="6"/>
          <w:rFonts w:hint="eastAsia" w:ascii="仿宋" w:hAnsi="仿宋" w:eastAsia="仿宋" w:cs="仿宋"/>
          <w:b w:val="0"/>
          <w:bCs w:val="0"/>
          <w:i w:val="0"/>
          <w:iCs w:val="0"/>
          <w:snapToGrid/>
          <w:color w:val="auto"/>
          <w:kern w:val="0"/>
          <w:sz w:val="32"/>
          <w:szCs w:val="32"/>
          <w:highlight w:val="none"/>
          <w:lang w:val="en-US" w:eastAsia="zh-CN" w:bidi="ar"/>
        </w:rPr>
        <w:t>为保障采购方卫星通信业务合法合规运营，落实无线电管理及电信业务经营相关监管要求，拟需采购委托专业服务机构，提供全程协助办理 A23-2国内甚小口径终端地球站（VSAT）通信业务经营许可证、基于老挝一号卫星的《卫星无线电频率使用许可》全流程申报辅助工作。</w:t>
      </w:r>
    </w:p>
    <w:p>
      <w:pPr>
        <w:pStyle w:val="3"/>
        <w:numPr>
          <w:ilvl w:val="0"/>
          <w:numId w:val="2"/>
        </w:numPr>
        <w:spacing w:line="360" w:lineRule="auto"/>
        <w:ind w:leftChars="0"/>
        <w:rPr>
          <w:rFonts w:hint="eastAsia" w:ascii="仿宋" w:hAnsi="仿宋" w:eastAsia="仿宋" w:cs="仿宋"/>
          <w:b w:val="0"/>
          <w:bCs w:val="0"/>
          <w:snapToGrid/>
          <w:color w:val="auto"/>
          <w:kern w:val="0"/>
          <w:sz w:val="32"/>
          <w:szCs w:val="32"/>
          <w:highlight w:val="none"/>
          <w:lang w:val="en-US" w:eastAsia="zh-CN" w:bidi="ar-SA"/>
        </w:rPr>
      </w:pPr>
      <w:r>
        <w:rPr>
          <w:rFonts w:hint="eastAsia" w:ascii="仿宋" w:hAnsi="仿宋" w:eastAsia="仿宋" w:cs="仿宋"/>
          <w:b w:val="0"/>
          <w:bCs w:val="0"/>
          <w:snapToGrid/>
          <w:color w:val="auto"/>
          <w:kern w:val="0"/>
          <w:sz w:val="32"/>
          <w:szCs w:val="32"/>
          <w:highlight w:val="none"/>
          <w:lang w:val="en-US" w:eastAsia="zh-CN" w:bidi="ar-SA"/>
        </w:rPr>
        <w:t>服务内容</w:t>
      </w:r>
    </w:p>
    <w:p>
      <w:pPr>
        <w:pStyle w:val="3"/>
        <w:numPr>
          <w:ilvl w:val="0"/>
          <w:numId w:val="0"/>
        </w:numPr>
        <w:spacing w:line="360" w:lineRule="auto"/>
        <w:ind w:leftChars="0" w:firstLine="640" w:firstLineChars="200"/>
        <w:rPr>
          <w:rStyle w:val="6"/>
          <w:rFonts w:hint="eastAsia" w:ascii="仿宋" w:hAnsi="仿宋" w:eastAsia="仿宋" w:cs="仿宋"/>
          <w:b w:val="0"/>
          <w:bCs w:val="0"/>
          <w:i w:val="0"/>
          <w:iCs w:val="0"/>
          <w:snapToGrid/>
          <w:color w:val="auto"/>
          <w:kern w:val="0"/>
          <w:sz w:val="32"/>
          <w:szCs w:val="32"/>
          <w:highlight w:val="none"/>
          <w:lang w:val="en-US" w:eastAsia="zh-CN" w:bidi="ar"/>
        </w:rPr>
      </w:pPr>
      <w:r>
        <w:rPr>
          <w:rStyle w:val="6"/>
          <w:rFonts w:hint="eastAsia" w:ascii="仿宋" w:hAnsi="仿宋" w:eastAsia="仿宋" w:cs="仿宋"/>
          <w:b w:val="0"/>
          <w:bCs w:val="0"/>
          <w:i w:val="0"/>
          <w:iCs w:val="0"/>
          <w:snapToGrid/>
          <w:color w:val="auto"/>
          <w:kern w:val="0"/>
          <w:sz w:val="32"/>
          <w:szCs w:val="32"/>
          <w:highlight w:val="none"/>
          <w:lang w:val="en-US" w:eastAsia="zh-CN" w:bidi="ar"/>
        </w:rPr>
        <w:t>1. 响应对象依据《电信业务经营许可管理办法》《无线电频率使用许可管理办法》《中华人民共和国无线电管理条例》等通信管理、无线电管理相关法规要求，协助采购方完成全流程政策咨询、材料编制、方案梳理、审核配合等申报辅助服务。</w:t>
      </w:r>
    </w:p>
    <w:p>
      <w:pPr>
        <w:pStyle w:val="3"/>
        <w:numPr>
          <w:ilvl w:val="0"/>
          <w:numId w:val="0"/>
        </w:numPr>
        <w:spacing w:line="360" w:lineRule="auto"/>
        <w:ind w:leftChars="0" w:firstLine="640" w:firstLineChars="200"/>
        <w:rPr>
          <w:rStyle w:val="6"/>
          <w:rFonts w:hint="eastAsia" w:ascii="仿宋" w:hAnsi="仿宋" w:eastAsia="仿宋" w:cs="仿宋"/>
          <w:b w:val="0"/>
          <w:bCs w:val="0"/>
          <w:i w:val="0"/>
          <w:iCs w:val="0"/>
          <w:snapToGrid/>
          <w:color w:val="auto"/>
          <w:kern w:val="0"/>
          <w:sz w:val="32"/>
          <w:szCs w:val="32"/>
          <w:highlight w:val="none"/>
          <w:lang w:val="en-US" w:eastAsia="zh-CN" w:bidi="ar"/>
        </w:rPr>
      </w:pPr>
      <w:r>
        <w:rPr>
          <w:rStyle w:val="6"/>
          <w:rFonts w:hint="eastAsia" w:ascii="仿宋" w:hAnsi="仿宋" w:eastAsia="仿宋" w:cs="仿宋"/>
          <w:b w:val="0"/>
          <w:bCs w:val="0"/>
          <w:i w:val="0"/>
          <w:iCs w:val="0"/>
          <w:snapToGrid/>
          <w:color w:val="auto"/>
          <w:kern w:val="0"/>
          <w:sz w:val="32"/>
          <w:szCs w:val="32"/>
          <w:highlight w:val="none"/>
          <w:lang w:val="en-US" w:eastAsia="zh-CN" w:bidi="ar"/>
        </w:rPr>
        <w:t>2. 响应对象协助采购方对接电信主管部门、无线电管理机构，跟进审批进度，协调解决审批过程中的合规性问题，配合完成材料补正、审核答辩等工作。</w:t>
      </w:r>
    </w:p>
    <w:p>
      <w:pPr>
        <w:pStyle w:val="3"/>
        <w:numPr>
          <w:ilvl w:val="0"/>
          <w:numId w:val="0"/>
        </w:numPr>
        <w:spacing w:line="360" w:lineRule="auto"/>
        <w:ind w:leftChars="0" w:firstLine="640" w:firstLineChars="200"/>
        <w:rPr>
          <w:rStyle w:val="6"/>
          <w:rFonts w:hint="eastAsia" w:ascii="仿宋" w:hAnsi="仿宋" w:eastAsia="仿宋" w:cs="仿宋"/>
          <w:b w:val="0"/>
          <w:bCs w:val="0"/>
          <w:i w:val="0"/>
          <w:iCs w:val="0"/>
          <w:snapToGrid/>
          <w:color w:val="auto"/>
          <w:kern w:val="0"/>
          <w:sz w:val="32"/>
          <w:szCs w:val="32"/>
          <w:highlight w:val="none"/>
          <w:lang w:val="en-US" w:eastAsia="zh-CN" w:bidi="ar"/>
        </w:rPr>
      </w:pPr>
      <w:r>
        <w:rPr>
          <w:rStyle w:val="6"/>
          <w:rFonts w:hint="eastAsia" w:ascii="仿宋" w:hAnsi="仿宋" w:eastAsia="仿宋" w:cs="仿宋"/>
          <w:b w:val="0"/>
          <w:bCs w:val="0"/>
          <w:i w:val="0"/>
          <w:iCs w:val="0"/>
          <w:snapToGrid/>
          <w:color w:val="auto"/>
          <w:kern w:val="0"/>
          <w:sz w:val="32"/>
          <w:szCs w:val="32"/>
          <w:highlight w:val="none"/>
          <w:lang w:val="en-US" w:eastAsia="zh-CN" w:bidi="ar"/>
        </w:rPr>
        <w:t>3. 合同签订后7个工作日内制定项目工作计划、材料清单，明确办理节点与交付物，提交采购方审核，经采购方审核无误后按计划推进实施，确保6个月内成功取证及完成备案工作。</w:t>
      </w:r>
    </w:p>
    <w:p>
      <w:pPr>
        <w:pStyle w:val="3"/>
        <w:numPr>
          <w:ilvl w:val="0"/>
          <w:numId w:val="0"/>
        </w:numPr>
        <w:spacing w:line="360" w:lineRule="auto"/>
        <w:ind w:leftChars="0" w:firstLine="640" w:firstLineChars="200"/>
        <w:rPr>
          <w:rStyle w:val="6"/>
          <w:rFonts w:hint="eastAsia" w:ascii="仿宋" w:hAnsi="仿宋" w:eastAsia="仿宋" w:cs="仿宋"/>
          <w:b w:val="0"/>
          <w:bCs w:val="0"/>
          <w:i w:val="0"/>
          <w:iCs w:val="0"/>
          <w:snapToGrid/>
          <w:color w:val="auto"/>
          <w:kern w:val="0"/>
          <w:sz w:val="32"/>
          <w:szCs w:val="32"/>
          <w:highlight w:val="none"/>
          <w:lang w:val="en-US" w:eastAsia="zh-CN" w:bidi="ar"/>
        </w:rPr>
      </w:pPr>
      <w:r>
        <w:rPr>
          <w:rStyle w:val="6"/>
          <w:rFonts w:hint="eastAsia" w:ascii="仿宋" w:hAnsi="仿宋" w:eastAsia="仿宋" w:cs="仿宋"/>
          <w:b w:val="0"/>
          <w:bCs w:val="0"/>
          <w:i w:val="0"/>
          <w:iCs w:val="0"/>
          <w:snapToGrid/>
          <w:color w:val="auto"/>
          <w:kern w:val="0"/>
          <w:sz w:val="32"/>
          <w:szCs w:val="32"/>
          <w:highlight w:val="none"/>
          <w:lang w:val="en-US" w:eastAsia="zh-CN" w:bidi="ar"/>
        </w:rPr>
        <w:t>4. 响应对象指导采购方规范准备企业基础资料、业务技术材料，配合完成申报全流程配合工作。</w:t>
      </w:r>
    </w:p>
    <w:p>
      <w:pPr>
        <w:pStyle w:val="3"/>
        <w:numPr>
          <w:ilvl w:val="0"/>
          <w:numId w:val="0"/>
        </w:numPr>
        <w:spacing w:line="360" w:lineRule="auto"/>
        <w:ind w:leftChars="0" w:firstLine="640" w:firstLineChars="200"/>
        <w:rPr>
          <w:rStyle w:val="6"/>
          <w:rFonts w:hint="eastAsia" w:ascii="仿宋" w:hAnsi="仿宋" w:eastAsia="仿宋" w:cs="仿宋"/>
          <w:b w:val="0"/>
          <w:bCs w:val="0"/>
          <w:i w:val="0"/>
          <w:iCs w:val="0"/>
          <w:snapToGrid/>
          <w:color w:val="auto"/>
          <w:kern w:val="0"/>
          <w:sz w:val="32"/>
          <w:szCs w:val="32"/>
          <w:highlight w:val="none"/>
          <w:lang w:val="en-US" w:eastAsia="zh-CN" w:bidi="ar"/>
        </w:rPr>
      </w:pPr>
      <w:r>
        <w:rPr>
          <w:rStyle w:val="6"/>
          <w:rFonts w:hint="eastAsia" w:ascii="仿宋" w:hAnsi="仿宋" w:eastAsia="仿宋" w:cs="仿宋"/>
          <w:b w:val="0"/>
          <w:bCs w:val="0"/>
          <w:i w:val="0"/>
          <w:iCs w:val="0"/>
          <w:snapToGrid/>
          <w:color w:val="auto"/>
          <w:kern w:val="0"/>
          <w:sz w:val="32"/>
          <w:szCs w:val="32"/>
          <w:highlight w:val="none"/>
          <w:lang w:val="en-US" w:eastAsia="zh-CN" w:bidi="ar"/>
        </w:rPr>
        <w:t>5. 响应对象全程跟踪项目推进，直至采购方成功取得全部许可文件。</w:t>
      </w:r>
    </w:p>
    <w:p>
      <w:pPr>
        <w:pStyle w:val="3"/>
        <w:numPr>
          <w:ilvl w:val="0"/>
          <w:numId w:val="0"/>
        </w:numPr>
        <w:spacing w:line="360" w:lineRule="auto"/>
        <w:ind w:leftChars="0" w:firstLine="640" w:firstLineChars="200"/>
        <w:rPr>
          <w:rStyle w:val="6"/>
          <w:rFonts w:hint="eastAsia" w:ascii="仿宋" w:hAnsi="仿宋" w:eastAsia="仿宋" w:cs="仿宋"/>
          <w:b w:val="0"/>
          <w:bCs w:val="0"/>
          <w:i w:val="0"/>
          <w:iCs w:val="0"/>
          <w:snapToGrid/>
          <w:color w:val="auto"/>
          <w:kern w:val="0"/>
          <w:sz w:val="32"/>
          <w:szCs w:val="32"/>
          <w:highlight w:val="none"/>
          <w:lang w:val="en-US" w:eastAsia="zh-CN" w:bidi="ar"/>
        </w:rPr>
      </w:pPr>
      <w:r>
        <w:rPr>
          <w:rStyle w:val="6"/>
          <w:rFonts w:hint="eastAsia" w:ascii="仿宋" w:hAnsi="仿宋" w:eastAsia="仿宋" w:cs="仿宋"/>
          <w:b w:val="0"/>
          <w:bCs w:val="0"/>
          <w:i w:val="0"/>
          <w:iCs w:val="0"/>
          <w:snapToGrid/>
          <w:color w:val="auto"/>
          <w:kern w:val="0"/>
          <w:sz w:val="32"/>
          <w:szCs w:val="32"/>
          <w:highlight w:val="none"/>
          <w:lang w:val="en-US" w:eastAsia="zh-CN" w:bidi="ar"/>
        </w:rPr>
        <w:t>6. 根据采购方或项目需求，如有必要，提供项目相关培训、售后服务与技术支持。</w:t>
      </w:r>
    </w:p>
    <w:p>
      <w:pPr>
        <w:pStyle w:val="3"/>
        <w:numPr>
          <w:ilvl w:val="0"/>
          <w:numId w:val="2"/>
        </w:numPr>
        <w:spacing w:line="360" w:lineRule="auto"/>
        <w:ind w:leftChars="0"/>
        <w:rPr>
          <w:rFonts w:hint="eastAsia" w:ascii="仿宋" w:hAnsi="仿宋" w:eastAsia="仿宋" w:cs="仿宋"/>
          <w:b w:val="0"/>
          <w:bCs w:val="0"/>
          <w:snapToGrid/>
          <w:color w:val="auto"/>
          <w:kern w:val="0"/>
          <w:sz w:val="32"/>
          <w:szCs w:val="32"/>
          <w:highlight w:val="none"/>
          <w:lang w:val="en-US" w:eastAsia="zh-CN" w:bidi="ar-SA"/>
        </w:rPr>
      </w:pPr>
      <w:r>
        <w:rPr>
          <w:rFonts w:hint="eastAsia" w:ascii="仿宋" w:hAnsi="仿宋" w:eastAsia="仿宋" w:cs="仿宋"/>
          <w:b w:val="0"/>
          <w:bCs w:val="0"/>
          <w:snapToGrid/>
          <w:color w:val="auto"/>
          <w:kern w:val="0"/>
          <w:sz w:val="32"/>
          <w:szCs w:val="32"/>
          <w:highlight w:val="none"/>
          <w:lang w:val="en-US" w:eastAsia="zh-CN" w:bidi="ar-SA"/>
        </w:rPr>
        <w:t>服务期限</w:t>
      </w:r>
    </w:p>
    <w:p>
      <w:pPr>
        <w:pStyle w:val="3"/>
        <w:numPr>
          <w:ilvl w:val="0"/>
          <w:numId w:val="0"/>
        </w:numPr>
        <w:spacing w:line="360" w:lineRule="auto"/>
        <w:ind w:leftChars="0" w:firstLine="640" w:firstLineChars="200"/>
        <w:rPr>
          <w:rStyle w:val="6"/>
          <w:rFonts w:hint="eastAsia" w:ascii="仿宋" w:hAnsi="仿宋" w:eastAsia="仿宋" w:cs="仿宋"/>
          <w:b w:val="0"/>
          <w:bCs w:val="0"/>
          <w:i w:val="0"/>
          <w:iCs w:val="0"/>
          <w:snapToGrid/>
          <w:color w:val="auto"/>
          <w:kern w:val="0"/>
          <w:sz w:val="32"/>
          <w:szCs w:val="32"/>
          <w:highlight w:val="none"/>
          <w:lang w:val="en-US" w:eastAsia="zh-CN" w:bidi="ar"/>
        </w:rPr>
      </w:pPr>
      <w:r>
        <w:rPr>
          <w:rStyle w:val="6"/>
          <w:rFonts w:hint="eastAsia" w:ascii="仿宋" w:hAnsi="仿宋" w:eastAsia="仿宋" w:cs="仿宋"/>
          <w:b w:val="0"/>
          <w:bCs w:val="0"/>
          <w:i w:val="0"/>
          <w:iCs w:val="0"/>
          <w:snapToGrid/>
          <w:color w:val="auto"/>
          <w:kern w:val="0"/>
          <w:sz w:val="32"/>
          <w:szCs w:val="32"/>
          <w:highlight w:val="none"/>
          <w:lang w:val="en-US" w:eastAsia="zh-CN" w:bidi="ar"/>
        </w:rPr>
        <w:t>自合同签订之日起6个月内完成全部取证及备案工作。</w:t>
      </w:r>
    </w:p>
    <w:p>
      <w:pPr>
        <w:pStyle w:val="3"/>
        <w:numPr>
          <w:ilvl w:val="0"/>
          <w:numId w:val="2"/>
        </w:numPr>
        <w:spacing w:line="360" w:lineRule="auto"/>
        <w:ind w:leftChars="0"/>
        <w:rPr>
          <w:rFonts w:hint="eastAsia" w:ascii="仿宋" w:hAnsi="仿宋" w:eastAsia="仿宋" w:cs="仿宋"/>
          <w:b w:val="0"/>
          <w:bCs w:val="0"/>
          <w:snapToGrid/>
          <w:color w:val="auto"/>
          <w:kern w:val="0"/>
          <w:sz w:val="32"/>
          <w:szCs w:val="32"/>
          <w:highlight w:val="none"/>
          <w:lang w:val="en-US" w:eastAsia="zh-CN" w:bidi="ar-SA"/>
        </w:rPr>
      </w:pPr>
      <w:r>
        <w:rPr>
          <w:rFonts w:hint="eastAsia" w:ascii="仿宋" w:hAnsi="仿宋" w:eastAsia="仿宋" w:cs="仿宋"/>
          <w:b w:val="0"/>
          <w:bCs w:val="0"/>
          <w:snapToGrid/>
          <w:color w:val="auto"/>
          <w:kern w:val="0"/>
          <w:sz w:val="32"/>
          <w:szCs w:val="32"/>
          <w:highlight w:val="none"/>
          <w:lang w:val="en-US" w:eastAsia="zh-CN" w:bidi="ar-SA"/>
        </w:rPr>
        <w:t>服务要求</w:t>
      </w:r>
    </w:p>
    <w:p>
      <w:pPr>
        <w:pStyle w:val="3"/>
        <w:numPr>
          <w:ilvl w:val="0"/>
          <w:numId w:val="0"/>
        </w:numPr>
        <w:spacing w:line="360" w:lineRule="auto"/>
        <w:ind w:firstLine="640" w:firstLineChars="200"/>
        <w:rPr>
          <w:rStyle w:val="6"/>
          <w:rFonts w:hint="eastAsia" w:ascii="仿宋" w:hAnsi="仿宋" w:eastAsia="仿宋" w:cs="仿宋"/>
          <w:b w:val="0"/>
          <w:bCs w:val="0"/>
          <w:i w:val="0"/>
          <w:iCs w:val="0"/>
          <w:snapToGrid/>
          <w:color w:val="auto"/>
          <w:kern w:val="0"/>
          <w:sz w:val="32"/>
          <w:szCs w:val="32"/>
          <w:highlight w:val="none"/>
          <w:lang w:val="en-US" w:eastAsia="zh-CN" w:bidi="ar"/>
        </w:rPr>
      </w:pPr>
      <w:r>
        <w:rPr>
          <w:rStyle w:val="6"/>
          <w:rFonts w:hint="eastAsia" w:ascii="仿宋" w:hAnsi="仿宋" w:eastAsia="仿宋" w:cs="仿宋"/>
          <w:b w:val="0"/>
          <w:bCs w:val="0"/>
          <w:i w:val="0"/>
          <w:iCs w:val="0"/>
          <w:snapToGrid/>
          <w:color w:val="auto"/>
          <w:kern w:val="0"/>
          <w:sz w:val="32"/>
          <w:szCs w:val="32"/>
          <w:highlight w:val="none"/>
          <w:lang w:val="en-US" w:eastAsia="zh-CN" w:bidi="ar"/>
        </w:rPr>
        <w:t>1、配置固定服务团队：项目负责人、资质申报专员、无线电业务对接专员至少各1名；</w:t>
      </w:r>
    </w:p>
    <w:p>
      <w:pPr>
        <w:pStyle w:val="3"/>
        <w:numPr>
          <w:ilvl w:val="0"/>
          <w:numId w:val="0"/>
        </w:numPr>
        <w:spacing w:line="360" w:lineRule="auto"/>
        <w:ind w:leftChars="0" w:firstLine="640" w:firstLineChars="200"/>
        <w:rPr>
          <w:rStyle w:val="6"/>
          <w:rFonts w:hint="eastAsia" w:ascii="仿宋" w:hAnsi="仿宋" w:eastAsia="仿宋" w:cs="仿宋"/>
          <w:b w:val="0"/>
          <w:bCs w:val="0"/>
          <w:i w:val="0"/>
          <w:iCs w:val="0"/>
          <w:snapToGrid/>
          <w:color w:val="auto"/>
          <w:kern w:val="0"/>
          <w:sz w:val="32"/>
          <w:szCs w:val="32"/>
          <w:highlight w:val="none"/>
          <w:lang w:val="en-US" w:eastAsia="zh-CN" w:bidi="ar"/>
        </w:rPr>
      </w:pPr>
      <w:r>
        <w:rPr>
          <w:rStyle w:val="6"/>
          <w:rFonts w:hint="eastAsia" w:ascii="仿宋" w:hAnsi="仿宋" w:eastAsia="仿宋" w:cs="仿宋"/>
          <w:b w:val="0"/>
          <w:bCs w:val="0"/>
          <w:i w:val="0"/>
          <w:iCs w:val="0"/>
          <w:snapToGrid/>
          <w:color w:val="auto"/>
          <w:kern w:val="0"/>
          <w:sz w:val="32"/>
          <w:szCs w:val="32"/>
          <w:highlight w:val="none"/>
          <w:lang w:val="en-US" w:eastAsia="zh-CN" w:bidi="ar"/>
        </w:rPr>
        <w:t>2、远程服务1个工作日内响应，紧急情况2个工作日内到场指导；</w:t>
      </w:r>
      <w:bookmarkStart w:id="0" w:name="_GoBack"/>
      <w:bookmarkEnd w:id="0"/>
    </w:p>
    <w:p>
      <w:pPr>
        <w:pStyle w:val="3"/>
        <w:numPr>
          <w:ilvl w:val="0"/>
          <w:numId w:val="0"/>
        </w:numPr>
        <w:spacing w:line="360" w:lineRule="auto"/>
        <w:ind w:leftChars="0" w:firstLine="640" w:firstLineChars="200"/>
        <w:rPr>
          <w:rStyle w:val="6"/>
          <w:rFonts w:hint="eastAsia" w:ascii="仿宋" w:hAnsi="仿宋" w:eastAsia="仿宋" w:cs="仿宋"/>
          <w:b w:val="0"/>
          <w:bCs w:val="0"/>
          <w:i w:val="0"/>
          <w:iCs w:val="0"/>
          <w:snapToGrid/>
          <w:color w:val="auto"/>
          <w:kern w:val="0"/>
          <w:sz w:val="32"/>
          <w:szCs w:val="32"/>
          <w:highlight w:val="none"/>
          <w:lang w:val="en-US" w:eastAsia="zh-CN" w:bidi="ar"/>
        </w:rPr>
      </w:pPr>
      <w:r>
        <w:rPr>
          <w:rStyle w:val="6"/>
          <w:rFonts w:hint="eastAsia" w:ascii="仿宋" w:hAnsi="仿宋" w:eastAsia="仿宋" w:cs="仿宋"/>
          <w:b w:val="0"/>
          <w:bCs w:val="0"/>
          <w:i w:val="0"/>
          <w:iCs w:val="0"/>
          <w:snapToGrid/>
          <w:color w:val="auto"/>
          <w:kern w:val="0"/>
          <w:sz w:val="32"/>
          <w:szCs w:val="32"/>
          <w:highlight w:val="none"/>
          <w:lang w:val="en-US" w:eastAsia="zh-CN" w:bidi="ar"/>
        </w:rPr>
        <w:t>3、严格遵守保密规定，对企业资料、申报材料、审批信息永久保密；</w:t>
      </w:r>
    </w:p>
    <w:p>
      <w:pPr>
        <w:pStyle w:val="3"/>
        <w:numPr>
          <w:ilvl w:val="0"/>
          <w:numId w:val="0"/>
        </w:numPr>
        <w:spacing w:line="360" w:lineRule="auto"/>
        <w:ind w:leftChars="0" w:firstLine="640" w:firstLineChars="200"/>
        <w:rPr>
          <w:rStyle w:val="6"/>
          <w:rFonts w:hint="eastAsia" w:ascii="仿宋" w:hAnsi="仿宋" w:eastAsia="仿宋" w:cs="仿宋"/>
          <w:b w:val="0"/>
          <w:bCs w:val="0"/>
          <w:i w:val="0"/>
          <w:iCs w:val="0"/>
          <w:snapToGrid/>
          <w:color w:val="auto"/>
          <w:kern w:val="0"/>
          <w:sz w:val="32"/>
          <w:szCs w:val="32"/>
          <w:highlight w:val="none"/>
          <w:lang w:val="en-US" w:eastAsia="zh-CN" w:bidi="ar"/>
        </w:rPr>
      </w:pPr>
      <w:r>
        <w:rPr>
          <w:rStyle w:val="6"/>
          <w:rFonts w:hint="eastAsia" w:ascii="仿宋" w:hAnsi="仿宋" w:eastAsia="仿宋" w:cs="仿宋"/>
          <w:b w:val="0"/>
          <w:bCs w:val="0"/>
          <w:i w:val="0"/>
          <w:iCs w:val="0"/>
          <w:snapToGrid/>
          <w:color w:val="auto"/>
          <w:kern w:val="0"/>
          <w:sz w:val="32"/>
          <w:szCs w:val="32"/>
          <w:highlight w:val="none"/>
          <w:lang w:val="en-US" w:eastAsia="zh-CN" w:bidi="ar"/>
        </w:rPr>
        <w:t>4、每15日书面同步一次项目进展。</w:t>
      </w:r>
    </w:p>
    <w:p>
      <w:pPr>
        <w:pStyle w:val="3"/>
        <w:numPr>
          <w:ilvl w:val="0"/>
          <w:numId w:val="2"/>
        </w:numPr>
        <w:spacing w:line="360" w:lineRule="auto"/>
        <w:ind w:leftChars="0"/>
        <w:rPr>
          <w:rFonts w:hint="eastAsia" w:ascii="仿宋" w:hAnsi="仿宋" w:eastAsia="仿宋" w:cs="仿宋"/>
          <w:b w:val="0"/>
          <w:bCs w:val="0"/>
          <w:snapToGrid/>
          <w:color w:val="auto"/>
          <w:kern w:val="0"/>
          <w:sz w:val="32"/>
          <w:szCs w:val="32"/>
          <w:highlight w:val="none"/>
          <w:lang w:val="en-US" w:eastAsia="zh-CN" w:bidi="ar-SA"/>
        </w:rPr>
      </w:pPr>
      <w:r>
        <w:rPr>
          <w:rFonts w:hint="eastAsia" w:ascii="仿宋" w:hAnsi="仿宋" w:eastAsia="仿宋" w:cs="仿宋"/>
          <w:b w:val="0"/>
          <w:bCs w:val="0"/>
          <w:snapToGrid/>
          <w:color w:val="auto"/>
          <w:kern w:val="0"/>
          <w:sz w:val="32"/>
          <w:szCs w:val="32"/>
          <w:highlight w:val="none"/>
          <w:lang w:val="en-US" w:eastAsia="zh-CN" w:bidi="ar-SA"/>
        </w:rPr>
        <w:t>成果交付及验收标准</w:t>
      </w:r>
    </w:p>
    <w:p>
      <w:pPr>
        <w:pStyle w:val="3"/>
        <w:numPr>
          <w:ilvl w:val="0"/>
          <w:numId w:val="0"/>
        </w:numPr>
        <w:spacing w:line="360" w:lineRule="auto"/>
        <w:ind w:leftChars="0" w:firstLine="640" w:firstLineChars="200"/>
        <w:rPr>
          <w:rStyle w:val="6"/>
          <w:rFonts w:hint="eastAsia" w:ascii="仿宋" w:hAnsi="仿宋" w:eastAsia="仿宋" w:cs="仿宋"/>
          <w:b w:val="0"/>
          <w:bCs w:val="0"/>
          <w:i w:val="0"/>
          <w:iCs w:val="0"/>
          <w:snapToGrid/>
          <w:color w:val="auto"/>
          <w:kern w:val="0"/>
          <w:sz w:val="32"/>
          <w:szCs w:val="32"/>
          <w:highlight w:val="none"/>
          <w:lang w:val="en-US" w:eastAsia="zh-CN" w:bidi="ar"/>
        </w:rPr>
      </w:pPr>
      <w:r>
        <w:rPr>
          <w:rStyle w:val="6"/>
          <w:rFonts w:hint="eastAsia" w:ascii="仿宋" w:hAnsi="仿宋" w:eastAsia="仿宋" w:cs="仿宋"/>
          <w:b w:val="0"/>
          <w:bCs w:val="0"/>
          <w:i w:val="0"/>
          <w:iCs w:val="0"/>
          <w:snapToGrid/>
          <w:color w:val="auto"/>
          <w:kern w:val="0"/>
          <w:sz w:val="32"/>
          <w:szCs w:val="32"/>
          <w:highlight w:val="none"/>
          <w:lang w:val="en-US" w:eastAsia="zh-CN" w:bidi="ar"/>
        </w:rPr>
        <w:t>交付VSAT经营许可证、卫星频率许可文件、项目实施方案、全套申报材料、培训记录、售后确认单等；6个月内按期取证备案、证件真实有效、资料完整规范即为验收合格。</w:t>
      </w:r>
    </w:p>
    <w:p>
      <w:pPr>
        <w:pStyle w:val="3"/>
        <w:numPr>
          <w:ilvl w:val="0"/>
          <w:numId w:val="2"/>
        </w:numPr>
        <w:spacing w:line="360" w:lineRule="auto"/>
        <w:ind w:leftChars="0"/>
        <w:rPr>
          <w:rFonts w:hint="eastAsia" w:ascii="仿宋" w:hAnsi="仿宋" w:eastAsia="仿宋" w:cs="仿宋"/>
          <w:b w:val="0"/>
          <w:bCs w:val="0"/>
          <w:snapToGrid/>
          <w:color w:val="auto"/>
          <w:kern w:val="0"/>
          <w:sz w:val="32"/>
          <w:szCs w:val="32"/>
          <w:highlight w:val="none"/>
          <w:lang w:val="en-US" w:eastAsia="zh-CN" w:bidi="ar-SA"/>
        </w:rPr>
      </w:pPr>
      <w:r>
        <w:rPr>
          <w:rFonts w:hint="eastAsia" w:ascii="仿宋" w:hAnsi="仿宋" w:eastAsia="仿宋" w:cs="仿宋"/>
          <w:b w:val="0"/>
          <w:bCs w:val="0"/>
          <w:snapToGrid/>
          <w:color w:val="auto"/>
          <w:kern w:val="0"/>
          <w:sz w:val="32"/>
          <w:szCs w:val="32"/>
          <w:highlight w:val="none"/>
          <w:lang w:val="en-US" w:eastAsia="zh-CN" w:bidi="ar-SA"/>
        </w:rPr>
        <w:t>报价方式</w:t>
      </w:r>
    </w:p>
    <w:p>
      <w:pPr>
        <w:pStyle w:val="3"/>
        <w:numPr>
          <w:ilvl w:val="0"/>
          <w:numId w:val="0"/>
        </w:numPr>
        <w:spacing w:line="360" w:lineRule="auto"/>
        <w:ind w:leftChars="0" w:firstLine="640" w:firstLineChars="200"/>
        <w:rPr>
          <w:rStyle w:val="6"/>
          <w:rFonts w:hint="default" w:ascii="仿宋" w:hAnsi="仿宋" w:eastAsia="仿宋" w:cs="仿宋"/>
          <w:b w:val="0"/>
          <w:bCs w:val="0"/>
          <w:i w:val="0"/>
          <w:iCs w:val="0"/>
          <w:snapToGrid/>
          <w:color w:val="auto"/>
          <w:kern w:val="0"/>
          <w:sz w:val="32"/>
          <w:szCs w:val="32"/>
          <w:highlight w:val="none"/>
          <w:lang w:val="en-US" w:eastAsia="zh-CN" w:bidi="ar"/>
        </w:rPr>
      </w:pPr>
      <w:r>
        <w:rPr>
          <w:rStyle w:val="6"/>
          <w:rFonts w:hint="eastAsia" w:ascii="仿宋" w:hAnsi="仿宋" w:eastAsia="仿宋" w:cs="仿宋"/>
          <w:b w:val="0"/>
          <w:bCs w:val="0"/>
          <w:i w:val="0"/>
          <w:iCs w:val="0"/>
          <w:snapToGrid/>
          <w:color w:val="auto"/>
          <w:kern w:val="0"/>
          <w:sz w:val="32"/>
          <w:szCs w:val="32"/>
          <w:highlight w:val="none"/>
          <w:lang w:val="en-US" w:eastAsia="zh-CN" w:bidi="ar"/>
        </w:rPr>
        <w:t>本次采购服务采用总价包干报价，包含增值电信业务经营许可证和无线电频率申请全流程服务费、材料编制费、主管部门对接费、答辩配合费、取证等全部相关费用，除此之外采购方不再单独支付其他费用。</w:t>
      </w:r>
    </w:p>
    <w:p>
      <w:pPr>
        <w:pStyle w:val="3"/>
        <w:numPr>
          <w:ilvl w:val="0"/>
          <w:numId w:val="2"/>
        </w:numPr>
        <w:spacing w:line="360" w:lineRule="auto"/>
        <w:ind w:leftChars="0"/>
        <w:rPr>
          <w:rFonts w:hint="eastAsia" w:ascii="仿宋" w:hAnsi="仿宋" w:eastAsia="仿宋" w:cs="仿宋"/>
          <w:b w:val="0"/>
          <w:bCs w:val="0"/>
          <w:snapToGrid/>
          <w:color w:val="auto"/>
          <w:kern w:val="0"/>
          <w:sz w:val="32"/>
          <w:szCs w:val="32"/>
          <w:highlight w:val="none"/>
          <w:lang w:val="en-US" w:eastAsia="zh-CN" w:bidi="ar-SA"/>
        </w:rPr>
      </w:pPr>
      <w:r>
        <w:rPr>
          <w:rFonts w:hint="eastAsia" w:ascii="仿宋" w:hAnsi="仿宋" w:eastAsia="仿宋" w:cs="仿宋"/>
          <w:b w:val="0"/>
          <w:bCs w:val="0"/>
          <w:snapToGrid/>
          <w:color w:val="auto"/>
          <w:kern w:val="0"/>
          <w:sz w:val="32"/>
          <w:szCs w:val="32"/>
          <w:highlight w:val="none"/>
          <w:lang w:val="en-US" w:eastAsia="zh-CN" w:bidi="ar-SA"/>
        </w:rPr>
        <w:t>支付条件及方式</w:t>
      </w:r>
    </w:p>
    <w:p>
      <w:pPr>
        <w:pStyle w:val="3"/>
        <w:numPr>
          <w:ilvl w:val="0"/>
          <w:numId w:val="0"/>
        </w:numPr>
        <w:spacing w:line="360" w:lineRule="auto"/>
        <w:ind w:leftChars="0" w:firstLine="640" w:firstLineChars="200"/>
        <w:rPr>
          <w:rStyle w:val="6"/>
          <w:rFonts w:hint="eastAsia" w:ascii="仿宋" w:hAnsi="仿宋" w:eastAsia="仿宋" w:cs="仿宋"/>
          <w:b w:val="0"/>
          <w:bCs w:val="0"/>
          <w:i w:val="0"/>
          <w:iCs w:val="0"/>
          <w:snapToGrid/>
          <w:color w:val="auto"/>
          <w:kern w:val="0"/>
          <w:sz w:val="32"/>
          <w:szCs w:val="32"/>
          <w:highlight w:val="none"/>
          <w:lang w:val="en-US" w:eastAsia="zh-CN" w:bidi="ar"/>
        </w:rPr>
      </w:pPr>
      <w:r>
        <w:rPr>
          <w:rStyle w:val="6"/>
          <w:rFonts w:hint="eastAsia" w:ascii="仿宋" w:hAnsi="仿宋" w:eastAsia="仿宋" w:cs="仿宋"/>
          <w:b w:val="0"/>
          <w:bCs w:val="0"/>
          <w:i w:val="0"/>
          <w:iCs w:val="0"/>
          <w:snapToGrid/>
          <w:color w:val="auto"/>
          <w:kern w:val="0"/>
          <w:sz w:val="32"/>
          <w:szCs w:val="32"/>
          <w:highlight w:val="none"/>
          <w:lang w:val="en-US" w:eastAsia="zh-CN" w:bidi="ar"/>
        </w:rPr>
        <w:t>成交人按照采购方要求在规定时间内完成全部服务内容并经采购方验收合格后，成交人开具符合国家税务规定及采购方财务要求的发票，采购方收到发票后30日内一次性支付100%合同价款。若逾期未完成服务内容，采购方不予支付全部合同价款款，并有权解除合同。</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CEAD01"/>
    <w:multiLevelType w:val="singleLevel"/>
    <w:tmpl w:val="DECEAD01"/>
    <w:lvl w:ilvl="0" w:tentative="0">
      <w:start w:val="1"/>
      <w:numFmt w:val="chineseCounting"/>
      <w:suff w:val="nothing"/>
      <w:lvlText w:val="%1、"/>
      <w:lvlJc w:val="left"/>
      <w:rPr>
        <w:rFonts w:hint="eastAsia"/>
      </w:rPr>
    </w:lvl>
  </w:abstractNum>
  <w:abstractNum w:abstractNumId="1">
    <w:nsid w:val="07F91543"/>
    <w:multiLevelType w:val="multilevel"/>
    <w:tmpl w:val="07F91543"/>
    <w:lvl w:ilvl="0" w:tentative="0">
      <w:start w:val="1"/>
      <w:numFmt w:val="decimal"/>
      <w:pStyle w:val="3"/>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b/>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1148"/>
        </w:tabs>
        <w:ind w:left="1148"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6、"/>
      <w:lvlJc w:val="left"/>
      <w:pPr>
        <w:ind w:left="360" w:hanging="360"/>
      </w:pPr>
      <w:rPr>
        <w:rFonts w:hint="default"/>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FA0B34"/>
    <w:rsid w:val="40FA0B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imes New Roman"/>
      <w:sz w:val="22"/>
      <w:szCs w:val="22"/>
      <w:lang w:val="en-US" w:eastAsia="zh-CN" w:bidi="ar-SA"/>
    </w:rPr>
  </w:style>
  <w:style w:type="paragraph" w:styleId="3">
    <w:name w:val="heading 1"/>
    <w:basedOn w:val="1"/>
    <w:next w:val="1"/>
    <w:qFormat/>
    <w:uiPriority w:val="0"/>
    <w:pPr>
      <w:numPr>
        <w:ilvl w:val="0"/>
        <w:numId w:val="1"/>
      </w:numPr>
      <w:spacing w:before="20" w:after="20"/>
      <w:ind w:firstLineChars="0"/>
      <w:jc w:val="left"/>
      <w:outlineLvl w:val="0"/>
    </w:pPr>
    <w:rPr>
      <w:rFonts w:ascii="宋体" w:hAnsi="宋体"/>
      <w:b/>
      <w:bCs/>
      <w:snapToGrid w:val="0"/>
      <w:kern w:val="44"/>
      <w:sz w:val="28"/>
      <w:szCs w:val="44"/>
    </w:rPr>
  </w:style>
  <w:style w:type="paragraph" w:styleId="2">
    <w:name w:val="heading 2"/>
    <w:basedOn w:val="1"/>
    <w:next w:val="1"/>
    <w:unhideWhenUsed/>
    <w:qFormat/>
    <w:uiPriority w:val="0"/>
    <w:pPr>
      <w:keepNext/>
      <w:keepLines/>
      <w:spacing w:line="413" w:lineRule="auto"/>
      <w:outlineLvl w:val="1"/>
    </w:pPr>
    <w:rPr>
      <w:rFonts w:ascii="Arial" w:hAnsi="Arial" w:eastAsia="黑体"/>
      <w:b/>
      <w:sz w:val="32"/>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customStyle="1" w:styleId="6">
    <w:name w:val="font71"/>
    <w:basedOn w:val="5"/>
    <w:qFormat/>
    <w:uiPriority w:val="0"/>
    <w:rPr>
      <w:rFonts w:hint="eastAsia" w:ascii="微软雅黑" w:hAnsi="微软雅黑" w:eastAsia="微软雅黑" w:cs="微软雅黑"/>
      <w:i/>
      <w:iCs/>
      <w:color w:val="FF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2</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2026-06-05T06:16:00Z</dcterms:created>
  <dc:creator>罗莹</dc:creator>
  <cp:lastModifiedBy>罗莹</cp:lastModifiedBy>
  <dcterms:modified xsi:type="dcterms:W3CDTF">2026-06-05T06:19:00Z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945DD799C7234F69AFCAAFEF2A9FCA2B</vt:lpwstr>
  </property>
</Properties>
</file>