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DBF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both"/>
        <w:textAlignment w:val="auto"/>
        <w:rPr>
          <w:rFonts w:ascii="Arial" w:hAnsi="Arial" w:eastAsia="等线" w:cs="Arial"/>
          <w:b/>
          <w:sz w:val="52"/>
        </w:rPr>
      </w:pPr>
      <w:r>
        <w:rPr>
          <w:rFonts w:hint="eastAsia" w:ascii="黑体" w:hAnsi="黑体" w:eastAsia="黑体" w:cs="黑体"/>
          <w:sz w:val="32"/>
        </w:rPr>
        <w:t>附件1</w:t>
      </w:r>
    </w:p>
    <w:p w14:paraId="14D7F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Arial" w:hAnsi="Arial" w:eastAsia="等线" w:cs="Arial"/>
          <w:b/>
          <w:sz w:val="52"/>
        </w:rPr>
      </w:pPr>
    </w:p>
    <w:p w14:paraId="6901F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position w:val="10"/>
          <w:sz w:val="44"/>
          <w:szCs w:val="44"/>
          <w:lang w:val="en-US" w:eastAsia="zh-CN" w:bidi="ar-SA"/>
        </w:rPr>
      </w:pPr>
      <w:bookmarkStart w:id="14" w:name="_GoBack"/>
      <w:bookmarkEnd w:id="14"/>
      <w:r>
        <w:rPr>
          <w:rFonts w:hint="eastAsia" w:ascii="方正小标宋_GBK" w:hAnsi="方正小标宋_GBK" w:eastAsia="方正小标宋_GBK" w:cs="方正小标宋_GBK"/>
          <w:kern w:val="2"/>
          <w:position w:val="10"/>
          <w:sz w:val="44"/>
          <w:szCs w:val="44"/>
          <w:lang w:val="en-US" w:eastAsia="zh-CN" w:bidi="ar-SA"/>
        </w:rPr>
        <w:t>海南电力产业发展有限责任公司2026年</w:t>
      </w:r>
    </w:p>
    <w:p w14:paraId="704508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position w:val="10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position w:val="10"/>
          <w:sz w:val="44"/>
          <w:szCs w:val="44"/>
          <w:lang w:val="en-US" w:eastAsia="zh-CN" w:bidi="ar-SA"/>
        </w:rPr>
        <w:t>国产化电力专用UPS成果转化项目专项</w:t>
      </w:r>
    </w:p>
    <w:p w14:paraId="206E69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position w:val="10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position w:val="10"/>
          <w:sz w:val="44"/>
          <w:szCs w:val="44"/>
          <w:lang w:val="en-US" w:eastAsia="zh-CN" w:bidi="ar-SA"/>
        </w:rPr>
        <w:t>审计服务零星采购技术规范书</w:t>
      </w:r>
    </w:p>
    <w:p w14:paraId="2E6C1E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left"/>
        <w:textAlignment w:val="auto"/>
        <w:outlineLvl w:val="0"/>
        <w:rPr>
          <w:rFonts w:ascii="Arial" w:hAnsi="Arial" w:eastAsia="等线" w:cs="Arial"/>
          <w:b/>
          <w:sz w:val="36"/>
        </w:rPr>
      </w:pPr>
      <w:bookmarkStart w:id="0" w:name="heading_0"/>
    </w:p>
    <w:p w14:paraId="63E83D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一、项目背景</w:t>
      </w:r>
      <w:bookmarkEnd w:id="0"/>
    </w:p>
    <w:p w14:paraId="168ABD2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为落实国家科技自立自强、关键核心技术自主可控发展要求，贴合南方电网公司科技项目精益化管理、装备国产化替代相关工作部署，海南电力产业发展有限责任公司开展全国产化电力专用UPS研发及产业化项目。本项目建设周期为2024年7月至2026年7月，聚焦3kVA、6kVA、10kVA功率段电力专用UPS设备全国产化研发、样机试制、试验验证及产业化落地。</w:t>
      </w:r>
    </w:p>
    <w:p w14:paraId="7A5C3F4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为规范项目全过程管理，保障项目资金使用合规、流程执行规范、验收资料完整达标，符合国家财经法律法规、《中国南方电网有限责任公司创新项目管理办法》《广东电网有限责任公司科技项目管理细则》等各级管理制度要求，我方拟选聘专业第三方审计咨询机构，开展项目全过程专项审计与合规咨询服务，助力项目顺利完成中期核查、竣工验收及成果认定相关工作。</w:t>
      </w:r>
    </w:p>
    <w:p w14:paraId="2DBCBC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720" w:firstLineChars="200"/>
        <w:jc w:val="left"/>
        <w:textAlignment w:val="auto"/>
        <w:outlineLvl w:val="0"/>
      </w:pPr>
      <w:bookmarkStart w:id="1" w:name="heading_1"/>
      <w:r>
        <w:rPr>
          <w:rFonts w:ascii="Arial" w:hAnsi="Arial" w:eastAsia="等线" w:cs="Arial"/>
          <w:b/>
          <w:sz w:val="36"/>
        </w:rPr>
        <w:t>二、工作要求</w:t>
      </w:r>
      <w:bookmarkEnd w:id="1"/>
    </w:p>
    <w:p w14:paraId="247213E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（一）团队资质要求</w:t>
      </w:r>
    </w:p>
    <w:p w14:paraId="0749EE4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服务商组建的项目审计团队人员需熟悉国家财政资金管理政策、南方电网科技项目管理制度，具备国家级科技项目审计经验、电力行业审计经验、南网体系项目审计从业经历，可提供相关资质、业绩证明材料，保障审计工作贴合南网项目验收标准。</w:t>
      </w:r>
    </w:p>
    <w:p w14:paraId="23C5C5F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（二）驻场服务要求</w:t>
      </w:r>
    </w:p>
    <w:p w14:paraId="5607D3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服务周期内，服务商须固定安排至少1名主审人员驻场办公，驻场时长不少于一个月，全程驻场直至项目验收工作全部结束。驻场人员需全程配合甲方开展现场资料核查、资料对接、专项审计、会议评审、答疑咨询、整改指导等工作，保障审计工作高效落地。</w:t>
      </w:r>
    </w:p>
    <w:p w14:paraId="03047B2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（三）时间节点要求</w:t>
      </w:r>
    </w:p>
    <w:p w14:paraId="33EE911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服务商需严格对标项目进度，按时完成各阶段审计工作，关键节点核查资料、整改报告按需及时提交；须在2026年7月项目终验前完成全部审计工作，交付全套完整审计成果，保障项目顺利验收。</w:t>
      </w:r>
    </w:p>
    <w:p w14:paraId="14CA875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（四）成果质量要求</w:t>
      </w:r>
    </w:p>
    <w:p w14:paraId="66659E7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所有审计工作及输出成果须保证结论真实、数据准确、内容完整、依据充分，审计报告格式、内容符合国家审计规范及南方电网项目管理制式要求，最终成果须通过甲方财务经营部、技术管理部门、合规管理部门审议。</w:t>
      </w:r>
    </w:p>
    <w:p w14:paraId="3A33350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（五）廉洁合规要求</w:t>
      </w:r>
    </w:p>
    <w:p w14:paraId="6EAE803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服务商及项目团队人员需严格遵守廉洁从业相关规定，恪守独立、客观、公正的审计原则，与本项目实施无任何利益关联，严禁弄虚作假、隐瞒审计问题、违规操作，全程合规开展审计服务工作。</w:t>
      </w:r>
    </w:p>
    <w:p w14:paraId="6D285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720" w:firstLineChars="200"/>
        <w:jc w:val="left"/>
        <w:textAlignment w:val="auto"/>
        <w:outlineLvl w:val="0"/>
      </w:pPr>
      <w:bookmarkStart w:id="2" w:name="heading_2"/>
      <w:r>
        <w:rPr>
          <w:rFonts w:ascii="Arial" w:hAnsi="Arial" w:eastAsia="等线" w:cs="Arial"/>
          <w:b/>
          <w:sz w:val="36"/>
        </w:rPr>
        <w:t>三、具体工作内容</w:t>
      </w:r>
      <w:bookmarkEnd w:id="2"/>
    </w:p>
    <w:p w14:paraId="6930527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服务商仅开展合规审计、财务审计、流程核查、资料完整性审查相关工作，不参与产品技术性能鉴定、技术指标有效性判定等专业技术类工作，具体服务内容如下：</w:t>
      </w:r>
    </w:p>
    <w:p w14:paraId="671778B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3" w:name="heading_3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（一）项目合规咨询与答疑指导</w:t>
      </w:r>
      <w:bookmarkEnd w:id="3"/>
    </w:p>
    <w:p w14:paraId="68FBD28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依据国家资金管理政策、南方电网公司信息化及科技项目管理制度，为甲方本项目提供全方位专业咨询服务。针对项目成本归集、账务管理、资金筹备、资金使用、拨付流程等关键环节提供专业指导、答疑解惑，规范项目全过程财务管理及流程管理工作，规避合规风险。</w:t>
      </w:r>
    </w:p>
    <w:p w14:paraId="514300F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4" w:name="heading_4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（二）项目全过程资料审计核查</w:t>
      </w:r>
      <w:bookmarkEnd w:id="4"/>
    </w:p>
    <w:p w14:paraId="6F2973A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全面核查项目全周期各类资料，覆盖项目立项、过程管理、招标采购、合同签订与执行、样机研发、试验验证、经费支出、成果归档全流程，重点审核业务资料、财务资料、项目中期及终验报告、采购合同、付款凭证、台账资料等文件的合理性、合规性、完整性、真实性。</w:t>
      </w:r>
    </w:p>
    <w:p w14:paraId="6382423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针对项目国产化相关工作，仅开展资料合规性核查：核查项目国产化研发过程资料、器件采购凭证、供应商资质、试制及试验台账等资料是否齐全、流程是否规范、凭证是否真实有效，不判定产品国产化技术性能及指标达标情况。</w:t>
      </w:r>
    </w:p>
    <w:p w14:paraId="122B18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5" w:name="heading_5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（三）项目经费专项审计</w:t>
      </w:r>
      <w:bookmarkEnd w:id="5"/>
    </w:p>
    <w:p w14:paraId="249A0D1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针对项目整体预算及实际经费使用情况开展专项审计，涵盖设备采购安装费用、技术研发费用、人员人工费、材料费、测试化验加工费、专家咨询费、差旅会议费、知识产权申请费等全部科目。核查各类费用支出依据充分性、审批流程规范性、票据凭证完整性、成本归集准确性，杜绝虚列开支、挤占挪用资金、超标准支出等问题。</w:t>
      </w:r>
    </w:p>
    <w:p w14:paraId="70D4CDA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6" w:name="heading_6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（四）验收材料审核与成果输出</w:t>
      </w:r>
      <w:bookmarkEnd w:id="6"/>
    </w:p>
    <w:p w14:paraId="0F61790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协助甲方审核事业部提交的项目验收全套材料及配套附件，梳理资料缺漏、流程瑕疵、合规隐患等问题，提供整改优化建议。结合全过程审计结果，出具专业项目审计报告、项目合规建议书，为项目中期核查、竣工验收提供合规支撑。</w:t>
      </w:r>
    </w:p>
    <w:p w14:paraId="5F5C124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7" w:name="heading_7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（五）全过程配套咨询服务</w:t>
      </w:r>
      <w:bookmarkEnd w:id="7"/>
    </w:p>
    <w:p w14:paraId="6F34E6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针对项目实施过程中出现的资金使用、流程办理、资料归档、合规整改等各类问题，提供常态化专业咨询服务，配合甲方完成各类督查、检查、评审相关对接工作。</w:t>
      </w:r>
    </w:p>
    <w:p w14:paraId="70EE4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720" w:firstLineChars="200"/>
        <w:jc w:val="left"/>
        <w:textAlignment w:val="auto"/>
        <w:outlineLvl w:val="0"/>
      </w:pPr>
      <w:bookmarkStart w:id="8" w:name="heading_8"/>
      <w:r>
        <w:rPr>
          <w:rFonts w:ascii="Arial" w:hAnsi="Arial" w:eastAsia="等线" w:cs="Arial"/>
          <w:b/>
          <w:sz w:val="36"/>
        </w:rPr>
        <w:t>四、保密工作要求</w:t>
      </w:r>
      <w:bookmarkEnd w:id="8"/>
    </w:p>
    <w:p w14:paraId="3F8B4C4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服务商须严格遵守《中华人民共和国保守国家秘密法》及《中国南方电网有限责任公司保密工作管理办法》，签订正式保密承诺书。服务期间及服务结束后，严禁违规记录、存储、复制、传播甲方项目涉密信息、商业信息、技术资料及财务数据，不得擅自发表涉及本项目未公开内容的文稿、成果。若发生泄密问题，服务商需自愿承担相应党纪、政纪及法律责任。</w:t>
      </w:r>
    </w:p>
    <w:p w14:paraId="66BD3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720" w:firstLineChars="200"/>
        <w:jc w:val="left"/>
        <w:textAlignment w:val="auto"/>
        <w:outlineLvl w:val="0"/>
      </w:pPr>
      <w:bookmarkStart w:id="9" w:name="heading_9"/>
      <w:r>
        <w:rPr>
          <w:rFonts w:ascii="Arial" w:hAnsi="Arial" w:eastAsia="等线" w:cs="Arial"/>
          <w:b/>
          <w:sz w:val="36"/>
        </w:rPr>
        <w:t>五、交付物及交付标准</w:t>
      </w:r>
      <w:bookmarkEnd w:id="9"/>
    </w:p>
    <w:p w14:paraId="5D3A167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10" w:name="heading_10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（一）主要交付物</w:t>
      </w:r>
      <w:bookmarkEnd w:id="10"/>
    </w:p>
    <w:p w14:paraId="2D650F8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1.全国产化电力专用UPS项目专项审计报告；</w:t>
      </w:r>
    </w:p>
    <w:p w14:paraId="0393FCF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2.项目经费使用及流程合规专业建议书；</w:t>
      </w:r>
    </w:p>
    <w:p w14:paraId="537B25B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3.完整审计工作底稿、资料核查台账及佐证汇总资料。</w:t>
      </w:r>
    </w:p>
    <w:p w14:paraId="6E964B3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11" w:name="heading_11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（二）交付标准</w:t>
      </w:r>
      <w:bookmarkEnd w:id="11"/>
    </w:p>
    <w:p w14:paraId="052389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所有交付成果内容真实、数据准确、结论客观，完整覆盖项目审计全流程，符合国家审计规范及南方电网科技项目管理要求，最终经甲方财务经营部、平台技术事业部及相关管理部门审议通过。</w:t>
      </w:r>
    </w:p>
    <w:p w14:paraId="178CA05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</w:pPr>
      <w:bookmarkStart w:id="12" w:name="heading_12"/>
      <w:r>
        <w:rPr>
          <w:rFonts w:hint="eastAsia" w:ascii="楷体_GB2312" w:hAnsi="Times New Roman" w:eastAsia="楷体_GB2312" w:cs="Times New Roman"/>
          <w:b/>
          <w:kern w:val="2"/>
          <w:sz w:val="32"/>
          <w:szCs w:val="32"/>
          <w:lang w:val="en-US" w:eastAsia="zh-CN" w:bidi="ar-SA"/>
        </w:rPr>
        <w:t>（三）交付时间</w:t>
      </w:r>
      <w:bookmarkEnd w:id="12"/>
    </w:p>
    <w:p w14:paraId="42984E2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阶段性核查资料、整改建议按甲方实时需求同步交付；全套最终审计成果须于2026年6月30日前完成交付，保障项目按期完成竣工验收。</w:t>
      </w:r>
    </w:p>
    <w:p w14:paraId="770F0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720" w:firstLineChars="200"/>
        <w:jc w:val="left"/>
        <w:textAlignment w:val="auto"/>
        <w:outlineLvl w:val="0"/>
      </w:pPr>
      <w:bookmarkStart w:id="13" w:name="heading_13"/>
      <w:r>
        <w:rPr>
          <w:rFonts w:ascii="Arial" w:hAnsi="Arial" w:eastAsia="等线" w:cs="Arial"/>
          <w:b/>
          <w:sz w:val="36"/>
        </w:rPr>
        <w:t>六、其他要求</w:t>
      </w:r>
      <w:bookmarkEnd w:id="13"/>
    </w:p>
    <w:p w14:paraId="6990B37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cs="Times New Roman"/>
          <w:kern w:val="2"/>
          <w:sz w:val="32"/>
          <w:szCs w:val="32"/>
          <w:lang w:val="en-US" w:eastAsia="zh-CN" w:bidi="ar-SA"/>
        </w:rPr>
        <w:t>本规范书未尽事宜，按照国家现行法律法规、南方电网公司及甲方相关管理制度执行。</w:t>
      </w:r>
    </w:p>
    <w:p w14:paraId="6163A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left"/>
        <w:textAlignment w:val="auto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2F127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97E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12C4AB5"/>
    <w:rsid w:val="03A96934"/>
    <w:rsid w:val="0D414D1F"/>
    <w:rsid w:val="4A927D84"/>
    <w:rsid w:val="52C34EFB"/>
    <w:rsid w:val="6BD67831"/>
    <w:rsid w:val="7CB800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624"/>
      <w:jc w:val="left"/>
    </w:pPr>
    <w:rPr>
      <w:rFonts w:eastAsia="仿宋_GB231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2188</Words>
  <Characters>2228</Characters>
  <TotalTime>24</TotalTime>
  <ScaleCrop>false</ScaleCrop>
  <LinksUpToDate>false</LinksUpToDate>
  <CharactersWithSpaces>2234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2026-05-25T08:50:00Z</dcterms:created>
  <dc:creator>Apache POI</dc:creator>
  <cp:lastModifiedBy>Abalone</cp:lastModifiedBy>
  <dcterms:modified xsi:type="dcterms:W3CDTF">2026-06-08T06:31:03Z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{"Label":"1","ContentProducer":"001191110102MACQD9K64010000","ProduceID":"7643749120159845585","ReservedCode1":"","ContentPropagator":"","PropagateID":"","ReservedCode2":""}</vt:lpwstr>
  </property>
  <property fmtid="{D5CDD505-2E9C-101B-9397-08002B2CF9AE}" pid="3" name="KSOTemplateDocerSaveRecord">
    <vt:lpwstr>eyJoZGlkIjoiMWU3YmI2NTE3ZjcwZWI3Zjk2ZTlkODExZWI4NmExNTUiLCJ1c2VySWQiOiI5MjA3MDU5NjQifQ==</vt:lpwstr>
  </property>
  <property fmtid="{D5CDD505-2E9C-101B-9397-08002B2CF9AE}" pid="4" name="KSOProductBuildVer">
    <vt:lpwstr>2052-12.1.0.23125</vt:lpwstr>
  </property>
  <property fmtid="{D5CDD505-2E9C-101B-9397-08002B2CF9AE}" pid="5" name="ICV">
    <vt:lpwstr>C27B98D31A0E4EE6B00C42850DD2A93F_12</vt:lpwstr>
  </property>
</Properties>
</file>