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rPr>
          <w:rFonts w:hint="eastAsia"/>
          <w:lang w:val="en-US" w:eastAsia="zh-CN"/>
        </w:rPr>
      </w:pPr>
      <w:r>
        <w:rPr>
          <w:rFonts w:hint="eastAsia"/>
          <w:lang w:val="en-US" w:eastAsia="zh-CN"/>
        </w:rPr>
        <w:t>项目名称：修试公司HVR-EBCB型电气制动开关灭弧室更换专用工具研制</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项目目的</w:t>
      </w:r>
    </w:p>
    <w:p>
      <w:pPr>
        <w:pStyle w:val="4"/>
        <w:keepNext w:val="0"/>
        <w:keepLines w:val="0"/>
        <w:pageBreakBefore w:val="0"/>
        <w:widowControl w:val="0"/>
        <w:kinsoku/>
        <w:wordWrap/>
        <w:overflowPunct/>
        <w:topLinePunct w:val="0"/>
        <w:autoSpaceDE/>
        <w:autoSpaceDN/>
        <w:bidi w:val="0"/>
        <w:adjustRightInd/>
        <w:snapToGrid/>
        <w:spacing w:before="0" w:after="0"/>
        <w:ind w:firstLine="480" w:firstLineChars="200"/>
        <w:jc w:val="left"/>
        <w:textAlignment w:val="auto"/>
        <w:outlineLvl w:val="9"/>
        <w:rPr>
          <w:rFonts w:hint="default" w:asciiTheme="minorAscii" w:hAnsiTheme="minorAscii" w:eastAsiaTheme="minorEastAsia" w:cstheme="minorBidi"/>
          <w:b w:val="0"/>
          <w:bCs w:val="0"/>
          <w:kern w:val="2"/>
          <w:sz w:val="24"/>
          <w:szCs w:val="24"/>
          <w:lang w:val="en-US" w:eastAsia="zh-CN" w:bidi="ar-SA"/>
        </w:rPr>
      </w:pPr>
      <w:r>
        <w:rPr>
          <w:rFonts w:hint="default" w:asciiTheme="minorAscii" w:hAnsiTheme="minorAscii" w:eastAsiaTheme="minorEastAsia" w:cstheme="minorBidi"/>
          <w:b w:val="0"/>
          <w:bCs w:val="0"/>
          <w:kern w:val="2"/>
          <w:sz w:val="24"/>
          <w:szCs w:val="24"/>
          <w:lang w:val="en-US" w:eastAsia="zh-CN" w:bidi="ar-SA"/>
        </w:rPr>
        <w:t>HVR-EBCB型SF6断路器是日立能源生产的一种紧凑型发电机断路器，广泛应用于抽水蓄能电厂电气制动开关。</w:t>
      </w:r>
    </w:p>
    <w:p>
      <w:pPr>
        <w:pStyle w:val="4"/>
        <w:keepNext w:val="0"/>
        <w:keepLines w:val="0"/>
        <w:pageBreakBefore w:val="0"/>
        <w:widowControl w:val="0"/>
        <w:kinsoku/>
        <w:wordWrap/>
        <w:overflowPunct/>
        <w:topLinePunct w:val="0"/>
        <w:autoSpaceDE/>
        <w:autoSpaceDN/>
        <w:bidi w:val="0"/>
        <w:adjustRightInd/>
        <w:snapToGrid/>
        <w:spacing w:before="0" w:after="0"/>
        <w:ind w:firstLine="480" w:firstLineChars="200"/>
        <w:jc w:val="left"/>
        <w:textAlignment w:val="auto"/>
        <w:outlineLvl w:val="9"/>
        <w:rPr>
          <w:rFonts w:hint="default" w:asciiTheme="minorAscii" w:hAnsiTheme="minorAscii" w:eastAsiaTheme="minorEastAsia" w:cstheme="minorBidi"/>
          <w:b w:val="0"/>
          <w:bCs w:val="0"/>
          <w:kern w:val="2"/>
          <w:sz w:val="24"/>
          <w:szCs w:val="24"/>
          <w:lang w:val="en-US" w:eastAsia="zh-CN" w:bidi="ar-SA"/>
        </w:rPr>
      </w:pPr>
      <w:r>
        <w:rPr>
          <w:rFonts w:hint="default" w:asciiTheme="minorAscii" w:hAnsiTheme="minorAscii" w:eastAsiaTheme="minorEastAsia" w:cstheme="minorBidi"/>
          <w:b w:val="0"/>
          <w:bCs w:val="0"/>
          <w:kern w:val="2"/>
          <w:sz w:val="24"/>
          <w:szCs w:val="24"/>
          <w:lang w:val="en-US" w:eastAsia="zh-CN" w:bidi="ar-SA"/>
        </w:rPr>
        <w:t>HVR-EBCB型断路器采用SF6（六氟化硫）气体作为绝缘和灭弧介质，灭弧室设计紧凑，具有高效的灭弧性能。灭弧室分为三极灭弧室设计，呈一字型竖直布置，能够有效缩短整体尺寸。该断路器配备了液压弹簧操动机构（HMB-1），用于提供合闸和分闸的动力。HVR-EBCB型断路器内置了直接接触寿命指示器，可清晰显示弧触头的剩余长度。</w:t>
      </w:r>
    </w:p>
    <w:p>
      <w:pPr>
        <w:pStyle w:val="4"/>
        <w:keepNext w:val="0"/>
        <w:keepLines w:val="0"/>
        <w:pageBreakBefore w:val="0"/>
        <w:widowControl w:val="0"/>
        <w:kinsoku/>
        <w:wordWrap/>
        <w:overflowPunct/>
        <w:topLinePunct w:val="0"/>
        <w:autoSpaceDE/>
        <w:autoSpaceDN/>
        <w:bidi w:val="0"/>
        <w:adjustRightInd/>
        <w:snapToGrid/>
        <w:spacing w:before="0" w:after="0"/>
        <w:ind w:firstLine="480" w:firstLineChars="200"/>
        <w:jc w:val="left"/>
        <w:textAlignment w:val="auto"/>
        <w:outlineLvl w:val="9"/>
        <w:rPr>
          <w:rFonts w:hint="default" w:asciiTheme="minorAscii" w:hAnsiTheme="minorAscii" w:eastAsiaTheme="minorEastAsia" w:cstheme="minorBidi"/>
          <w:b w:val="0"/>
          <w:bCs w:val="0"/>
          <w:kern w:val="2"/>
          <w:sz w:val="24"/>
          <w:szCs w:val="24"/>
          <w:lang w:val="en-US" w:eastAsia="zh-CN" w:bidi="ar-SA"/>
        </w:rPr>
      </w:pPr>
      <w:r>
        <w:rPr>
          <w:rFonts w:hint="default" w:asciiTheme="minorAscii" w:hAnsiTheme="minorAscii" w:eastAsiaTheme="minorEastAsia" w:cstheme="minorBidi"/>
          <w:b w:val="0"/>
          <w:bCs w:val="0"/>
          <w:kern w:val="2"/>
          <w:sz w:val="24"/>
          <w:szCs w:val="24"/>
          <w:lang w:val="en-US" w:eastAsia="zh-CN" w:bidi="ar-SA"/>
        </w:rPr>
        <w:t>近年来，在某些抽水蓄能电厂频繁发生电气制动开关因灭弧室内部操作杆拐臂螺栓松动导致的合闸不到位、寿命指示装置异常显示或者寿命异常缩短的情况，导致需要更换灭弧室。目前更换电气制动开关灭弧室需要等待日立能源（中国）有限公司的工程师携带专用更换工具后才能更换灭弧室，现场故障处理对厂家依赖性较大，不仅不满足设备故障的及时处理要求，而且还需要耗费不少的人工成本及时间成本。而电气制动开关灭弧室更换过程不是很复杂，依靠专用工具可在不需要厂家的情况下独立完成更换工作。本项目研制一套适用于HVR-EBCB型电气制动开关灭弧室更换的专用工具，以便“电气制动开关灭弧室自主检修”攻关项目的顺利开展，同时可作为后续其它机组更换电气制动开关灭弧室使用。</w:t>
      </w:r>
    </w:p>
    <w:p>
      <w:pPr>
        <w:numPr>
          <w:ilvl w:val="0"/>
          <w:numId w:val="1"/>
        </w:numPr>
        <w:bidi w:val="0"/>
        <w:ind w:left="0" w:leftChars="0" w:firstLine="0" w:firstLineChars="0"/>
        <w:rPr>
          <w:rFonts w:hint="eastAsia"/>
          <w:lang w:val="en-US" w:eastAsia="zh-CN"/>
        </w:rPr>
      </w:pPr>
      <w:r>
        <w:rPr>
          <w:rFonts w:hint="eastAsia"/>
          <w:lang w:val="en-US" w:eastAsia="zh-CN"/>
        </w:rPr>
        <w:t>项目实施关键点</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1.自主能力突：研制HVR-EBCB型电气制动开关灭弧室更换专用工具，能打破对日立能源原厂工程师及专用工装的依赖，使现场运维人员具备独立、规范开展灭弧室更换作业的能力，有效提升关键设备的自主检修水平。</w:t>
      </w:r>
    </w:p>
    <w:p>
      <w:pPr>
        <w:numPr>
          <w:ilvl w:val="0"/>
          <w:numId w:val="0"/>
        </w:numPr>
        <w:ind w:leftChars="0" w:firstLine="480" w:firstLineChars="200"/>
        <w:rPr>
          <w:rFonts w:hint="default"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2.安全性能优化：</w:t>
      </w:r>
      <w:r>
        <w:rPr>
          <w:rFonts w:hint="default" w:asciiTheme="minorAscii" w:hAnsiTheme="minorAscii" w:eastAsiaTheme="minorEastAsia" w:cstheme="minorBidi"/>
          <w:b w:val="0"/>
          <w:bCs w:val="0"/>
          <w:kern w:val="2"/>
          <w:sz w:val="24"/>
          <w:szCs w:val="24"/>
          <w:lang w:val="en-US" w:eastAsia="zh-CN" w:bidi="ar-SA"/>
        </w:rPr>
        <w:t>该工具采用纯机械结构设计，无需外部电源或液压系统驱动，本质安全度高；操作过程中仅需对传动轴进行微量角度调节，避免传统人工撬动或强行装配可能引发的机构变形、触头损伤及人身安全风险。</w:t>
      </w:r>
    </w:p>
    <w:p>
      <w:pPr>
        <w:numPr>
          <w:ilvl w:val="0"/>
          <w:numId w:val="0"/>
        </w:numPr>
        <w:ind w:leftChars="0" w:firstLine="480" w:firstLineChars="200"/>
        <w:rPr>
          <w:rFonts w:hint="eastAsia"/>
          <w:sz w:val="24"/>
          <w:szCs w:val="24"/>
          <w:lang w:val="en-US" w:eastAsia="zh-CN"/>
        </w:rPr>
      </w:pPr>
      <w:r>
        <w:rPr>
          <w:rFonts w:hint="eastAsia" w:asciiTheme="minorAscii" w:hAnsiTheme="minorAscii" w:eastAsiaTheme="minorEastAsia" w:cstheme="minorBidi"/>
          <w:b w:val="0"/>
          <w:bCs w:val="0"/>
          <w:kern w:val="2"/>
          <w:sz w:val="24"/>
          <w:szCs w:val="24"/>
          <w:lang w:val="en-US" w:eastAsia="zh-CN" w:bidi="ar-SA"/>
        </w:rPr>
        <w:t>3.</w:t>
      </w:r>
      <w:r>
        <w:rPr>
          <w:rFonts w:hint="default" w:asciiTheme="minorAscii" w:hAnsiTheme="minorAscii" w:eastAsiaTheme="minorEastAsia" w:cstheme="minorBidi"/>
          <w:b w:val="0"/>
          <w:bCs w:val="0"/>
          <w:kern w:val="2"/>
          <w:sz w:val="24"/>
          <w:szCs w:val="24"/>
          <w:lang w:val="en-US" w:eastAsia="zh-CN" w:bidi="ar-SA"/>
        </w:rPr>
        <w:t>实用效益提升</w:t>
      </w:r>
      <w:r>
        <w:rPr>
          <w:rFonts w:hint="eastAsia" w:asciiTheme="minorAscii" w:hAnsiTheme="minorAscii" w:eastAsiaTheme="minorEastAsia" w:cstheme="minorBidi"/>
          <w:b w:val="0"/>
          <w:bCs w:val="0"/>
          <w:kern w:val="2"/>
          <w:sz w:val="24"/>
          <w:szCs w:val="24"/>
          <w:lang w:val="en-US" w:eastAsia="zh-CN" w:bidi="ar-SA"/>
        </w:rPr>
        <w:t>：</w:t>
      </w:r>
      <w:r>
        <w:rPr>
          <w:rFonts w:hint="default" w:asciiTheme="minorAscii" w:hAnsiTheme="minorAscii" w:eastAsiaTheme="minorEastAsia" w:cstheme="minorBidi"/>
          <w:b w:val="0"/>
          <w:bCs w:val="0"/>
          <w:kern w:val="2"/>
          <w:sz w:val="24"/>
          <w:szCs w:val="24"/>
          <w:lang w:val="en-US" w:eastAsia="zh-CN" w:bidi="ar-SA"/>
        </w:rPr>
        <w:t>工具结构紧密结合HVR-EBCB型开关的实际工况与接口特性，具备较好的兼容性、稳定性和易用性，有助于缩短缺陷处理时间，降低对外</w:t>
      </w:r>
      <w:r>
        <w:rPr>
          <w:rFonts w:hint="default"/>
          <w:sz w:val="24"/>
          <w:szCs w:val="24"/>
          <w:lang w:val="en-US" w:eastAsia="zh-CN"/>
        </w:rPr>
        <w:t>部技术服务的依赖程度。</w:t>
      </w:r>
    </w:p>
    <w:p>
      <w:pPr>
        <w:numPr>
          <w:ilvl w:val="0"/>
          <w:numId w:val="1"/>
        </w:numPr>
        <w:bidi w:val="0"/>
        <w:ind w:left="0" w:leftChars="0" w:firstLine="0" w:firstLineChars="0"/>
        <w:rPr>
          <w:rFonts w:hint="eastAsia"/>
          <w:lang w:val="en-US" w:eastAsia="zh-CN"/>
        </w:rPr>
      </w:pPr>
      <w:r>
        <w:rPr>
          <w:rFonts w:hint="eastAsia"/>
          <w:lang w:val="en-US" w:eastAsia="zh-CN"/>
        </w:rPr>
        <w:t>预期目标及效益预测</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bookmarkStart w:id="0" w:name="OLE_LINK21"/>
      <w:r>
        <w:rPr>
          <w:rFonts w:hint="eastAsia" w:asciiTheme="minorAscii" w:hAnsiTheme="minorAscii" w:eastAsiaTheme="minorEastAsia" w:cstheme="minorBidi"/>
          <w:b w:val="0"/>
          <w:bCs w:val="0"/>
          <w:kern w:val="2"/>
          <w:sz w:val="24"/>
          <w:szCs w:val="24"/>
          <w:lang w:val="en-US" w:eastAsia="zh-CN" w:bidi="ar-SA"/>
        </w:rPr>
        <w:t>1.突破技术瓶颈，实现自主检修</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本项目通过研制专用工具，实现电气制动开关灭弧室的高效更换及现场解体大修，深入研究并掌握日立能源（中国）有限公司进口HVR-EBCB型电气制动开关灭弧室的核心检修技术。这将有效解决进口设备技术“卡脖子”问题，打破国外技术垄断，实现自主检修能力，从根本上避免因技术依赖而受制于人。</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2.提升应急抢修能力，保障设备可用性</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项目成果将显著提升现场故障应急抢修能力，大幅减少设备缺陷查找和处理时间。通过快速、高效的检修手段，提高机组的可用率，降低因设备故障导致的停机时间，从而减小事故事件对生产运营的影响，保障电力系统的稳定运行。</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3.降低检修成本，提升经济效益</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目前，进口设备的故障处理和大修通常依赖国外技术支持，不仅耗时费力，还增加了检修成本。本项目通过自主研制专用工具，优化检修流程，能够有效减少设备故障处理时间和大修周期，降低检修费用，为公司带来显著的经济效益。</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4.推动行业技术进步，提升自主创新能力</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本项目不仅针对特定型号设备进行技术攻关，还将形成一套可推广的检修技术体系和工具设计思路。这将为国内电力行业在进口设备检修领域提供宝贵经验，推动行业技术进步，提升我国在高端电力设备检修领域的自主创新能力。</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5.促进技术标准化与规范化</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项目成果可为行业内相关设备的检修提供标准化的技术方案和工具支持，有助于规范检修流程，提升行业整体检修水平。同时，通过技术认定和标准制定，进一步扩大项目成果的影响力，为电力行业的可持续发展提供有力保障。</w:t>
      </w:r>
    </w:p>
    <w:p>
      <w:pPr>
        <w:numPr>
          <w:ilvl w:val="0"/>
          <w:numId w:val="0"/>
        </w:numPr>
        <w:ind w:leftChars="0" w:firstLine="480" w:firstLineChars="200"/>
        <w:rPr>
          <w:rFonts w:hint="eastAsia" w:asciiTheme="minorAscii" w:hAnsiTheme="minorAscii" w:eastAsiaTheme="minorEastAsia" w:cstheme="minorBidi"/>
          <w:b w:val="0"/>
          <w:bCs w:val="0"/>
          <w:kern w:val="2"/>
          <w:sz w:val="24"/>
          <w:szCs w:val="24"/>
          <w:lang w:val="en-US" w:eastAsia="zh-CN" w:bidi="ar-SA"/>
        </w:rPr>
      </w:pPr>
      <w:r>
        <w:rPr>
          <w:rFonts w:hint="eastAsia" w:asciiTheme="minorAscii" w:hAnsiTheme="minorAscii" w:eastAsiaTheme="minorEastAsia" w:cstheme="minorBidi"/>
          <w:b w:val="0"/>
          <w:bCs w:val="0"/>
          <w:kern w:val="2"/>
          <w:sz w:val="24"/>
          <w:szCs w:val="24"/>
          <w:lang w:val="en-US" w:eastAsia="zh-CN" w:bidi="ar-SA"/>
        </w:rPr>
        <w:t>综上所述，本项目不仅具有重要的技术突破意义，还将在经济效益、社会效益和行业技术进步等方面发挥积极作用，具有较高的研究价值和广阔的应用前景。</w:t>
      </w:r>
    </w:p>
    <w:p>
      <w:pPr>
        <w:numPr>
          <w:ilvl w:val="0"/>
          <w:numId w:val="1"/>
        </w:numPr>
        <w:ind w:left="0" w:leftChars="0" w:firstLine="0" w:firstLineChars="0"/>
        <w:rPr>
          <w:rFonts w:hint="eastAsia" w:cstheme="minorBidi"/>
          <w:b w:val="0"/>
          <w:bCs w:val="0"/>
          <w:kern w:val="2"/>
          <w:sz w:val="24"/>
          <w:szCs w:val="24"/>
          <w:lang w:val="en-US" w:eastAsia="zh-CN" w:bidi="ar-SA"/>
        </w:rPr>
      </w:pPr>
      <w:r>
        <w:rPr>
          <w:rFonts w:hint="eastAsia" w:cstheme="minorBidi"/>
          <w:b w:val="0"/>
          <w:bCs w:val="0"/>
          <w:kern w:val="2"/>
          <w:sz w:val="24"/>
          <w:szCs w:val="24"/>
          <w:lang w:val="en-US" w:eastAsia="zh-CN" w:bidi="ar-SA"/>
        </w:rPr>
        <w:t>工具图片</w:t>
      </w:r>
    </w:p>
    <w:p>
      <w:pPr>
        <w:numPr>
          <w:numId w:val="0"/>
        </w:numPr>
        <w:ind w:leftChars="0"/>
        <w:rPr>
          <w:rFonts w:ascii="宋体" w:hAnsi="宋体" w:eastAsia="宋体" w:cs="宋体"/>
          <w:sz w:val="24"/>
          <w:szCs w:val="24"/>
        </w:rPr>
      </w:pPr>
      <w:r>
        <w:rPr>
          <w:rFonts w:ascii="宋体" w:hAnsi="宋体" w:eastAsia="宋体" w:cs="宋体"/>
          <w:sz w:val="24"/>
          <w:szCs w:val="24"/>
        </w:rPr>
        <w:drawing>
          <wp:inline distT="0" distB="0" distL="114300" distR="114300">
            <wp:extent cx="2371725" cy="1066800"/>
            <wp:effectExtent l="0" t="0" r="952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2371725" cy="1066800"/>
                    </a:xfrm>
                    <a:prstGeom prst="rect">
                      <a:avLst/>
                    </a:prstGeom>
                    <a:noFill/>
                    <a:ln w="9525">
                      <a:noFill/>
                    </a:ln>
                  </pic:spPr>
                </pic:pic>
              </a:graphicData>
            </a:graphic>
          </wp:inline>
        </w:drawing>
      </w:r>
    </w:p>
    <w:p>
      <w:pPr>
        <w:numPr>
          <w:numId w:val="0"/>
        </w:numPr>
        <w:ind w:leftChars="0"/>
        <w:rPr>
          <w:rFonts w:hint="default" w:ascii="宋体" w:hAnsi="宋体" w:eastAsia="宋体" w:cs="宋体"/>
          <w:sz w:val="24"/>
          <w:szCs w:val="24"/>
          <w:lang w:val="en-US" w:eastAsia="zh-CN"/>
        </w:rPr>
      </w:pPr>
      <w:r>
        <w:rPr>
          <w:rFonts w:ascii="宋体" w:hAnsi="宋体" w:eastAsia="宋体" w:cs="宋体"/>
          <w:sz w:val="24"/>
          <w:szCs w:val="24"/>
        </w:rPr>
        <w:drawing>
          <wp:inline distT="0" distB="0" distL="114300" distR="114300">
            <wp:extent cx="2238375" cy="1162050"/>
            <wp:effectExtent l="0" t="0" r="9525"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7"/>
                    <a:stretch>
                      <a:fillRect/>
                    </a:stretch>
                  </pic:blipFill>
                  <pic:spPr>
                    <a:xfrm>
                      <a:off x="0" y="0"/>
                      <a:ext cx="2238375" cy="1162050"/>
                    </a:xfrm>
                    <a:prstGeom prst="rect">
                      <a:avLst/>
                    </a:prstGeom>
                    <a:noFill/>
                    <a:ln w="9525">
                      <a:noFill/>
                    </a:ln>
                  </pic:spPr>
                </pic:pic>
              </a:graphicData>
            </a:graphic>
          </wp:inline>
        </w:drawing>
      </w:r>
      <w:bookmarkStart w:id="1" w:name="_GoBack"/>
      <w:bookmarkEnd w:id="1"/>
    </w:p>
    <w:bookmarkEnd w:id="0"/>
    <w:p>
      <w:pPr>
        <w:numPr>
          <w:ilvl w:val="0"/>
          <w:numId w:val="0"/>
        </w:numPr>
        <w:bidi w:val="0"/>
        <w:ind w:leftChars="0" w:firstLine="480" w:firstLineChars="200"/>
        <w:rPr>
          <w:rFonts w:hint="eastAsia"/>
          <w:lang w:val="en-US" w:eastAsia="zh-CN"/>
        </w:rPr>
      </w:pPr>
      <w:r>
        <w:rPr>
          <w:rFonts w:ascii="宋体" w:hAnsi="宋体" w:eastAsia="宋体" w:cs="宋体"/>
          <w:sz w:val="24"/>
          <w:szCs w:val="24"/>
        </w:rPr>
        <w:drawing>
          <wp:inline distT="0" distB="0" distL="114300" distR="114300">
            <wp:extent cx="800100" cy="1476375"/>
            <wp:effectExtent l="0" t="0" r="0" b="952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8"/>
                    <a:stretch>
                      <a:fillRect/>
                    </a:stretch>
                  </pic:blipFill>
                  <pic:spPr>
                    <a:xfrm>
                      <a:off x="0" y="0"/>
                      <a:ext cx="800100" cy="1476375"/>
                    </a:xfrm>
                    <a:prstGeom prst="rect">
                      <a:avLst/>
                    </a:prstGeom>
                    <a:noFill/>
                    <a:ln w="9525">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A97274"/>
    <w:multiLevelType w:val="singleLevel"/>
    <w:tmpl w:val="EFA9727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A22D5"/>
    <w:rsid w:val="043D7296"/>
    <w:rsid w:val="07E20266"/>
    <w:rsid w:val="0A874035"/>
    <w:rsid w:val="0B54742E"/>
    <w:rsid w:val="19BA7045"/>
    <w:rsid w:val="1B332651"/>
    <w:rsid w:val="37B5307D"/>
    <w:rsid w:val="3D707663"/>
    <w:rsid w:val="49221125"/>
    <w:rsid w:val="4A32682B"/>
    <w:rsid w:val="4E642E4D"/>
    <w:rsid w:val="4E766844"/>
    <w:rsid w:val="52295827"/>
    <w:rsid w:val="5B9A6BD8"/>
    <w:rsid w:val="5C1B13A6"/>
    <w:rsid w:val="5E230726"/>
    <w:rsid w:val="695D5355"/>
    <w:rsid w:val="77A32C79"/>
    <w:rsid w:val="7EC95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ody Text"/>
    <w:basedOn w:val="5"/>
    <w:next w:val="5"/>
    <w:qFormat/>
    <w:uiPriority w:val="0"/>
    <w:pPr>
      <w:spacing w:after="120" w:afterLines="0" w:afterAutospacing="0"/>
    </w:pPr>
  </w:style>
  <w:style w:type="paragraph" w:styleId="5">
    <w:name w:val="Title"/>
    <w:basedOn w:val="1"/>
    <w:next w:val="1"/>
    <w:qFormat/>
    <w:uiPriority w:val="0"/>
    <w:pPr>
      <w:spacing w:before="240" w:beforeLines="0" w:after="60" w:afterLines="0"/>
      <w:jc w:val="center"/>
      <w:outlineLvl w:val="0"/>
    </w:pPr>
    <w:rPr>
      <w:rFonts w:ascii="Arial" w:hAnsi="Arial" w:cs="Arial"/>
      <w:b/>
      <w:bCs/>
      <w:sz w:val="32"/>
      <w:szCs w:val="32"/>
    </w:rPr>
  </w:style>
  <w:style w:type="character" w:styleId="8">
    <w:name w:val="Strong"/>
    <w:basedOn w:val="7"/>
    <w:qFormat/>
    <w:uiPriority w:val="0"/>
    <w:rPr>
      <w:b/>
    </w:rPr>
  </w:style>
  <w:style w:type="paragraph" w:customStyle="1" w:styleId="9">
    <w:name w:val="正文样式"/>
    <w:basedOn w:val="1"/>
    <w:next w:val="4"/>
    <w:qFormat/>
    <w:uiPriority w:val="0"/>
    <w:pPr>
      <w:spacing w:beforeLines="0" w:afterLines="0" w:line="240" w:lineRule="auto"/>
      <w:ind w:firstLine="0" w:firstLineChars="0"/>
      <w:jc w:val="left"/>
      <w:outlineLvl w:val="0"/>
    </w:pPr>
    <w:rPr>
      <w:rFonts w:hint="eastAsia" w:ascii="Arial" w:hAnsi="Arial" w:eastAsia="宋体" w:cs="Arial"/>
      <w:bCs/>
      <w:color w:val="000000" w:themeColor="text1"/>
      <w:sz w:val="21"/>
      <w:szCs w:val="32"/>
      <w14:textFill>
        <w14:solidFill>
          <w14:schemeClr w14:val="tx1"/>
        </w14:solidFill>
      </w14:textFill>
    </w:rPr>
  </w:style>
  <w:style w:type="paragraph" w:customStyle="1" w:styleId="10">
    <w:name w:val="Table Paragraph"/>
    <w:basedOn w:val="1"/>
    <w:qFormat/>
    <w:uiPriority w:val="1"/>
    <w:rPr>
      <w:rFonts w:ascii="PMingLiU" w:hAnsi="PMingLiU" w:eastAsia="PMingLiU" w:cs="PMingLiU"/>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864</Words>
  <Characters>879</Characters>
  <Lines>0</Lines>
  <Paragraphs>0</Paragraphs>
  <TotalTime>12</TotalTime>
  <ScaleCrop>false</ScaleCrop>
  <LinksUpToDate>false</LinksUpToDate>
  <CharactersWithSpaces>883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2025-09-26T01:19:00Z</dcterms:created>
  <dc:creator>admin</dc:creator>
  <cp:lastModifiedBy>pgcadmin</cp:lastModifiedBy>
  <dcterms:modified xsi:type="dcterms:W3CDTF">2026-05-09T06:21:48Z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D844B275E9E84D35AF060829F99AF7D4</vt:lpwstr>
  </property>
  <property fmtid="{D5CDD505-2E9C-101B-9397-08002B2CF9AE}" pid="4" name="KSOTemplateDocerSaveRecord">
    <vt:lpwstr>eyJoZGlkIjoiNzI1MzljODBiNDliMzEyMzFlZWNlN2EzYjU0N2YzMWEiLCJ1c2VySWQiOiI1Mzg4MTU4MjcifQ==</vt:lpwstr>
  </property>
</Properties>
</file>