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590B70">
      <w:pPr>
        <w:pStyle w:val="2"/>
        <w:tabs>
          <w:tab w:val="left" w:pos="850"/>
        </w:tabs>
        <w:adjustRightInd w:val="0"/>
        <w:snapToGrid w:val="0"/>
        <w:spacing w:before="0" w:after="0" w:line="360" w:lineRule="auto"/>
        <w:rPr>
          <w:rFonts w:hint="eastAsia" w:ascii="Times New Roman Regular" w:hAnsi="Times New Roman Regular" w:cs="Times New Roman Regular"/>
          <w:color w:val="auto"/>
          <w:sz w:val="32"/>
          <w:szCs w:val="32"/>
        </w:rPr>
      </w:pPr>
      <w:bookmarkStart w:id="6" w:name="_GoBack"/>
      <w:r>
        <w:rPr>
          <w:rFonts w:hint="eastAsia" w:ascii="Times New Roman Regular" w:hAnsi="Times New Roman Regular" w:cs="Times New Roman Regular"/>
          <w:color w:val="auto"/>
          <w:sz w:val="32"/>
          <w:szCs w:val="32"/>
          <w:lang w:val="en-US" w:eastAsia="zh-CN"/>
        </w:rPr>
        <w:t>TMR电流传感器</w:t>
      </w:r>
    </w:p>
    <w:p w14:paraId="71A6E048">
      <w:pPr>
        <w:pStyle w:val="3"/>
        <w:tabs>
          <w:tab w:val="left" w:pos="0"/>
          <w:tab w:val="left" w:pos="2834"/>
        </w:tabs>
        <w:adjustRightInd w:val="0"/>
        <w:snapToGrid w:val="0"/>
        <w:spacing w:before="0" w:after="0" w:line="360" w:lineRule="auto"/>
        <w:ind w:left="567" w:hanging="567"/>
        <w:rPr>
          <w:rFonts w:hint="eastAsia" w:ascii="Times New Roman Regular" w:hAnsi="Times New Roman Regular" w:eastAsia="仿宋_GB2312" w:cs="Times New Roman Regular"/>
          <w:color w:val="auto"/>
          <w:sz w:val="28"/>
          <w:szCs w:val="28"/>
        </w:rPr>
      </w:pPr>
      <w:bookmarkStart w:id="0" w:name="_Toc169791164"/>
      <w:r>
        <w:rPr>
          <w:rFonts w:ascii="Times New Roman Regular" w:hAnsi="Times New Roman Regular" w:eastAsia="仿宋_GB2312" w:cs="Times New Roman Regular"/>
          <w:color w:val="auto"/>
          <w:sz w:val="28"/>
          <w:szCs w:val="28"/>
        </w:rPr>
        <w:t>测试内容</w:t>
      </w:r>
      <w:bookmarkEnd w:id="0"/>
    </w:p>
    <w:p w14:paraId="430F8478">
      <w:pPr>
        <w:ind w:firstLine="281" w:firstLineChars="100"/>
        <w:rPr>
          <w:rFonts w:hint="default"/>
          <w:color w:val="auto"/>
          <w:sz w:val="28"/>
          <w:szCs w:val="28"/>
          <w:lang w:val="en-US"/>
        </w:rPr>
      </w:pPr>
      <w:r>
        <w:rPr>
          <w:rFonts w:hint="eastAsia" w:ascii="Times New Roman Regular" w:hAnsi="Times New Roman Regular" w:cs="Times New Roman Regular"/>
          <w:b/>
          <w:color w:val="auto"/>
          <w:sz w:val="28"/>
          <w:szCs w:val="28"/>
        </w:rPr>
        <w:t>测试对象：</w:t>
      </w:r>
      <w:r>
        <w:rPr>
          <w:rFonts w:hint="eastAsia" w:ascii="Times New Roman Regular" w:hAnsi="Times New Roman Regular" w:cs="Times New Roman Regular"/>
          <w:b w:val="0"/>
          <w:bCs/>
          <w:color w:val="auto"/>
          <w:sz w:val="28"/>
          <w:szCs w:val="28"/>
          <w:lang w:val="en-US" w:eastAsia="zh-CN"/>
        </w:rPr>
        <w:t>TMR电流传感器</w:t>
      </w:r>
      <w:r>
        <w:rPr>
          <w:rFonts w:hint="eastAsia" w:ascii="Times New Roman Regular" w:hAnsi="Times New Roman Regular" w:cs="Times New Roman Regular"/>
          <w:bCs/>
          <w:color w:val="auto"/>
          <w:sz w:val="28"/>
          <w:szCs w:val="28"/>
          <w:lang w:val="en-US" w:eastAsia="zh-CN"/>
        </w:rPr>
        <w:t>包含聚磁环、TMR元件、内置发大电路。</w:t>
      </w:r>
    </w:p>
    <w:p w14:paraId="013EB824">
      <w:pPr>
        <w:ind w:firstLine="281" w:firstLineChars="100"/>
        <w:rPr>
          <w:rFonts w:hint="eastAsia" w:ascii="Times New Roman Regular" w:hAnsi="Times New Roman Regular" w:cs="Times New Roman Regular"/>
          <w:b/>
          <w:color w:val="auto"/>
          <w:sz w:val="28"/>
          <w:szCs w:val="28"/>
        </w:rPr>
      </w:pPr>
      <w:r>
        <w:rPr>
          <w:rFonts w:hint="eastAsia" w:ascii="Times New Roman Regular" w:hAnsi="Times New Roman Regular" w:cs="Times New Roman Regular"/>
          <w:b/>
          <w:color w:val="auto"/>
          <w:sz w:val="28"/>
          <w:szCs w:val="28"/>
        </w:rPr>
        <w:t>测试指标：</w:t>
      </w:r>
    </w:p>
    <w:p w14:paraId="4229D023">
      <w:pPr>
        <w:pStyle w:val="12"/>
        <w:rPr>
          <w:rFonts w:hint="eastAsia" w:ascii="Times New Roman Regular" w:hAnsi="Times New Roman Regular" w:eastAsia="仿宋_GB2312" w:cs="Times New Roman Regular"/>
          <w:bCs/>
          <w:color w:val="auto"/>
          <w:sz w:val="24"/>
          <w:szCs w:val="24"/>
        </w:rPr>
      </w:pPr>
      <w:r>
        <w:rPr>
          <w:rFonts w:ascii="仿宋_GB2312" w:hAnsi="Times New Roman" w:eastAsia="仿宋_GB2312"/>
          <w:color w:val="auto"/>
          <w:sz w:val="24"/>
          <w:szCs w:val="24"/>
        </w:rPr>
        <w:t>表</w:t>
      </w:r>
      <w:r>
        <w:rPr>
          <w:rFonts w:ascii="Times New Roman" w:hAnsi="Times New Roman" w:eastAsia="仿宋_GB2312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仿宋_GB2312"/>
          <w:color w:val="auto"/>
          <w:sz w:val="24"/>
          <w:szCs w:val="24"/>
        </w:rPr>
        <w:fldChar w:fldCharType="begin"/>
      </w:r>
      <w:r>
        <w:rPr>
          <w:rFonts w:ascii="Times New Roman" w:hAnsi="Times New Roman" w:eastAsia="仿宋_GB2312"/>
          <w:color w:val="auto"/>
          <w:sz w:val="24"/>
          <w:szCs w:val="24"/>
        </w:rPr>
        <w:instrText xml:space="preserve"> STYLEREF 1 \s </w:instrText>
      </w:r>
      <w:r>
        <w:rPr>
          <w:rFonts w:ascii="Times New Roman" w:hAnsi="Times New Roman" w:eastAsia="仿宋_GB2312"/>
          <w:color w:val="auto"/>
          <w:sz w:val="24"/>
          <w:szCs w:val="24"/>
        </w:rPr>
        <w:fldChar w:fldCharType="separate"/>
      </w:r>
      <w:r>
        <w:rPr>
          <w:rFonts w:ascii="Times New Roman" w:hAnsi="Times New Roman" w:eastAsia="仿宋_GB2312"/>
          <w:color w:val="auto"/>
          <w:sz w:val="24"/>
          <w:szCs w:val="24"/>
        </w:rPr>
        <w:t>1</w:t>
      </w:r>
      <w:r>
        <w:rPr>
          <w:rFonts w:ascii="Times New Roman" w:hAnsi="Times New Roman" w:eastAsia="仿宋_GB2312"/>
          <w:color w:val="auto"/>
          <w:sz w:val="24"/>
          <w:szCs w:val="24"/>
        </w:rPr>
        <w:fldChar w:fldCharType="end"/>
      </w:r>
      <w:r>
        <w:rPr>
          <w:rFonts w:ascii="Times New Roman" w:hAnsi="Times New Roman" w:eastAsia="仿宋_GB2312"/>
          <w:color w:val="auto"/>
          <w:sz w:val="24"/>
          <w:szCs w:val="24"/>
        </w:rPr>
        <w:noBreakHyphen/>
      </w:r>
      <w:r>
        <w:rPr>
          <w:rFonts w:ascii="Times New Roman" w:hAnsi="Times New Roman" w:eastAsia="仿宋_GB2312"/>
          <w:color w:val="auto"/>
          <w:sz w:val="24"/>
          <w:szCs w:val="24"/>
        </w:rPr>
        <w:fldChar w:fldCharType="begin"/>
      </w:r>
      <w:r>
        <w:rPr>
          <w:rFonts w:ascii="Times New Roman" w:hAnsi="Times New Roman" w:eastAsia="仿宋_GB2312"/>
          <w:color w:val="auto"/>
          <w:sz w:val="24"/>
          <w:szCs w:val="24"/>
        </w:rPr>
        <w:instrText xml:space="preserve"> SEQ 表 \* ARABIC \s 1 </w:instrText>
      </w:r>
      <w:r>
        <w:rPr>
          <w:rFonts w:ascii="Times New Roman" w:hAnsi="Times New Roman" w:eastAsia="仿宋_GB2312"/>
          <w:color w:val="auto"/>
          <w:sz w:val="24"/>
          <w:szCs w:val="24"/>
        </w:rPr>
        <w:fldChar w:fldCharType="separate"/>
      </w:r>
      <w:r>
        <w:rPr>
          <w:rFonts w:ascii="Times New Roman" w:hAnsi="Times New Roman" w:eastAsia="仿宋_GB2312"/>
          <w:color w:val="auto"/>
          <w:sz w:val="24"/>
          <w:szCs w:val="24"/>
        </w:rPr>
        <w:t>1</w:t>
      </w:r>
      <w:r>
        <w:rPr>
          <w:rFonts w:ascii="Times New Roman" w:hAnsi="Times New Roman" w:eastAsia="仿宋_GB2312"/>
          <w:color w:val="auto"/>
          <w:sz w:val="24"/>
          <w:szCs w:val="24"/>
        </w:rPr>
        <w:fldChar w:fldCharType="end"/>
      </w:r>
      <w:r>
        <w:rPr>
          <w:rFonts w:hint="eastAsia" w:ascii="Times New Roman Regular" w:hAnsi="Times New Roman Regular" w:cs="Times New Roman Regular"/>
          <w:b w:val="0"/>
          <w:bCs/>
          <w:color w:val="auto"/>
          <w:sz w:val="28"/>
          <w:szCs w:val="28"/>
          <w:lang w:val="en-US" w:eastAsia="zh-CN"/>
        </w:rPr>
        <w:t>TMR电流传感器</w:t>
      </w:r>
      <w:r>
        <w:rPr>
          <w:rFonts w:ascii="Times New Roman Regular" w:hAnsi="Times New Roman Regular" w:eastAsia="仿宋_GB2312" w:cs="Times New Roman Regular"/>
          <w:color w:val="auto"/>
          <w:sz w:val="24"/>
          <w:szCs w:val="24"/>
        </w:rPr>
        <w:t>测试指标</w:t>
      </w:r>
    </w:p>
    <w:tbl>
      <w:tblPr>
        <w:tblStyle w:val="27"/>
        <w:tblW w:w="63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5558"/>
      </w:tblGrid>
      <w:tr w14:paraId="7F736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</w:tcPr>
          <w:p w14:paraId="7B782421">
            <w:pPr>
              <w:widowControl w:val="0"/>
              <w:jc w:val="center"/>
              <w:rPr>
                <w:rFonts w:hint="eastAsia" w:ascii="Times New Roman Regular" w:hAnsi="Times New Roman Regular" w:cs="Times New Roman Regular"/>
                <w:color w:val="auto"/>
                <w:sz w:val="24"/>
                <w:szCs w:val="24"/>
              </w:rPr>
            </w:pPr>
            <w:r>
              <w:rPr>
                <w:rFonts w:ascii="Times New Roman Regular" w:hAnsi="Times New Roman Regular" w:cs="Times New Roman Regular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5558" w:type="dxa"/>
          </w:tcPr>
          <w:p w14:paraId="584D59E1">
            <w:pPr>
              <w:widowControl w:val="0"/>
              <w:jc w:val="center"/>
              <w:rPr>
                <w:rFonts w:hint="eastAsia" w:ascii="Times New Roman Regular" w:hAnsi="Times New Roman Regular" w:cs="Times New Roman Regular"/>
                <w:color w:val="auto"/>
                <w:sz w:val="24"/>
                <w:szCs w:val="24"/>
              </w:rPr>
            </w:pPr>
            <w:r>
              <w:rPr>
                <w:rFonts w:ascii="Times New Roman Regular" w:hAnsi="Times New Roman Regular" w:cs="Times New Roman Regular"/>
                <w:color w:val="auto"/>
                <w:sz w:val="24"/>
                <w:szCs w:val="24"/>
              </w:rPr>
              <w:t>指标名称</w:t>
            </w:r>
          </w:p>
        </w:tc>
      </w:tr>
      <w:tr w14:paraId="06126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</w:tcPr>
          <w:p w14:paraId="7A031C64">
            <w:pPr>
              <w:widowControl w:val="0"/>
              <w:jc w:val="center"/>
              <w:rPr>
                <w:rFonts w:hint="eastAsia" w:ascii="Times New Roman Regular" w:hAnsi="Times New Roman Regular" w:cs="Times New Roman Regular"/>
                <w:color w:val="auto"/>
                <w:sz w:val="24"/>
                <w:szCs w:val="24"/>
              </w:rPr>
            </w:pPr>
            <w:r>
              <w:rPr>
                <w:rFonts w:ascii="Times New Roman Regular" w:hAnsi="Times New Roman Regular" w:cs="Times New Roman Regular"/>
                <w:color w:val="auto"/>
                <w:sz w:val="24"/>
                <w:szCs w:val="24"/>
              </w:rPr>
              <w:t>1</w:t>
            </w:r>
          </w:p>
        </w:tc>
        <w:tc>
          <w:tcPr>
            <w:tcW w:w="5558" w:type="dxa"/>
          </w:tcPr>
          <w:p w14:paraId="3BFB8C4B">
            <w:pPr>
              <w:widowControl/>
              <w:jc w:val="center"/>
              <w:rPr>
                <w:rFonts w:hint="eastAsia" w:ascii="Times New Roman Regular" w:hAnsi="Times New Roman Regular" w:eastAsia="仿宋_GB2312" w:cs="Times New Roman Regular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 Regular" w:hAnsi="Times New Roman Regular" w:eastAsia="仿宋_GB2312" w:cs="Times New Roman Regular"/>
                <w:color w:val="auto"/>
                <w:sz w:val="24"/>
                <w:szCs w:val="24"/>
                <w:lang w:val="en-US" w:eastAsia="zh-CN"/>
              </w:rPr>
              <w:t>噪声</w:t>
            </w:r>
          </w:p>
        </w:tc>
      </w:tr>
    </w:tbl>
    <w:p w14:paraId="5C8C7D68">
      <w:pPr>
        <w:rPr>
          <w:color w:val="auto"/>
        </w:rPr>
      </w:pPr>
    </w:p>
    <w:p w14:paraId="549A6182">
      <w:pPr>
        <w:pStyle w:val="3"/>
        <w:tabs>
          <w:tab w:val="left" w:pos="0"/>
          <w:tab w:val="left" w:pos="2834"/>
        </w:tabs>
        <w:adjustRightInd w:val="0"/>
        <w:snapToGrid w:val="0"/>
        <w:spacing w:before="0" w:after="0" w:line="360" w:lineRule="auto"/>
        <w:ind w:left="567" w:hanging="567"/>
        <w:rPr>
          <w:rFonts w:hint="eastAsia" w:ascii="Times New Roman Regular" w:hAnsi="Times New Roman Regular" w:eastAsia="仿宋_GB2312" w:cs="Times New Roman Regular"/>
          <w:color w:val="auto"/>
          <w:sz w:val="28"/>
          <w:szCs w:val="28"/>
        </w:rPr>
      </w:pPr>
      <w:bookmarkStart w:id="1" w:name="_Toc169791165"/>
      <w:r>
        <w:rPr>
          <w:rFonts w:ascii="Times New Roman Regular" w:hAnsi="Times New Roman Regular" w:eastAsia="仿宋_GB2312" w:cs="Times New Roman Regular"/>
          <w:color w:val="auto"/>
          <w:sz w:val="28"/>
          <w:szCs w:val="28"/>
        </w:rPr>
        <w:t>测试设备及环境</w:t>
      </w:r>
      <w:bookmarkEnd w:id="1"/>
    </w:p>
    <w:p w14:paraId="04F532A8">
      <w:pPr>
        <w:ind w:firstLine="480"/>
        <w:rPr>
          <w:rFonts w:ascii="Times New Roman" w:hAnsi="Times New Roman"/>
          <w:sz w:val="24"/>
          <w:szCs w:val="32"/>
        </w:rPr>
      </w:pPr>
      <w:r>
        <w:rPr>
          <w:rFonts w:hint="eastAsia" w:ascii="Times New Roman" w:hAnsi="Times New Roman"/>
          <w:sz w:val="24"/>
        </w:rPr>
        <w:t>测试用标准大气条件</w:t>
      </w:r>
      <w:r>
        <w:rPr>
          <w:rFonts w:hint="eastAsia" w:ascii="Times New Roman" w:hAnsi="Times New Roman"/>
          <w:sz w:val="24"/>
          <w:szCs w:val="32"/>
        </w:rPr>
        <w:t>：</w:t>
      </w:r>
    </w:p>
    <w:p w14:paraId="28A6A191">
      <w:pPr>
        <w:rPr>
          <w:highlight w:val="none"/>
        </w:rPr>
      </w:pPr>
      <w:r>
        <w:rPr>
          <w:highlight w:val="none"/>
        </w:rPr>
        <w:t>a) 实验室环境温度：+15℃～＋35℃；</w:t>
      </w:r>
    </w:p>
    <w:p w14:paraId="28A6A192">
      <w:pPr>
        <w:rPr>
          <w:highlight w:val="none"/>
        </w:rPr>
      </w:pPr>
      <w:r>
        <w:rPr>
          <w:highlight w:val="none"/>
        </w:rPr>
        <w:t>b) 相对湿度：25%</w:t>
      </w:r>
      <w:r>
        <w:rPr>
          <w:rFonts w:hint="eastAsia"/>
          <w:highlight w:val="none"/>
        </w:rPr>
        <w:t>～</w:t>
      </w:r>
      <w:r>
        <w:rPr>
          <w:highlight w:val="none"/>
        </w:rPr>
        <w:t>75%；</w:t>
      </w:r>
    </w:p>
    <w:p w14:paraId="28A6A193">
      <w:pPr>
        <w:rPr>
          <w:highlight w:val="none"/>
        </w:rPr>
      </w:pPr>
      <w:r>
        <w:rPr>
          <w:highlight w:val="none"/>
        </w:rPr>
        <w:t>c) 大气压力：86kPa~106kPa。</w:t>
      </w:r>
    </w:p>
    <w:p w14:paraId="3A1322FD">
      <w:pPr>
        <w:pStyle w:val="4"/>
        <w:tabs>
          <w:tab w:val="left" w:pos="850"/>
          <w:tab w:val="left" w:pos="2834"/>
        </w:tabs>
        <w:rPr>
          <w:highlight w:val="none"/>
        </w:rPr>
      </w:pPr>
      <w:bookmarkStart w:id="2" w:name="_Toc193999742"/>
      <w:r>
        <w:rPr>
          <w:highlight w:val="none"/>
        </w:rPr>
        <w:t>测试设备</w:t>
      </w:r>
      <w:bookmarkEnd w:id="2"/>
    </w:p>
    <w:p w14:paraId="28A6A1D9">
      <w:pPr>
        <w:ind w:firstLine="480" w:firstLineChars="200"/>
        <w:rPr>
          <w:highlight w:val="none"/>
        </w:rPr>
      </w:pPr>
      <w:r>
        <w:rPr>
          <w:rFonts w:hint="eastAsia"/>
          <w:highlight w:val="none"/>
          <w:lang w:val="en-US" w:eastAsia="zh-CN"/>
        </w:rPr>
        <w:t>参考设备：</w:t>
      </w:r>
      <w:r>
        <w:rPr>
          <w:rFonts w:hint="eastAsia"/>
          <w:highlight w:val="none"/>
        </w:rPr>
        <w:t>精密可调</w:t>
      </w:r>
      <w:r>
        <w:rPr>
          <w:rFonts w:hint="eastAsia"/>
          <w:highlight w:val="none"/>
          <w:lang w:val="en-US" w:eastAsia="zh-CN"/>
        </w:rPr>
        <w:t>电流</w:t>
      </w:r>
      <w:r>
        <w:rPr>
          <w:rFonts w:hint="eastAsia"/>
          <w:highlight w:val="none"/>
        </w:rPr>
        <w:t>源</w:t>
      </w:r>
      <w:r>
        <w:rPr>
          <w:rFonts w:hint="eastAsia"/>
          <w:highlight w:val="none"/>
          <w:lang w:eastAsia="zh-CN"/>
        </w:rPr>
        <w:t>、</w:t>
      </w:r>
      <w:r>
        <w:rPr>
          <w:rFonts w:hint="eastAsia"/>
          <w:highlight w:val="none"/>
          <w:lang w:val="en-US" w:eastAsia="zh-CN"/>
        </w:rPr>
        <w:t>示波器、</w:t>
      </w:r>
      <w:r>
        <w:rPr>
          <w:rFonts w:hint="eastAsia" w:ascii="Times New Roman" w:hAnsi="Times New Roman" w:cs="Times New Roman"/>
          <w:sz w:val="24"/>
          <w:szCs w:val="32"/>
          <w:highlight w:val="none"/>
          <w:lang w:val="en-US" w:eastAsia="zh-CN"/>
        </w:rPr>
        <w:t>电流监视器</w:t>
      </w:r>
      <w:r>
        <w:rPr>
          <w:rFonts w:hint="eastAsia" w:cs="Times New Roman"/>
          <w:sz w:val="24"/>
          <w:szCs w:val="32"/>
          <w:highlight w:val="none"/>
          <w:lang w:val="en-US" w:eastAsia="zh-CN"/>
        </w:rPr>
        <w:t>（</w:t>
      </w:r>
      <w:r>
        <w:rPr>
          <w:rFonts w:hint="eastAsia" w:ascii="Times New Roman" w:hAnsi="Times New Roman" w:cs="Times New Roman"/>
          <w:sz w:val="24"/>
          <w:szCs w:val="32"/>
          <w:highlight w:val="none"/>
          <w:lang w:val="en-US" w:eastAsia="zh-CN"/>
        </w:rPr>
        <w:t>罗氏线圈或者电流探头</w:t>
      </w:r>
      <w:r>
        <w:rPr>
          <w:rFonts w:hint="eastAsia" w:cs="Times New Roman"/>
          <w:sz w:val="24"/>
          <w:szCs w:val="32"/>
          <w:highlight w:val="none"/>
          <w:lang w:val="en-US" w:eastAsia="zh-CN"/>
        </w:rPr>
        <w:t>）、</w:t>
      </w:r>
      <w:r>
        <w:rPr>
          <w:rStyle w:val="33"/>
          <w:rFonts w:hint="eastAsia"/>
          <w:sz w:val="24"/>
          <w:szCs w:val="24"/>
          <w:highlight w:val="none"/>
        </w:rPr>
        <w:t>数字采集卡、上位机、磁屏蔽装置</w:t>
      </w:r>
      <w:r>
        <w:rPr>
          <w:rFonts w:hint="eastAsia" w:cs="Times New Roman"/>
          <w:sz w:val="24"/>
          <w:szCs w:val="32"/>
          <w:highlight w:val="none"/>
          <w:lang w:val="en-US" w:eastAsia="zh-CN"/>
        </w:rPr>
        <w:t>。</w:t>
      </w:r>
    </w:p>
    <w:p w14:paraId="28A6A1DA">
      <w:pPr>
        <w:pStyle w:val="4"/>
        <w:tabs>
          <w:tab w:val="left" w:pos="850"/>
          <w:tab w:val="left" w:pos="2834"/>
        </w:tabs>
        <w:rPr>
          <w:highlight w:val="none"/>
        </w:rPr>
      </w:pPr>
      <w:bookmarkStart w:id="3" w:name="_Toc193999743"/>
      <w:r>
        <w:rPr>
          <w:highlight w:val="none"/>
        </w:rPr>
        <w:t>测试结构图</w:t>
      </w:r>
      <w:bookmarkEnd w:id="3"/>
    </w:p>
    <w:p w14:paraId="28A6A1DD">
      <w:pPr>
        <w:pStyle w:val="12"/>
        <w:ind w:firstLine="440"/>
        <w:jc w:val="center"/>
        <w:rPr>
          <w:highlight w:val="none"/>
        </w:rPr>
      </w:pPr>
      <w:r>
        <w:rPr>
          <w:rFonts w:hint="eastAsia"/>
        </w:rPr>
        <w:t>噪音</w:t>
      </w:r>
      <w:r>
        <w:t>测试系统</w:t>
      </w:r>
      <w:r>
        <w:rPr>
          <w:rFonts w:hint="eastAsia"/>
        </w:rPr>
        <w:t>采用磁屏蔽法，并</w:t>
      </w:r>
      <w:r>
        <w:t>由磁屏蔽装置</w:t>
      </w:r>
      <w:r>
        <w:rPr>
          <w:rFonts w:hint="eastAsia"/>
        </w:rPr>
        <w:t>（磁屏蔽室）</w:t>
      </w:r>
      <w:r>
        <w:t>、磁场复现系统</w:t>
      </w:r>
      <w:r>
        <w:rPr>
          <w:rFonts w:hint="eastAsia"/>
        </w:rPr>
        <w:t>（恒电流源与亥姆霍兹线圈）</w:t>
      </w:r>
      <w:r>
        <w:t>、</w:t>
      </w:r>
      <w:r>
        <w:rPr>
          <w:rFonts w:hint="eastAsia"/>
        </w:rPr>
        <w:t>恒电流源</w:t>
      </w:r>
      <w:r>
        <w:t>、</w:t>
      </w:r>
      <w:r>
        <w:rPr>
          <w:rFonts w:hint="eastAsia"/>
        </w:rPr>
        <w:t>直流恒压源、数字采集卡及上位机组成</w:t>
      </w:r>
      <w:r>
        <w:t>，</w:t>
      </w:r>
      <w:r>
        <w:rPr>
          <w:rFonts w:hint="eastAsia"/>
          <w:lang w:val="en-US" w:eastAsia="zh-CN"/>
        </w:rPr>
        <w:t>如</w:t>
      </w:r>
      <w:r>
        <w:rPr>
          <w:rFonts w:hint="default"/>
          <w:lang w:val="en-US"/>
        </w:rPr>
        <w:fldChar w:fldCharType="begin"/>
      </w:r>
      <w:r>
        <w:rPr>
          <w:rFonts w:hint="default"/>
          <w:lang w:val="en-US"/>
        </w:rPr>
        <w:instrText xml:space="preserve"> REF _Ref1511 \h </w:instrText>
      </w:r>
      <w:r>
        <w:rPr>
          <w:rFonts w:hint="default"/>
          <w:lang w:val="en-US"/>
        </w:rPr>
        <w:fldChar w:fldCharType="separate"/>
      </w:r>
      <w:r>
        <w:rPr>
          <w:highlight w:val="none"/>
        </w:rPr>
        <w:t xml:space="preserve">图 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STYLEREF 1 \s </w:instrText>
      </w:r>
      <w:r>
        <w:rPr>
          <w:highlight w:val="none"/>
        </w:rPr>
        <w:fldChar w:fldCharType="separate"/>
      </w:r>
      <w:r>
        <w:rPr>
          <w:highlight w:val="none"/>
        </w:rPr>
        <w:t>1</w:t>
      </w:r>
      <w:r>
        <w:rPr>
          <w:highlight w:val="none"/>
        </w:rPr>
        <w:fldChar w:fldCharType="end"/>
      </w:r>
      <w:r>
        <w:rPr>
          <w:rFonts w:hint="eastAsia"/>
          <w:highlight w:val="none"/>
          <w:lang w:eastAsia="zh-CN"/>
        </w:rPr>
        <w:t>-</w:t>
      </w:r>
      <w:r>
        <w:rPr>
          <w:highlight w:val="none"/>
        </w:rPr>
        <w:t>1</w:t>
      </w:r>
      <w:r>
        <w:rPr>
          <w:rFonts w:hint="default"/>
          <w:lang w:val="en-US"/>
        </w:rPr>
        <w:fldChar w:fldCharType="end"/>
      </w:r>
      <w:r>
        <w:t>。</w:t>
      </w:r>
      <w:r>
        <w:rPr>
          <w:rFonts w:hint="eastAsia"/>
        </w:rPr>
        <w:t>该</w:t>
      </w:r>
      <w:r>
        <w:t>系统可在其工作区内产生匀强磁场</w:t>
      </w:r>
      <w:r>
        <w:rPr>
          <w:rFonts w:hint="eastAsia"/>
        </w:rPr>
        <w:t>（磁场强度0.1mT级、范围m</w:t>
      </w:r>
      <w:r>
        <w:t>T级</w:t>
      </w:r>
      <w:r>
        <w:rPr>
          <w:rFonts w:hint="eastAsia"/>
        </w:rPr>
        <w:t>）</w:t>
      </w:r>
      <w:r>
        <w:t>，通过</w:t>
      </w:r>
      <w:r>
        <w:rPr>
          <w:rFonts w:hint="eastAsia"/>
        </w:rPr>
        <w:t>调节恒电流源</w:t>
      </w:r>
      <w:r>
        <w:t>可改变</w:t>
      </w:r>
      <w:r>
        <w:rPr>
          <w:rFonts w:hint="eastAsia"/>
        </w:rPr>
        <w:t>线圈工作电流，从而改变输出</w:t>
      </w:r>
      <w:r>
        <w:t>磁场强度，传感器测试时放置在磁场复现系统工作区的中心，</w:t>
      </w:r>
      <w:r>
        <w:rPr>
          <w:rFonts w:hint="eastAsia"/>
        </w:rPr>
        <w:t>TMR</w:t>
      </w:r>
      <w:r>
        <w:rPr>
          <w:rFonts w:hint="eastAsia"/>
          <w:lang w:val="en-US" w:eastAsia="zh-CN"/>
        </w:rPr>
        <w:t>电流</w:t>
      </w:r>
      <w:r>
        <w:rPr>
          <w:rFonts w:hint="eastAsia"/>
        </w:rPr>
        <w:t>传感</w:t>
      </w:r>
      <w:r>
        <w:rPr>
          <w:rFonts w:hint="eastAsia"/>
          <w:lang w:val="en-US" w:eastAsia="zh-CN"/>
        </w:rPr>
        <w:t>器</w:t>
      </w:r>
      <w:r>
        <w:t>的</w:t>
      </w:r>
      <w:r>
        <w:rPr>
          <w:rFonts w:hint="eastAsia"/>
        </w:rPr>
        <w:t>磁</w:t>
      </w:r>
      <w:r>
        <w:t>敏感方向和磁场方向一致。</w:t>
      </w:r>
      <w:r>
        <w:rPr>
          <w:rFonts w:hint="eastAsia"/>
          <w:lang w:val="en-US" w:eastAsia="zh-CN"/>
        </w:rPr>
        <w:t>噪音数据</w:t>
      </w:r>
      <w:r>
        <w:rPr>
          <w:rFonts w:hint="eastAsia"/>
        </w:rPr>
        <w:t>通过数字采集卡和上位机读取样品输出信号。</w:t>
      </w:r>
    </w:p>
    <w:p w14:paraId="38952C0E">
      <w:pPr>
        <w:jc w:val="center"/>
        <w:rPr>
          <w:highlight w:val="yellow"/>
        </w:rPr>
      </w:pPr>
      <w:r>
        <w:drawing>
          <wp:inline distT="0" distB="0" distL="114300" distR="114300">
            <wp:extent cx="3587115" cy="2870835"/>
            <wp:effectExtent l="0" t="0" r="6985" b="12065"/>
            <wp:docPr id="3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87115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99A4F">
      <w:pPr>
        <w:pStyle w:val="12"/>
        <w:ind w:firstLine="440"/>
        <w:jc w:val="center"/>
        <w:rPr>
          <w:rFonts w:hint="eastAsia" w:eastAsia="宋体"/>
          <w:lang w:eastAsia="zh-CN"/>
        </w:rPr>
      </w:pPr>
      <w:bookmarkStart w:id="4" w:name="_Ref1511"/>
      <w:r>
        <w:rPr>
          <w:highlight w:val="none"/>
        </w:rPr>
        <w:t xml:space="preserve">图 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STYLEREF 1 \s </w:instrText>
      </w:r>
      <w:r>
        <w:rPr>
          <w:highlight w:val="none"/>
        </w:rPr>
        <w:fldChar w:fldCharType="separate"/>
      </w:r>
      <w:r>
        <w:rPr>
          <w:highlight w:val="none"/>
        </w:rPr>
        <w:t>1</w:t>
      </w:r>
      <w:r>
        <w:rPr>
          <w:highlight w:val="none"/>
        </w:rPr>
        <w:fldChar w:fldCharType="end"/>
      </w:r>
      <w:r>
        <w:rPr>
          <w:rFonts w:hint="eastAsia"/>
          <w:highlight w:val="none"/>
          <w:lang w:eastAsia="zh-CN"/>
        </w:rPr>
        <w:t>-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SEQ 图 \* ARABIC \s 1 </w:instrText>
      </w:r>
      <w:r>
        <w:rPr>
          <w:highlight w:val="none"/>
        </w:rPr>
        <w:fldChar w:fldCharType="separate"/>
      </w:r>
      <w:r>
        <w:rPr>
          <w:highlight w:val="none"/>
        </w:rPr>
        <w:t>1</w:t>
      </w:r>
      <w:r>
        <w:rPr>
          <w:highlight w:val="none"/>
        </w:rPr>
        <w:fldChar w:fldCharType="end"/>
      </w:r>
      <w:bookmarkEnd w:id="4"/>
      <w:r>
        <w:rPr>
          <w:rFonts w:hint="eastAsia"/>
          <w:highlight w:val="none"/>
        </w:rPr>
        <w:t>TMR</w:t>
      </w:r>
      <w:r>
        <w:rPr>
          <w:rFonts w:hint="eastAsia"/>
          <w:highlight w:val="none"/>
          <w:lang w:val="en-US" w:eastAsia="zh-CN"/>
        </w:rPr>
        <w:t>电流</w:t>
      </w:r>
      <w:r>
        <w:rPr>
          <w:rFonts w:hint="eastAsia"/>
          <w:highlight w:val="none"/>
        </w:rPr>
        <w:t>传感</w:t>
      </w:r>
      <w:r>
        <w:rPr>
          <w:rFonts w:hint="eastAsia"/>
          <w:highlight w:val="none"/>
          <w:lang w:val="en-US" w:eastAsia="zh-CN"/>
        </w:rPr>
        <w:t>器</w:t>
      </w:r>
      <w:r>
        <w:rPr>
          <w:rFonts w:hint="eastAsia"/>
          <w:highlight w:val="none"/>
        </w:rPr>
        <w:t>噪音测试系统示意图</w:t>
      </w:r>
    </w:p>
    <w:p w14:paraId="28A6A1E7">
      <w:pPr>
        <w:pStyle w:val="4"/>
        <w:tabs>
          <w:tab w:val="left" w:pos="850"/>
          <w:tab w:val="left" w:pos="2834"/>
        </w:tabs>
        <w:rPr>
          <w:highlight w:val="none"/>
        </w:rPr>
      </w:pPr>
      <w:bookmarkStart w:id="5" w:name="_Toc193999744"/>
      <w:r>
        <w:rPr>
          <w:highlight w:val="none"/>
        </w:rPr>
        <w:t>测试依据</w:t>
      </w:r>
      <w:r>
        <w:rPr>
          <w:rFonts w:hint="eastAsia"/>
          <w:highlight w:val="none"/>
        </w:rPr>
        <w:t>及方法</w:t>
      </w:r>
      <w:bookmarkEnd w:id="5"/>
    </w:p>
    <w:p w14:paraId="28A6A1F0">
      <w:pPr>
        <w:pStyle w:val="34"/>
        <w:numPr>
          <w:ilvl w:val="0"/>
          <w:numId w:val="5"/>
        </w:numPr>
        <w:ind w:firstLine="480"/>
        <w:rPr>
          <w:highlight w:val="none"/>
        </w:rPr>
      </w:pPr>
      <w:r>
        <w:rPr>
          <w:rFonts w:hint="eastAsia"/>
          <w:highlight w:val="none"/>
        </w:rPr>
        <w:t>指标4.3：电阻噪音</w:t>
      </w:r>
    </w:p>
    <w:p w14:paraId="28A6A1F1">
      <w:pPr>
        <w:rPr>
          <w:highlight w:val="none"/>
        </w:rPr>
      </w:pPr>
      <w:r>
        <w:rPr>
          <w:rFonts w:hint="eastAsia"/>
          <w:highlight w:val="none"/>
        </w:rPr>
        <w:t>参照JJF（军工）221-2019中7.2.4给出的噪声测试方法，对器件的电阻噪音进行测试。</w:t>
      </w:r>
    </w:p>
    <w:p w14:paraId="28A6A1F2">
      <w:pPr>
        <w:pStyle w:val="34"/>
        <w:ind w:firstLine="480"/>
        <w:rPr>
          <w:highlight w:val="none"/>
        </w:rPr>
      </w:pPr>
      <w:r>
        <w:rPr>
          <w:rFonts w:hint="eastAsia"/>
          <w:highlight w:val="none"/>
        </w:rPr>
        <w:t>使用磁屏蔽装置屏蔽地磁场及环境磁场波动，提供测试所需的“零磁场”环境，对传感芯片的本底噪声进行测试。</w:t>
      </w:r>
    </w:p>
    <w:p w14:paraId="28A6A1F3">
      <w:pPr>
        <w:pStyle w:val="34"/>
        <w:ind w:firstLine="480"/>
        <w:rPr>
          <w:highlight w:val="none"/>
        </w:rPr>
      </w:pPr>
      <w:r>
        <w:rPr>
          <w:rFonts w:hint="eastAsia"/>
          <w:highlight w:val="none"/>
        </w:rPr>
        <w:t>TMR传感芯片在1 Hz下的本底电压噪声与灵敏度的比值即为本底噪声</w:t>
      </w:r>
      <m:oMath>
        <m:sSub>
          <m:sSubPr>
            <m:ctrlPr>
              <w:rPr>
                <w:rFonts w:ascii="Cambria Math" w:hAnsi="Cambria Math"/>
                <w:i/>
                <w:highlight w:val="none"/>
              </w:rPr>
            </m:ctrlPr>
          </m:sSubPr>
          <m:e>
            <m:r>
              <m:rPr/>
              <w:rPr>
                <w:rFonts w:ascii="Cambria Math" w:hAnsi="Cambria Math"/>
                <w:highlight w:val="none"/>
              </w:rPr>
              <m:t>B</m:t>
            </m:r>
            <m:ctrlPr>
              <w:rPr>
                <w:rFonts w:ascii="Cambria Math" w:hAnsi="Cambria Math"/>
                <w:i/>
                <w:highlight w:val="none"/>
              </w:rPr>
            </m:ctrlPr>
          </m:e>
          <m:sub>
            <m:r>
              <m:rPr/>
              <w:rPr>
                <w:rFonts w:hint="eastAsia" w:ascii="Cambria Math" w:hAnsi="Cambria Math"/>
                <w:highlight w:val="none"/>
              </w:rPr>
              <m:t>n</m:t>
            </m:r>
            <m:ctrlPr>
              <w:rPr>
                <w:rFonts w:ascii="Cambria Math" w:hAnsi="Cambria Math"/>
                <w:i/>
                <w:highlight w:val="none"/>
              </w:rPr>
            </m:ctrlPr>
          </m:sub>
        </m:sSub>
      </m:oMath>
      <w:r>
        <w:rPr>
          <w:rFonts w:hint="eastAsia"/>
          <w:highlight w:val="none"/>
        </w:rPr>
        <w:t>，单位为pT/Hz</w:t>
      </w:r>
      <w:r>
        <w:rPr>
          <w:rFonts w:hint="eastAsia"/>
          <w:highlight w:val="none"/>
          <w:vertAlign w:val="superscript"/>
        </w:rPr>
        <w:t>1/2</w:t>
      </w:r>
      <w:r>
        <w:rPr>
          <w:rFonts w:hint="eastAsia"/>
          <w:highlight w:val="none"/>
        </w:rPr>
        <w:t>，如下式：</w:t>
      </w:r>
    </w:p>
    <w:tbl>
      <w:tblPr>
        <w:tblStyle w:val="2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2765"/>
        <w:gridCol w:w="2766"/>
      </w:tblGrid>
      <w:tr w14:paraId="28A6A1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2765" w:type="dxa"/>
            <w:vAlign w:val="center"/>
          </w:tcPr>
          <w:p w14:paraId="28A6A1F4">
            <w:pPr>
              <w:rPr>
                <w:rFonts w:asciiTheme="minorHAnsi" w:hAnsiTheme="minorHAnsi" w:eastAsiaTheme="minorEastAsia"/>
                <w:highlight w:val="none"/>
              </w:rPr>
            </w:pPr>
          </w:p>
        </w:tc>
        <w:tc>
          <w:tcPr>
            <w:tcW w:w="2765" w:type="dxa"/>
            <w:vAlign w:val="center"/>
          </w:tcPr>
          <w:p w14:paraId="28A6A1F5">
            <w:pPr>
              <w:rPr>
                <w:rFonts w:asciiTheme="minorHAnsi" w:hAnsiTheme="minorHAnsi" w:eastAsiaTheme="minorEastAsia"/>
                <w:highlight w:val="non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eastAsiaTheme="minorEastAsia"/>
                        <w:highlight w:val="none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 w:eastAsiaTheme="minorEastAsia"/>
                        <w:highlight w:val="none"/>
                      </w:rPr>
                      <m:t>B</m:t>
                    </m:r>
                    <m:ctrlPr>
                      <w:rPr>
                        <w:rFonts w:ascii="Cambria Math" w:hAnsi="Cambria Math" w:eastAsiaTheme="minorEastAsia"/>
                        <w:highlight w:val="none"/>
                      </w:rPr>
                    </m:ctrlPr>
                  </m:e>
                  <m:sub>
                    <m:r>
                      <m:rPr/>
                      <w:rPr>
                        <w:rFonts w:hint="eastAsia" w:ascii="Cambria Math" w:hAnsi="Cambria Math" w:eastAsiaTheme="minorEastAsia"/>
                        <w:highlight w:val="none"/>
                      </w:rPr>
                      <m:t>n</m:t>
                    </m:r>
                    <m:ctrlPr>
                      <w:rPr>
                        <w:rFonts w:ascii="Cambria Math" w:hAnsi="Cambria Math" w:eastAsiaTheme="minorEastAsia"/>
                        <w:highlight w:val="none"/>
                      </w:rPr>
                    </m:ctrlPr>
                  </m:sub>
                </m:sSub>
                <m:r>
                  <m:rPr>
                    <m:sty m:val="p"/>
                  </m:rPr>
                  <w:rPr>
                    <w:rFonts w:hint="eastAsia" w:ascii="Cambria Math" w:hAnsi="Cambria Math" w:eastAsiaTheme="minorEastAsia"/>
                    <w:highlight w:val="none"/>
                  </w:rPr>
                  <m:t>=</m:t>
                </m:r>
                <m:f>
                  <m:fPr>
                    <m:ctrlPr>
                      <w:rPr>
                        <w:rFonts w:ascii="Cambria Math" w:hAnsi="Cambria Math" w:eastAsiaTheme="minorEastAsia"/>
                        <w:highlight w:val="none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eastAsiaTheme="minorEastAsia"/>
                            <w:highlight w:val="none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 w:eastAsiaTheme="minorEastAsia"/>
                            <w:highlight w:val="none"/>
                          </w:rPr>
                          <m:t>V</m:t>
                        </m:r>
                        <m:ctrlPr>
                          <w:rPr>
                            <w:rFonts w:ascii="Cambria Math" w:hAnsi="Cambria Math" w:eastAsiaTheme="minorEastAsia"/>
                            <w:highlight w:val="none"/>
                          </w:rPr>
                        </m:ctrlPr>
                      </m:e>
                      <m:sub>
                        <m:r>
                          <m:rPr/>
                          <w:rPr>
                            <w:rFonts w:hint="eastAsia" w:ascii="Cambria Math" w:hAnsi="Cambria Math" w:eastAsiaTheme="minorEastAsia"/>
                            <w:highlight w:val="none"/>
                          </w:rPr>
                          <m:t>n</m:t>
                        </m:r>
                        <m:ctrlPr>
                          <w:rPr>
                            <w:rFonts w:ascii="Cambria Math" w:hAnsi="Cambria Math" w:eastAsiaTheme="minorEastAsia"/>
                            <w:highlight w:val="none"/>
                          </w:rPr>
                        </m:ctrlPr>
                      </m:sub>
                    </m:sSub>
                    <m:ctrlPr>
                      <w:rPr>
                        <w:rFonts w:ascii="Cambria Math" w:hAnsi="Cambria Math" w:eastAsiaTheme="minorEastAsia"/>
                        <w:highlight w:val="none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 w:eastAsiaTheme="minorEastAsia"/>
                        <w:highlight w:val="none"/>
                      </w:rPr>
                      <m:t>S</m:t>
                    </m:r>
                    <m:r>
                      <m:rPr>
                        <m:sty m:val="p"/>
                      </m:rPr>
                      <w:rPr>
                        <w:rFonts w:ascii="Cambria Math" w:hAnsi="Cambria Math" w:eastAsiaTheme="minorEastAsia"/>
                        <w:highlight w:val="none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 w:eastAsiaTheme="minorEastAsia"/>
                            <w:highlight w:val="none"/>
                          </w:rPr>
                        </m:ctrlPr>
                      </m:sSubPr>
                      <m:e>
                        <m:r>
                          <m:rPr/>
                          <w:rPr>
                            <w:rFonts w:ascii="Cambria Math" w:hAnsi="Cambria Math" w:eastAsiaTheme="minorEastAsia"/>
                            <w:highlight w:val="none"/>
                          </w:rPr>
                          <m:t>U</m:t>
                        </m:r>
                        <m:ctrlPr>
                          <w:rPr>
                            <w:rFonts w:ascii="Cambria Math" w:hAnsi="Cambria Math" w:eastAsiaTheme="minorEastAsia"/>
                            <w:highlight w:val="none"/>
                          </w:rPr>
                        </m:ctrlPr>
                      </m:e>
                      <m:sub>
                        <m:r>
                          <m:rPr/>
                          <w:rPr>
                            <w:rFonts w:hint="eastAsia" w:ascii="Cambria Math" w:hAnsi="Cambria Math" w:eastAsiaTheme="minorEastAsia"/>
                            <w:highlight w:val="none"/>
                          </w:rPr>
                          <m:t>in</m:t>
                        </m:r>
                        <m:ctrlPr>
                          <w:rPr>
                            <w:rFonts w:ascii="Cambria Math" w:hAnsi="Cambria Math" w:eastAsiaTheme="minorEastAsia"/>
                            <w:highlight w:val="none"/>
                          </w:rPr>
                        </m:ctrlPr>
                      </m:sub>
                    </m:sSub>
                    <m:ctrlPr>
                      <w:rPr>
                        <w:rFonts w:ascii="Cambria Math" w:hAnsi="Cambria Math" w:eastAsiaTheme="minorEastAsia"/>
                        <w:highlight w:val="none"/>
                      </w:rPr>
                    </m:ctrlPr>
                  </m:den>
                </m:f>
              </m:oMath>
            </m:oMathPara>
          </w:p>
        </w:tc>
        <w:tc>
          <w:tcPr>
            <w:tcW w:w="2766" w:type="dxa"/>
            <w:vAlign w:val="center"/>
          </w:tcPr>
          <w:p w14:paraId="28A6A1F6">
            <w:pPr>
              <w:rPr>
                <w:rFonts w:asciiTheme="minorHAnsi" w:hAnsiTheme="minorHAnsi" w:eastAsiaTheme="minorEastAsia"/>
                <w:highlight w:val="none"/>
              </w:rPr>
            </w:pPr>
          </w:p>
        </w:tc>
      </w:tr>
    </w:tbl>
    <w:p w14:paraId="28A6A1F8">
      <w:pPr>
        <w:rPr>
          <w:rFonts w:hint="eastAsia"/>
          <w:highlight w:val="none"/>
        </w:rPr>
      </w:pPr>
      <w:r>
        <w:rPr>
          <w:rFonts w:hint="eastAsia"/>
          <w:highlight w:val="none"/>
        </w:rPr>
        <w:t>式中，</w:t>
      </w:r>
      <m:oMath>
        <m:sSub>
          <m:sSubPr>
            <m:ctrlPr>
              <w:rPr>
                <w:rFonts w:ascii="Cambria Math" w:hAnsi="Cambria Math"/>
                <w:i/>
                <w:highlight w:val="none"/>
              </w:rPr>
            </m:ctrlPr>
          </m:sSubPr>
          <m:e>
            <m:r>
              <m:rPr/>
              <w:rPr>
                <w:rFonts w:ascii="Cambria Math" w:hAnsi="Cambria Math"/>
                <w:highlight w:val="none"/>
              </w:rPr>
              <m:t>V</m:t>
            </m:r>
            <m:ctrlPr>
              <w:rPr>
                <w:rFonts w:ascii="Cambria Math" w:hAnsi="Cambria Math"/>
                <w:i/>
                <w:highlight w:val="none"/>
              </w:rPr>
            </m:ctrlPr>
          </m:e>
          <m:sub>
            <m:r>
              <m:rPr/>
              <w:rPr>
                <w:rFonts w:hint="eastAsia" w:ascii="Cambria Math" w:hAnsi="Cambria Math"/>
                <w:highlight w:val="none"/>
              </w:rPr>
              <m:t>n</m:t>
            </m:r>
            <m:ctrlPr>
              <w:rPr>
                <w:rFonts w:ascii="Cambria Math" w:hAnsi="Cambria Math"/>
                <w:i/>
                <w:highlight w:val="none"/>
              </w:rPr>
            </m:ctrlPr>
          </m:sub>
        </m:sSub>
      </m:oMath>
      <w:r>
        <w:rPr>
          <w:rFonts w:hint="eastAsia"/>
          <w:highlight w:val="none"/>
        </w:rPr>
        <w:t>为1 Hz下测得的本底电压噪声，</w:t>
      </w:r>
      <m:oMath>
        <m:sSub>
          <m:sSubPr>
            <m:ctrlPr>
              <w:rPr>
                <w:rFonts w:ascii="Cambria Math" w:hAnsi="Cambria Math"/>
                <w:i/>
                <w:highlight w:val="none"/>
              </w:rPr>
            </m:ctrlPr>
          </m:sSubPr>
          <m:e>
            <m:r>
              <m:rPr/>
              <w:rPr>
                <w:rFonts w:ascii="Cambria Math" w:hAnsi="Cambria Math"/>
                <w:highlight w:val="none"/>
              </w:rPr>
              <m:t>U</m:t>
            </m:r>
            <m:ctrlPr>
              <w:rPr>
                <w:rFonts w:ascii="Cambria Math" w:hAnsi="Cambria Math"/>
                <w:i/>
                <w:highlight w:val="none"/>
              </w:rPr>
            </m:ctrlPr>
          </m:e>
          <m:sub>
            <m:r>
              <m:rPr/>
              <w:rPr>
                <w:rFonts w:hint="eastAsia" w:ascii="Cambria Math" w:hAnsi="Cambria Math"/>
                <w:highlight w:val="none"/>
              </w:rPr>
              <m:t>in</m:t>
            </m:r>
            <m:ctrlPr>
              <w:rPr>
                <w:rFonts w:ascii="Cambria Math" w:hAnsi="Cambria Math"/>
                <w:i/>
                <w:highlight w:val="none"/>
              </w:rPr>
            </m:ctrlPr>
          </m:sub>
        </m:sSub>
      </m:oMath>
      <w:r>
        <w:rPr>
          <w:rFonts w:hint="eastAsia"/>
          <w:highlight w:val="none"/>
        </w:rPr>
        <w:t>为磁传感芯片供电电压，</w:t>
      </w:r>
      <m:oMath>
        <m:r>
          <m:rPr/>
          <w:rPr>
            <w:rFonts w:ascii="Cambria Math" w:hAnsi="Cambria Math"/>
            <w:highlight w:val="none"/>
          </w:rPr>
          <m:t>S</m:t>
        </m:r>
      </m:oMath>
      <w:r>
        <w:rPr>
          <w:rFonts w:hint="eastAsia"/>
          <w:highlight w:val="none"/>
        </w:rPr>
        <w:t>为磁传感芯片灵敏度。</w:t>
      </w:r>
    </w:p>
    <w:p w14:paraId="61C0A543">
      <w:pPr>
        <w:pStyle w:val="12"/>
        <w:ind w:left="0" w:leftChars="0" w:firstLine="0" w:firstLineChars="0"/>
        <w:jc w:val="center"/>
        <w:rPr>
          <w:rFonts w:hint="eastAsia" w:ascii="Times New Roman" w:hAnsi="Times New Roman"/>
          <w:color w:val="auto"/>
          <w:sz w:val="24"/>
          <w:szCs w:val="32"/>
          <w:highlight w:val="none"/>
        </w:rPr>
      </w:pPr>
      <w:r>
        <w:rPr>
          <w:color w:val="auto"/>
          <w:highlight w:val="none"/>
        </w:rPr>
        <w:t xml:space="preserve">表 </w:t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STYLEREF 1 \s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1</w:t>
      </w:r>
      <w:r>
        <w:rPr>
          <w:color w:val="auto"/>
          <w:highlight w:val="none"/>
        </w:rPr>
        <w:fldChar w:fldCharType="end"/>
      </w:r>
      <w:r>
        <w:rPr>
          <w:rFonts w:hint="eastAsia"/>
          <w:color w:val="auto"/>
          <w:highlight w:val="none"/>
          <w:lang w:eastAsia="zh-CN"/>
        </w:rPr>
        <w:t>-</w:t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SEQ 表 \* ARABIC \s 1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2</w:t>
      </w:r>
      <w:r>
        <w:rPr>
          <w:color w:val="auto"/>
          <w:highlight w:val="none"/>
        </w:rPr>
        <w:fldChar w:fldCharType="end"/>
      </w:r>
      <w:r>
        <w:rPr>
          <w:rFonts w:hint="eastAsia" w:cs="Times New Roman"/>
          <w:color w:val="auto"/>
          <w:highlight w:val="none"/>
          <w:lang w:val="en-US" w:eastAsia="zh-CN"/>
        </w:rPr>
        <w:t>电阻噪声</w:t>
      </w:r>
      <w:r>
        <w:rPr>
          <w:rFonts w:hint="default" w:ascii="Times New Roman" w:hAnsi="Times New Roman" w:eastAsia="宋体" w:cs="Times New Roman"/>
          <w:color w:val="auto"/>
          <w:highlight w:val="none"/>
        </w:rPr>
        <w:t>测试</w:t>
      </w:r>
    </w:p>
    <w:tbl>
      <w:tblPr>
        <w:tblStyle w:val="3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4"/>
        <w:gridCol w:w="3361"/>
        <w:gridCol w:w="3524"/>
      </w:tblGrid>
      <w:tr w14:paraId="17004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55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频率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f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/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Hz</w:t>
            </w:r>
          </w:p>
        </w:tc>
        <w:tc>
          <w:tcPr>
            <w:tcW w:w="140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0B7A3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电压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噪声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Vn/(nV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/Hz1/2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)</w:t>
            </w:r>
          </w:p>
        </w:tc>
        <w:tc>
          <w:tcPr>
            <w:tcW w:w="147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3CCC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本底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噪声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Bn/(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pT/Hz1/2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)</w:t>
            </w:r>
          </w:p>
        </w:tc>
      </w:tr>
      <w:tr w14:paraId="57BDA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6B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022EF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4F67B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33FAD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6D9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63BD6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1DC1A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1B533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F5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00042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1C446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4473C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98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C52D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07041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547A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724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E94E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98A7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12896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6BA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4C2DC4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15D5B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24474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D2CF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29B60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2568C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41398C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6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0A6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3F7C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60AE6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3F43E432">
      <w:pPr>
        <w:rPr>
          <w:color w:val="auto"/>
          <w:highlight w:val="yellow"/>
        </w:rPr>
      </w:pPr>
    </w:p>
    <w:bookmarkEnd w:id="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6073A7"/>
    <w:multiLevelType w:val="multilevel"/>
    <w:tmpl w:val="226073A7"/>
    <w:lvl w:ilvl="0" w:tentative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 w:tentative="0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 w:tentative="0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 w:tentative="0">
      <w:start w:val="1"/>
      <w:numFmt w:val="decimal"/>
      <w:pStyle w:val="5"/>
      <w:isLgl/>
      <w:suff w:val="nothing"/>
      <w:lvlText w:val="%4）"/>
      <w:lvlJc w:val="left"/>
      <w:pPr>
        <w:ind w:left="1077" w:hanging="612"/>
      </w:pPr>
      <w:rPr>
        <w:rFonts w:hint="default" w:ascii="Times New Roman" w:hAnsi="Times New Roman" w:eastAsia="宋体"/>
      </w:rPr>
    </w:lvl>
    <w:lvl w:ilvl="4" w:tentative="0">
      <w:start w:val="1"/>
      <w:numFmt w:val="decimal"/>
      <w:lvlText w:val="%1.%2.%3.%4.%5"/>
      <w:lvlJc w:val="left"/>
      <w:pPr>
        <w:tabs>
          <w:tab w:val="left" w:pos="1692"/>
        </w:tabs>
        <w:ind w:left="1692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836"/>
        </w:tabs>
        <w:ind w:left="1836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980"/>
        </w:tabs>
        <w:ind w:left="1980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2124"/>
        </w:tabs>
        <w:ind w:left="2124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268"/>
        </w:tabs>
        <w:ind w:left="2268" w:hanging="1584"/>
      </w:pPr>
      <w:rPr>
        <w:rFonts w:hint="eastAsia"/>
      </w:rPr>
    </w:lvl>
  </w:abstractNum>
  <w:abstractNum w:abstractNumId="1">
    <w:nsid w:val="2AEF723B"/>
    <w:multiLevelType w:val="singleLevel"/>
    <w:tmpl w:val="2AEF723B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5D7C3623"/>
    <w:multiLevelType w:val="multilevel"/>
    <w:tmpl w:val="5D7C3623"/>
    <w:lvl w:ilvl="0" w:tentative="0">
      <w:start w:val="1"/>
      <w:numFmt w:val="chineseCountingThousand"/>
      <w:pStyle w:val="2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 w:tentative="0">
      <w:start w:val="1"/>
      <w:numFmt w:val="decimal"/>
      <w:pStyle w:val="3"/>
      <w:isLgl/>
      <w:suff w:val="space"/>
      <w:lvlText w:val="%1.%2"/>
      <w:lvlJc w:val="left"/>
      <w:pPr>
        <w:ind w:left="3585" w:hanging="465"/>
      </w:pPr>
      <w:rPr>
        <w:rFonts w:hint="eastAsia"/>
      </w:rPr>
    </w:lvl>
    <w:lvl w:ilvl="2" w:tentative="0">
      <w:start w:val="1"/>
      <w:numFmt w:val="decimal"/>
      <w:pStyle w:val="4"/>
      <w:isLgl/>
      <w:suff w:val="space"/>
      <w:lvlText w:val="%1.%2.%3"/>
      <w:lvlJc w:val="left"/>
      <w:pPr>
        <w:ind w:left="8573" w:hanging="635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060"/>
        </w:tabs>
        <w:ind w:left="1060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204"/>
        </w:tabs>
        <w:ind w:left="1204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348"/>
        </w:tabs>
        <w:ind w:left="1348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492"/>
        </w:tabs>
        <w:ind w:left="1492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636"/>
        </w:tabs>
        <w:ind w:left="1636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 w:tentative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 w:tentative="0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 w:tentative="0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 w:tentative="0">
      <w:start w:val="1"/>
      <w:numFmt w:val="decimal"/>
      <w:isLgl/>
      <w:lvlText w:val="%4）"/>
      <w:lvlJc w:val="left"/>
      <w:pPr>
        <w:tabs>
          <w:tab w:val="left" w:pos="658"/>
        </w:tabs>
        <w:ind w:left="1293" w:hanging="635"/>
      </w:pPr>
      <w:rPr>
        <w:rFonts w:hint="eastAsia"/>
      </w:rPr>
    </w:lvl>
    <w:lvl w:ilvl="4" w:tentative="0">
      <w:start w:val="1"/>
      <w:numFmt w:val="decimal"/>
      <w:pStyle w:val="6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 w:tentative="0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2173"/>
        </w:tabs>
        <w:ind w:left="2173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2317"/>
        </w:tabs>
        <w:ind w:left="2317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 w:tentative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 w:tentative="0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 w:tentative="0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 w:tentative="0">
      <w:start w:val="1"/>
      <w:numFmt w:val="decimal"/>
      <w:isLgl/>
      <w:lvlText w:val="%4）"/>
      <w:lvlJc w:val="left"/>
      <w:pPr>
        <w:tabs>
          <w:tab w:val="left" w:pos="658"/>
        </w:tabs>
        <w:ind w:left="1293" w:hanging="635"/>
      </w:pPr>
      <w:rPr>
        <w:rFonts w:hint="eastAsia"/>
      </w:rPr>
    </w:lvl>
    <w:lvl w:ilvl="4" w:tentative="0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 w:tentative="0">
      <w:start w:val="1"/>
      <w:numFmt w:val="lowerLetter"/>
      <w:pStyle w:val="7"/>
      <w:suff w:val="nothing"/>
      <w:lvlText w:val="%6）"/>
      <w:lvlJc w:val="left"/>
      <w:pPr>
        <w:ind w:left="1667" w:hanging="760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2317"/>
        </w:tabs>
        <w:ind w:left="2317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461"/>
        </w:tabs>
        <w:ind w:left="2461" w:hanging="1584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BE35CB"/>
    <w:rsid w:val="012A3E56"/>
    <w:rsid w:val="044C3B31"/>
    <w:rsid w:val="10E02E12"/>
    <w:rsid w:val="1E5329F5"/>
    <w:rsid w:val="234611FA"/>
    <w:rsid w:val="265C4F48"/>
    <w:rsid w:val="2B41674B"/>
    <w:rsid w:val="331C3D26"/>
    <w:rsid w:val="363A5186"/>
    <w:rsid w:val="38BE35CB"/>
    <w:rsid w:val="400B75FC"/>
    <w:rsid w:val="42B75819"/>
    <w:rsid w:val="540C7047"/>
    <w:rsid w:val="652E32C1"/>
    <w:rsid w:val="669929BC"/>
    <w:rsid w:val="6CD26C28"/>
    <w:rsid w:val="747D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33"/>
    <w:autoRedefine/>
    <w:qFormat/>
    <w:uiPriority w:val="0"/>
    <w:pPr>
      <w:keepNext/>
      <w:keepLines/>
      <w:numPr>
        <w:ilvl w:val="0"/>
        <w:numId w:val="1"/>
      </w:numPr>
      <w:ind w:left="0" w:firstLine="0" w:firstLineChars="0"/>
      <w:jc w:val="left"/>
      <w:outlineLvl w:val="0"/>
    </w:pPr>
    <w:rPr>
      <w:rFonts w:ascii="Times New Roman" w:hAnsi="Times New Roman" w:eastAsia="宋体"/>
      <w:bCs/>
      <w:snapToGrid w:val="0"/>
      <w:kern w:val="44"/>
      <w:sz w:val="30"/>
      <w:szCs w:val="44"/>
    </w:rPr>
  </w:style>
  <w:style w:type="paragraph" w:styleId="3">
    <w:name w:val="heading 2"/>
    <w:basedOn w:val="2"/>
    <w:next w:val="1"/>
    <w:link w:val="35"/>
    <w:autoRedefine/>
    <w:qFormat/>
    <w:uiPriority w:val="0"/>
    <w:pPr>
      <w:numPr>
        <w:ilvl w:val="1"/>
      </w:numPr>
      <w:ind w:left="0" w:firstLine="0"/>
      <w:jc w:val="both"/>
      <w:outlineLvl w:val="1"/>
    </w:pPr>
    <w:rPr>
      <w:sz w:val="28"/>
    </w:rPr>
  </w:style>
  <w:style w:type="paragraph" w:styleId="4">
    <w:name w:val="heading 3"/>
    <w:basedOn w:val="3"/>
    <w:next w:val="1"/>
    <w:link w:val="36"/>
    <w:autoRedefine/>
    <w:qFormat/>
    <w:uiPriority w:val="0"/>
    <w:pPr>
      <w:numPr>
        <w:ilvl w:val="2"/>
      </w:numPr>
      <w:spacing w:beforeLines="50" w:afterLines="0"/>
      <w:ind w:left="0" w:firstLine="560" w:firstLineChars="200"/>
      <w:outlineLvl w:val="2"/>
    </w:pPr>
    <w:rPr>
      <w:sz w:val="28"/>
    </w:rPr>
  </w:style>
  <w:style w:type="paragraph" w:styleId="5">
    <w:name w:val="heading 4"/>
    <w:basedOn w:val="4"/>
    <w:next w:val="1"/>
    <w:autoRedefine/>
    <w:qFormat/>
    <w:uiPriority w:val="0"/>
    <w:pPr>
      <w:numPr>
        <w:ilvl w:val="3"/>
        <w:numId w:val="2"/>
      </w:numPr>
      <w:spacing w:beforeLines="0"/>
      <w:ind w:left="0" w:firstLine="0" w:firstLineChars="0"/>
      <w:outlineLvl w:val="3"/>
    </w:pPr>
    <w:rPr>
      <w:sz w:val="24"/>
    </w:rPr>
  </w:style>
  <w:style w:type="paragraph" w:styleId="6">
    <w:name w:val="heading 5"/>
    <w:basedOn w:val="5"/>
    <w:next w:val="1"/>
    <w:autoRedefine/>
    <w:qFormat/>
    <w:uiPriority w:val="0"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7">
    <w:name w:val="heading 6"/>
    <w:basedOn w:val="6"/>
    <w:next w:val="1"/>
    <w:autoRedefine/>
    <w:qFormat/>
    <w:uiPriority w:val="0"/>
    <w:pPr>
      <w:numPr>
        <w:ilvl w:val="5"/>
        <w:numId w:val="4"/>
      </w:numPr>
      <w:ind w:left="817" w:hanging="352"/>
      <w:outlineLvl w:val="5"/>
    </w:pPr>
  </w:style>
  <w:style w:type="paragraph" w:styleId="8">
    <w:name w:val="heading 7"/>
    <w:basedOn w:val="7"/>
    <w:next w:val="1"/>
    <w:autoRedefine/>
    <w:qFormat/>
    <w:uiPriority w:val="0"/>
    <w:pPr>
      <w:numPr>
        <w:ilvl w:val="6"/>
      </w:numPr>
      <w:ind w:left="1055" w:hanging="590"/>
      <w:outlineLvl w:val="6"/>
    </w:pPr>
  </w:style>
  <w:style w:type="paragraph" w:styleId="9">
    <w:name w:val="heading 8"/>
    <w:basedOn w:val="1"/>
    <w:next w:val="1"/>
    <w:autoRedefine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ind w:firstLine="0" w:firstLineChars="0"/>
      <w:outlineLvl w:val="7"/>
    </w:pPr>
    <w:rPr>
      <w:rFonts w:ascii="Arial" w:hAnsi="Arial" w:eastAsia="黑体"/>
      <w:szCs w:val="24"/>
    </w:rPr>
  </w:style>
  <w:style w:type="paragraph" w:styleId="10">
    <w:name w:val="heading 9"/>
    <w:basedOn w:val="5"/>
    <w:next w:val="1"/>
    <w:autoRedefine/>
    <w:qFormat/>
    <w:uiPriority w:val="0"/>
    <w:pPr>
      <w:outlineLvl w:val="8"/>
    </w:pPr>
  </w:style>
  <w:style w:type="character" w:default="1" w:styleId="28">
    <w:name w:val="Default Paragraph Font"/>
    <w:autoRedefine/>
    <w:unhideWhenUsed/>
    <w:qFormat/>
    <w:uiPriority w:val="1"/>
  </w:style>
  <w:style w:type="table" w:default="1" w:styleId="2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qFormat/>
    <w:uiPriority w:val="0"/>
    <w:pPr>
      <w:ind w:left="2520" w:leftChars="1200"/>
    </w:pPr>
  </w:style>
  <w:style w:type="paragraph" w:styleId="12">
    <w:name w:val="caption"/>
    <w:basedOn w:val="1"/>
    <w:next w:val="1"/>
    <w:autoRedefine/>
    <w:qFormat/>
    <w:uiPriority w:val="0"/>
    <w:pPr>
      <w:spacing w:before="152" w:after="160"/>
      <w:ind w:firstLine="0" w:firstLineChars="0"/>
      <w:jc w:val="center"/>
    </w:pPr>
    <w:rPr>
      <w:rFonts w:eastAsia="宋体" w:cs="Times New Roman"/>
      <w:szCs w:val="24"/>
    </w:rPr>
  </w:style>
  <w:style w:type="paragraph" w:styleId="13">
    <w:name w:val="annotation text"/>
    <w:basedOn w:val="1"/>
    <w:uiPriority w:val="0"/>
    <w:pPr>
      <w:jc w:val="left"/>
    </w:pPr>
  </w:style>
  <w:style w:type="paragraph" w:styleId="14">
    <w:name w:val="Body Text"/>
    <w:basedOn w:val="1"/>
    <w:uiPriority w:val="0"/>
    <w:pPr>
      <w:spacing w:after="120" w:afterLines="0" w:afterAutospacing="0"/>
    </w:pPr>
  </w:style>
  <w:style w:type="paragraph" w:styleId="15">
    <w:name w:val="toc 5"/>
    <w:basedOn w:val="1"/>
    <w:next w:val="1"/>
    <w:qFormat/>
    <w:uiPriority w:val="0"/>
    <w:pPr>
      <w:ind w:left="1680" w:leftChars="800"/>
    </w:pPr>
  </w:style>
  <w:style w:type="paragraph" w:styleId="16">
    <w:name w:val="toc 3"/>
    <w:basedOn w:val="1"/>
    <w:next w:val="1"/>
    <w:qFormat/>
    <w:uiPriority w:val="0"/>
    <w:pPr>
      <w:ind w:left="840" w:leftChars="400"/>
    </w:pPr>
  </w:style>
  <w:style w:type="paragraph" w:styleId="17">
    <w:name w:val="toc 8"/>
    <w:basedOn w:val="1"/>
    <w:next w:val="1"/>
    <w:qFormat/>
    <w:uiPriority w:val="0"/>
    <w:pPr>
      <w:ind w:left="2940" w:leftChars="1400"/>
    </w:pPr>
  </w:style>
  <w:style w:type="paragraph" w:styleId="18">
    <w:name w:val="footer"/>
    <w:basedOn w:val="1"/>
    <w:link w:val="4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20">
    <w:name w:val="toc 1"/>
    <w:basedOn w:val="1"/>
    <w:next w:val="1"/>
    <w:qFormat/>
    <w:uiPriority w:val="0"/>
  </w:style>
  <w:style w:type="paragraph" w:styleId="21">
    <w:name w:val="toc 4"/>
    <w:basedOn w:val="1"/>
    <w:next w:val="1"/>
    <w:qFormat/>
    <w:uiPriority w:val="0"/>
    <w:pPr>
      <w:ind w:left="1260" w:leftChars="600"/>
    </w:pPr>
  </w:style>
  <w:style w:type="paragraph" w:styleId="22">
    <w:name w:val="toc 6"/>
    <w:basedOn w:val="1"/>
    <w:next w:val="1"/>
    <w:qFormat/>
    <w:uiPriority w:val="0"/>
    <w:pPr>
      <w:ind w:left="2100" w:leftChars="1000"/>
    </w:pPr>
  </w:style>
  <w:style w:type="paragraph" w:styleId="23">
    <w:name w:val="toc 2"/>
    <w:basedOn w:val="1"/>
    <w:next w:val="1"/>
    <w:qFormat/>
    <w:uiPriority w:val="0"/>
    <w:pPr>
      <w:ind w:left="420" w:leftChars="200"/>
    </w:pPr>
  </w:style>
  <w:style w:type="paragraph" w:styleId="24">
    <w:name w:val="toc 9"/>
    <w:basedOn w:val="1"/>
    <w:next w:val="1"/>
    <w:qFormat/>
    <w:uiPriority w:val="0"/>
    <w:pPr>
      <w:ind w:left="3360" w:leftChars="1600"/>
    </w:pPr>
  </w:style>
  <w:style w:type="paragraph" w:styleId="25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27">
    <w:name w:val="Table Grid"/>
    <w:basedOn w:val="2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9">
    <w:name w:val="page number"/>
    <w:basedOn w:val="28"/>
    <w:qFormat/>
    <w:uiPriority w:val="0"/>
  </w:style>
  <w:style w:type="character" w:styleId="30">
    <w:name w:val="Hyperlink"/>
    <w:basedOn w:val="28"/>
    <w:qFormat/>
    <w:uiPriority w:val="0"/>
    <w:rPr>
      <w:color w:val="0000FF"/>
      <w:u w:val="single"/>
    </w:rPr>
  </w:style>
  <w:style w:type="table" w:customStyle="1" w:styleId="31">
    <w:name w:val="网格型1"/>
    <w:basedOn w:val="26"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32">
    <w:name w:val="论文正文"/>
    <w:basedOn w:val="1"/>
    <w:qFormat/>
    <w:uiPriority w:val="0"/>
    <w:pPr>
      <w:ind w:firstLine="425"/>
    </w:pPr>
    <w:rPr>
      <w:szCs w:val="28"/>
    </w:rPr>
  </w:style>
  <w:style w:type="character" w:customStyle="1" w:styleId="33">
    <w:name w:val="标题 1 字符"/>
    <w:link w:val="2"/>
    <w:qFormat/>
    <w:uiPriority w:val="1"/>
    <w:rPr>
      <w:rFonts w:ascii="Times New Roman" w:hAnsi="Times New Roman" w:eastAsia="宋体"/>
      <w:bCs/>
      <w:snapToGrid w:val="0"/>
      <w:kern w:val="44"/>
      <w:sz w:val="30"/>
      <w:szCs w:val="44"/>
    </w:rPr>
  </w:style>
  <w:style w:type="paragraph" w:styleId="34">
    <w:name w:val="List Paragraph"/>
    <w:basedOn w:val="1"/>
    <w:qFormat/>
    <w:uiPriority w:val="0"/>
    <w:pPr>
      <w:ind w:firstLine="420"/>
    </w:pPr>
  </w:style>
  <w:style w:type="character" w:customStyle="1" w:styleId="35">
    <w:name w:val="标题 2 字符"/>
    <w:link w:val="3"/>
    <w:qFormat/>
    <w:uiPriority w:val="1"/>
    <w:rPr>
      <w:sz w:val="28"/>
    </w:rPr>
  </w:style>
  <w:style w:type="character" w:customStyle="1" w:styleId="36">
    <w:name w:val="标题 3 字符"/>
    <w:link w:val="4"/>
    <w:qFormat/>
    <w:uiPriority w:val="1"/>
    <w:rPr>
      <w:sz w:val="28"/>
    </w:rPr>
  </w:style>
  <w:style w:type="character" w:customStyle="1" w:styleId="37">
    <w:name w:val="目录标题 Char"/>
    <w:link w:val="38"/>
    <w:autoRedefine/>
    <w:qFormat/>
    <w:uiPriority w:val="0"/>
    <w:rPr>
      <w:rFonts w:ascii="Times New Roman" w:hAnsi="Times New Roman" w:eastAsia="黑体" w:cs="Times New Roman"/>
      <w:color w:val="auto"/>
      <w:sz w:val="44"/>
      <w:szCs w:val="44"/>
      <w:lang w:eastAsia="zh-CN"/>
    </w:rPr>
  </w:style>
  <w:style w:type="paragraph" w:customStyle="1" w:styleId="38">
    <w:name w:val="目录标题"/>
    <w:link w:val="37"/>
    <w:autoRedefine/>
    <w:qFormat/>
    <w:uiPriority w:val="0"/>
    <w:pPr>
      <w:spacing w:before="100" w:beforeLines="100" w:after="100" w:afterLines="100"/>
      <w:jc w:val="center"/>
    </w:pPr>
    <w:rPr>
      <w:rFonts w:ascii="Times New Roman" w:hAnsi="Times New Roman" w:eastAsia="黑体" w:cs="Times New Roman"/>
      <w:color w:val="auto"/>
      <w:sz w:val="44"/>
      <w:szCs w:val="44"/>
      <w:lang w:eastAsia="zh-CN"/>
    </w:rPr>
  </w:style>
  <w:style w:type="paragraph" w:customStyle="1" w:styleId="39">
    <w:name w:val="表"/>
    <w:basedOn w:val="1"/>
    <w:autoRedefine/>
    <w:qFormat/>
    <w:uiPriority w:val="0"/>
    <w:pPr>
      <w:ind w:firstLine="0" w:firstLineChars="0"/>
      <w:jc w:val="center"/>
    </w:pPr>
    <w:rPr>
      <w:rFonts w:ascii="Times New Roman" w:hAnsi="Times New Roman"/>
    </w:rPr>
  </w:style>
  <w:style w:type="character" w:customStyle="1" w:styleId="40">
    <w:name w:val="页脚 Char"/>
    <w:link w:val="18"/>
    <w:qFormat/>
    <w:uiPriority w:val="99"/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998</Words>
  <Characters>1151</Characters>
  <Lines>0</Lines>
  <Paragraphs>0</Paragraphs>
  <TotalTime>0</TotalTime>
  <ScaleCrop>false</ScaleCrop>
  <LinksUpToDate>false</LinksUpToDate>
  <CharactersWithSpaces>1182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2024-06-21T09:12:00Z</dcterms:created>
  <dc:creator>CSG</dc:creator>
  <cp:lastModifiedBy>王鹤</cp:lastModifiedBy>
  <dcterms:modified xsi:type="dcterms:W3CDTF">2025-04-18T07:27:25Z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ED75D648B95E4EF79166A4A5AC636826_13</vt:lpwstr>
  </property>
  <property fmtid="{D5CDD505-2E9C-101B-9397-08002B2CF9AE}" pid="4" name="KSOTemplateDocerSaveRecord">
    <vt:lpwstr>eyJoZGlkIjoiMWE4MWQ4NTAyM2UxMTNjY2VlYzM0NTY3MjliOWQyMmMiLCJ1c2VySWQiOiIzMTQxODA1OTgifQ==</vt:lpwstr>
  </property>
</Properties>
</file>