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D4F6B0">
      <w:pPr>
        <w:rPr>
          <w:rFonts w:hint="eastAsia"/>
          <w:color w:val="auto"/>
          <w:highlight w:val="none"/>
        </w:rPr>
      </w:pPr>
    </w:p>
    <w:p w14:paraId="6725F344">
      <w:pPr>
        <w:rPr>
          <w:color w:val="auto"/>
          <w:highlight w:val="none"/>
        </w:rPr>
      </w:pPr>
    </w:p>
    <w:p w14:paraId="6A12706A">
      <w:pPr>
        <w:jc w:val="center"/>
        <w:rPr>
          <w:rFonts w:ascii="黑体" w:hAnsi="黑体" w:eastAsia="黑体"/>
          <w:color w:val="auto"/>
          <w:sz w:val="44"/>
          <w:highlight w:val="none"/>
        </w:rPr>
      </w:pPr>
      <w:r>
        <w:rPr>
          <w:rFonts w:hint="eastAsia" w:ascii="黑体" w:hAnsi="黑体" w:eastAsia="黑体"/>
          <w:color w:val="auto"/>
          <w:sz w:val="44"/>
          <w:highlight w:val="none"/>
          <w:lang w:eastAsia="zh-CN"/>
        </w:rPr>
        <w:t>广西博联信息通信技术有限责任公司2026年启明星辰用户行为分析平台设备软件升级服务技术规范书</w:t>
      </w:r>
    </w:p>
    <w:p w14:paraId="74265F42">
      <w:pPr>
        <w:ind w:left="2520" w:leftChars="0" w:firstLine="420" w:firstLineChars="0"/>
        <w:jc w:val="both"/>
        <w:rPr>
          <w:rFonts w:hint="eastAsia" w:ascii="黑体" w:hAnsi="黑体" w:eastAsia="黑体" w:cs="黑体"/>
          <w:sz w:val="32"/>
          <w:szCs w:val="32"/>
          <w:lang w:eastAsia="zh-CN"/>
        </w:rPr>
      </w:pPr>
    </w:p>
    <w:p w14:paraId="4E9E7C00">
      <w:pPr>
        <w:ind w:left="2520" w:leftChars="0" w:firstLine="420" w:firstLineChars="0"/>
        <w:jc w:val="both"/>
        <w:rPr>
          <w:rFonts w:hint="eastAsia" w:ascii="黑体" w:hAnsi="黑体" w:eastAsia="黑体" w:cs="黑体"/>
          <w:sz w:val="32"/>
          <w:szCs w:val="32"/>
          <w:lang w:eastAsia="zh-CN"/>
        </w:rPr>
      </w:pPr>
    </w:p>
    <w:p w14:paraId="3838B5EF">
      <w:pPr>
        <w:ind w:left="2520" w:leftChars="0" w:firstLine="420" w:firstLineChars="0"/>
        <w:jc w:val="both"/>
        <w:rPr>
          <w:rFonts w:hint="eastAsia" w:ascii="黑体" w:hAnsi="黑体" w:eastAsia="黑体" w:cs="黑体"/>
          <w:sz w:val="32"/>
          <w:szCs w:val="32"/>
          <w:lang w:eastAsia="zh-CN"/>
        </w:rPr>
      </w:pPr>
    </w:p>
    <w:p w14:paraId="0ED51BBD">
      <w:pPr>
        <w:pStyle w:val="2"/>
        <w:rPr>
          <w:rFonts w:hint="eastAsia"/>
          <w:lang w:eastAsia="zh-CN"/>
        </w:rPr>
      </w:pPr>
    </w:p>
    <w:p w14:paraId="25C8D14B">
      <w:pPr>
        <w:pStyle w:val="2"/>
        <w:rPr>
          <w:rFonts w:hint="eastAsia"/>
          <w:lang w:eastAsia="zh-CN"/>
        </w:rPr>
      </w:pPr>
    </w:p>
    <w:p w14:paraId="52EE3CC3">
      <w:pPr>
        <w:rPr>
          <w:rFonts w:hint="eastAsia"/>
          <w:lang w:eastAsia="zh-CN"/>
        </w:rPr>
      </w:pPr>
    </w:p>
    <w:p w14:paraId="3AE60D00">
      <w:pPr>
        <w:pStyle w:val="2"/>
        <w:rPr>
          <w:rFonts w:hint="eastAsia"/>
          <w:lang w:eastAsia="zh-CN"/>
        </w:rPr>
      </w:pPr>
    </w:p>
    <w:p w14:paraId="636CEDEA">
      <w:pPr>
        <w:rPr>
          <w:rFonts w:hint="eastAsia"/>
          <w:lang w:eastAsia="zh-CN"/>
        </w:rPr>
      </w:pPr>
    </w:p>
    <w:p w14:paraId="3B13F11A">
      <w:pPr>
        <w:pStyle w:val="2"/>
        <w:rPr>
          <w:rFonts w:hint="eastAsia"/>
          <w:lang w:eastAsia="zh-CN"/>
        </w:rPr>
      </w:pPr>
    </w:p>
    <w:p w14:paraId="46C1E9CC">
      <w:pPr>
        <w:rPr>
          <w:rFonts w:hint="eastAsia"/>
          <w:lang w:eastAsia="zh-CN"/>
        </w:rPr>
      </w:pPr>
    </w:p>
    <w:p w14:paraId="67FDDBAC">
      <w:pPr>
        <w:rPr>
          <w:color w:val="auto"/>
          <w:highlight w:val="none"/>
        </w:rPr>
      </w:pPr>
    </w:p>
    <w:p w14:paraId="2D7DCC98">
      <w:pPr>
        <w:rPr>
          <w:color w:val="auto"/>
          <w:highlight w:val="none"/>
        </w:rPr>
      </w:pPr>
    </w:p>
    <w:p w14:paraId="3F7FEE2E">
      <w:pPr>
        <w:rPr>
          <w:color w:val="auto"/>
          <w:highlight w:val="none"/>
        </w:rPr>
      </w:pPr>
    </w:p>
    <w:p w14:paraId="0F4731CF">
      <w:pPr>
        <w:rPr>
          <w:color w:val="auto"/>
          <w:highlight w:val="none"/>
        </w:rPr>
      </w:pPr>
    </w:p>
    <w:p w14:paraId="679CCFA1">
      <w:pPr>
        <w:rPr>
          <w:color w:val="auto"/>
          <w:highlight w:val="none"/>
        </w:rPr>
      </w:pPr>
    </w:p>
    <w:p w14:paraId="366C2490">
      <w:pPr>
        <w:rPr>
          <w:color w:val="auto"/>
          <w:highlight w:val="none"/>
        </w:rPr>
      </w:pPr>
    </w:p>
    <w:p w14:paraId="669C58A6">
      <w:pPr>
        <w:rPr>
          <w:color w:val="auto"/>
          <w:highlight w:val="none"/>
        </w:rPr>
      </w:pPr>
    </w:p>
    <w:p w14:paraId="3C288EDC">
      <w:pPr>
        <w:rPr>
          <w:color w:val="auto"/>
          <w:highlight w:val="none"/>
        </w:rPr>
      </w:pPr>
    </w:p>
    <w:p w14:paraId="17ACB823">
      <w:pPr>
        <w:jc w:val="center"/>
        <w:rPr>
          <w:rFonts w:hint="default"/>
          <w:color w:val="auto"/>
          <w:sz w:val="32"/>
          <w:szCs w:val="32"/>
          <w:highlight w:val="none"/>
          <w:lang w:val="en-US" w:eastAsia="zh-CN"/>
        </w:rPr>
      </w:pPr>
      <w:r>
        <w:rPr>
          <w:rFonts w:hint="eastAsia"/>
          <w:color w:val="auto"/>
          <w:sz w:val="32"/>
          <w:szCs w:val="32"/>
          <w:highlight w:val="none"/>
          <w:lang w:val="en-US" w:eastAsia="zh-CN"/>
        </w:rPr>
        <w:t>广西博联信息通信技术有限责任公司</w:t>
      </w:r>
    </w:p>
    <w:p w14:paraId="395A76B4">
      <w:pPr>
        <w:jc w:val="center"/>
        <w:rPr>
          <w:color w:val="auto"/>
          <w:sz w:val="32"/>
          <w:szCs w:val="32"/>
          <w:highlight w:val="none"/>
        </w:rPr>
      </w:pPr>
      <w:r>
        <w:rPr>
          <w:rFonts w:hint="eastAsia"/>
          <w:color w:val="auto"/>
          <w:sz w:val="32"/>
          <w:szCs w:val="32"/>
          <w:highlight w:val="none"/>
          <w:lang w:eastAsia="zh-CN"/>
        </w:rPr>
        <w:t>202</w:t>
      </w:r>
      <w:r>
        <w:rPr>
          <w:rFonts w:hint="eastAsia"/>
          <w:color w:val="auto"/>
          <w:sz w:val="32"/>
          <w:szCs w:val="32"/>
          <w:highlight w:val="none"/>
          <w:lang w:val="en-US" w:eastAsia="zh-CN"/>
        </w:rPr>
        <w:t>6</w:t>
      </w:r>
      <w:r>
        <w:rPr>
          <w:rFonts w:hint="eastAsia"/>
          <w:color w:val="auto"/>
          <w:sz w:val="32"/>
          <w:szCs w:val="32"/>
          <w:highlight w:val="none"/>
        </w:rPr>
        <w:t>年</w:t>
      </w:r>
      <w:r>
        <w:rPr>
          <w:rFonts w:hint="eastAsia"/>
          <w:color w:val="auto"/>
          <w:sz w:val="32"/>
          <w:szCs w:val="32"/>
          <w:highlight w:val="none"/>
          <w:lang w:val="en-US" w:eastAsia="zh-CN"/>
        </w:rPr>
        <w:t>5</w:t>
      </w:r>
      <w:r>
        <w:rPr>
          <w:rFonts w:hint="eastAsia"/>
          <w:color w:val="auto"/>
          <w:sz w:val="32"/>
          <w:szCs w:val="32"/>
          <w:highlight w:val="none"/>
        </w:rPr>
        <w:t>月</w:t>
      </w:r>
    </w:p>
    <w:p w14:paraId="4BDD5A8C">
      <w:pPr>
        <w:jc w:val="center"/>
        <w:rPr>
          <w:color w:val="auto"/>
          <w:highlight w:val="none"/>
        </w:rPr>
      </w:pPr>
      <w:r>
        <w:rPr>
          <w:color w:val="auto"/>
          <w:highlight w:val="none"/>
        </w:rPr>
        <w:br w:type="page"/>
      </w:r>
      <w:r>
        <w:rPr>
          <w:rFonts w:hint="eastAsia"/>
          <w:color w:val="auto"/>
          <w:highlight w:val="none"/>
        </w:rPr>
        <w:t>目  录</w:t>
      </w:r>
    </w:p>
    <w:p w14:paraId="08CFA5E6">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_Toc3917 </w:instrText>
      </w:r>
      <w:r>
        <w:rPr>
          <w:color w:val="auto"/>
          <w:highlight w:val="none"/>
        </w:rPr>
        <w:fldChar w:fldCharType="separate"/>
      </w:r>
      <w:r>
        <w:rPr>
          <w:rFonts w:hint="eastAsia"/>
          <w:color w:val="auto"/>
          <w:highlight w:val="none"/>
        </w:rPr>
        <w:t>1. 总则</w:t>
      </w:r>
      <w:r>
        <w:rPr>
          <w:color w:val="auto"/>
          <w:highlight w:val="none"/>
        </w:rPr>
        <w:tab/>
      </w:r>
      <w:r>
        <w:rPr>
          <w:rFonts w:hint="eastAsia"/>
          <w:color w:val="auto"/>
          <w:highlight w:val="none"/>
          <w:lang w:val="en-US" w:eastAsia="zh-CN"/>
        </w:rPr>
        <w:t>1</w:t>
      </w:r>
      <w:r>
        <w:rPr>
          <w:color w:val="auto"/>
          <w:highlight w:val="none"/>
        </w:rPr>
        <w:fldChar w:fldCharType="end"/>
      </w:r>
    </w:p>
    <w:p w14:paraId="25CE20ED">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_Toc25593 </w:instrText>
      </w:r>
      <w:r>
        <w:rPr>
          <w:color w:val="auto"/>
          <w:highlight w:val="none"/>
        </w:rPr>
        <w:fldChar w:fldCharType="separate"/>
      </w:r>
      <w:r>
        <w:rPr>
          <w:rFonts w:hint="eastAsia"/>
          <w:color w:val="auto"/>
          <w:highlight w:val="none"/>
        </w:rPr>
        <w:t>2. 应遵循的主要标准</w:t>
      </w:r>
      <w:r>
        <w:rPr>
          <w:color w:val="auto"/>
          <w:highlight w:val="none"/>
        </w:rPr>
        <w:tab/>
      </w:r>
      <w:r>
        <w:rPr>
          <w:rFonts w:hint="eastAsia"/>
          <w:color w:val="auto"/>
          <w:highlight w:val="none"/>
          <w:lang w:val="en-US" w:eastAsia="zh-CN"/>
        </w:rPr>
        <w:t>2</w:t>
      </w:r>
      <w:r>
        <w:rPr>
          <w:color w:val="auto"/>
          <w:highlight w:val="none"/>
        </w:rPr>
        <w:fldChar w:fldCharType="end"/>
      </w:r>
    </w:p>
    <w:p w14:paraId="2F31B0EF">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_Toc13113 </w:instrText>
      </w:r>
      <w:r>
        <w:rPr>
          <w:color w:val="auto"/>
          <w:highlight w:val="none"/>
        </w:rPr>
        <w:fldChar w:fldCharType="separate"/>
      </w:r>
      <w:r>
        <w:rPr>
          <w:rFonts w:hint="eastAsia"/>
          <w:color w:val="auto"/>
          <w:highlight w:val="none"/>
        </w:rPr>
        <w:t>3. 项目概述</w:t>
      </w:r>
      <w:r>
        <w:rPr>
          <w:color w:val="auto"/>
          <w:highlight w:val="none"/>
        </w:rPr>
        <w:tab/>
      </w:r>
      <w:r>
        <w:rPr>
          <w:color w:val="auto"/>
          <w:highlight w:val="none"/>
        </w:rPr>
        <w:fldChar w:fldCharType="begin"/>
      </w:r>
      <w:r>
        <w:rPr>
          <w:color w:val="auto"/>
          <w:highlight w:val="none"/>
        </w:rPr>
        <w:instrText xml:space="preserve"> PAGEREF _Toc13113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69FA3559">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_Toc6543 </w:instrText>
      </w:r>
      <w:r>
        <w:rPr>
          <w:color w:val="auto"/>
          <w:highlight w:val="none"/>
        </w:rPr>
        <w:fldChar w:fldCharType="separate"/>
      </w:r>
      <w:r>
        <w:rPr>
          <w:rFonts w:hint="eastAsia"/>
          <w:color w:val="auto"/>
          <w:highlight w:val="none"/>
        </w:rPr>
        <w:t>4. 范围和内容</w:t>
      </w:r>
      <w:r>
        <w:rPr>
          <w:color w:val="auto"/>
          <w:highlight w:val="none"/>
        </w:rPr>
        <w:tab/>
      </w:r>
      <w:r>
        <w:rPr>
          <w:color w:val="auto"/>
          <w:highlight w:val="none"/>
        </w:rPr>
        <w:fldChar w:fldCharType="begin"/>
      </w:r>
      <w:r>
        <w:rPr>
          <w:color w:val="auto"/>
          <w:highlight w:val="none"/>
        </w:rPr>
        <w:instrText xml:space="preserve"> PAGEREF _Toc6543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10935262">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_Toc3582 </w:instrText>
      </w:r>
      <w:r>
        <w:rPr>
          <w:color w:val="auto"/>
          <w:highlight w:val="none"/>
        </w:rPr>
        <w:fldChar w:fldCharType="separate"/>
      </w:r>
      <w:r>
        <w:rPr>
          <w:rFonts w:hint="eastAsia"/>
          <w:color w:val="auto"/>
          <w:highlight w:val="none"/>
        </w:rPr>
        <w:t>5. 总体要求</w:t>
      </w:r>
      <w:r>
        <w:rPr>
          <w:color w:val="auto"/>
          <w:highlight w:val="none"/>
        </w:rPr>
        <w:tab/>
      </w:r>
      <w:r>
        <w:rPr>
          <w:rFonts w:hint="eastAsia"/>
          <w:color w:val="auto"/>
          <w:highlight w:val="none"/>
          <w:lang w:val="en-US" w:eastAsia="zh-CN"/>
        </w:rPr>
        <w:t>3</w:t>
      </w:r>
      <w:r>
        <w:rPr>
          <w:color w:val="auto"/>
          <w:highlight w:val="none"/>
        </w:rPr>
        <w:fldChar w:fldCharType="end"/>
      </w:r>
    </w:p>
    <w:p w14:paraId="40957A4B">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_Toc28704 </w:instrText>
      </w:r>
      <w:r>
        <w:rPr>
          <w:color w:val="auto"/>
          <w:highlight w:val="none"/>
        </w:rPr>
        <w:fldChar w:fldCharType="separate"/>
      </w:r>
      <w:r>
        <w:rPr>
          <w:rFonts w:hint="eastAsia"/>
          <w:color w:val="auto"/>
          <w:highlight w:val="none"/>
        </w:rPr>
        <w:t>6. 主要技术要求</w:t>
      </w:r>
      <w:r>
        <w:rPr>
          <w:color w:val="auto"/>
          <w:highlight w:val="none"/>
        </w:rPr>
        <w:tab/>
      </w:r>
      <w:r>
        <w:rPr>
          <w:rFonts w:hint="eastAsia"/>
          <w:color w:val="auto"/>
          <w:highlight w:val="none"/>
          <w:lang w:val="en-US" w:eastAsia="zh-CN"/>
        </w:rPr>
        <w:t>4</w:t>
      </w:r>
      <w:r>
        <w:rPr>
          <w:color w:val="auto"/>
          <w:highlight w:val="none"/>
        </w:rPr>
        <w:fldChar w:fldCharType="end"/>
      </w:r>
    </w:p>
    <w:p w14:paraId="5E0129F2">
      <w:pPr>
        <w:pStyle w:val="17"/>
        <w:tabs>
          <w:tab w:val="right" w:leader="dot" w:pos="8306"/>
          <w:tab w:val="clear" w:pos="8296"/>
        </w:tabs>
        <w:rPr>
          <w:color w:val="auto"/>
          <w:highlight w:val="none"/>
        </w:rPr>
      </w:pPr>
      <w:r>
        <w:rPr>
          <w:color w:val="auto"/>
          <w:highlight w:val="none"/>
        </w:rPr>
        <w:fldChar w:fldCharType="begin"/>
      </w:r>
      <w:r>
        <w:rPr>
          <w:color w:val="auto"/>
          <w:highlight w:val="none"/>
        </w:rPr>
        <w:instrText xml:space="preserve"> HYPERLINK \l _Toc5274 </w:instrText>
      </w:r>
      <w:r>
        <w:rPr>
          <w:color w:val="auto"/>
          <w:highlight w:val="none"/>
        </w:rPr>
        <w:fldChar w:fldCharType="separate"/>
      </w:r>
      <w:r>
        <w:rPr>
          <w:rFonts w:hint="eastAsia"/>
          <w:color w:val="auto"/>
          <w:highlight w:val="none"/>
        </w:rPr>
        <w:t>7. 其他要求</w:t>
      </w:r>
      <w:r>
        <w:rPr>
          <w:color w:val="auto"/>
          <w:highlight w:val="none"/>
        </w:rPr>
        <w:tab/>
      </w:r>
      <w:r>
        <w:rPr>
          <w:rFonts w:hint="eastAsia"/>
          <w:color w:val="auto"/>
          <w:highlight w:val="none"/>
          <w:lang w:val="en-US" w:eastAsia="zh-CN"/>
        </w:rPr>
        <w:t>8</w:t>
      </w:r>
      <w:r>
        <w:rPr>
          <w:color w:val="auto"/>
          <w:highlight w:val="none"/>
        </w:rPr>
        <w:fldChar w:fldCharType="end"/>
      </w:r>
    </w:p>
    <w:p w14:paraId="6F7FB6AC">
      <w:pPr>
        <w:pStyle w:val="17"/>
        <w:tabs>
          <w:tab w:val="right" w:leader="dot" w:pos="8306"/>
          <w:tab w:val="clear" w:pos="8296"/>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_Toc24965 </w:instrText>
      </w:r>
      <w:r>
        <w:rPr>
          <w:color w:val="auto"/>
          <w:highlight w:val="none"/>
        </w:rPr>
        <w:fldChar w:fldCharType="separate"/>
      </w:r>
      <w:r>
        <w:rPr>
          <w:rFonts w:hint="eastAsia"/>
          <w:color w:val="auto"/>
          <w:highlight w:val="none"/>
        </w:rPr>
        <w:t>8. 附件</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0</w:t>
      </w:r>
    </w:p>
    <w:p w14:paraId="0FCFB9CE">
      <w:pPr>
        <w:rPr>
          <w:color w:val="auto"/>
          <w:highlight w:val="none"/>
        </w:rPr>
      </w:pPr>
      <w:r>
        <w:rPr>
          <w:color w:val="auto"/>
          <w:highlight w:val="none"/>
        </w:rPr>
        <w:fldChar w:fldCharType="end"/>
      </w:r>
    </w:p>
    <w:p w14:paraId="1F1AD833">
      <w:pPr>
        <w:rPr>
          <w:color w:val="auto"/>
          <w:highlight w:val="none"/>
        </w:rPr>
        <w:sectPr>
          <w:footerReference r:id="rId5" w:type="default"/>
          <w:footerReference r:id="rId6" w:type="even"/>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84B67F5">
      <w:pPr>
        <w:pStyle w:val="3"/>
        <w:rPr>
          <w:color w:val="auto"/>
          <w:highlight w:val="none"/>
        </w:rPr>
      </w:pPr>
      <w:bookmarkStart w:id="0" w:name="_Toc353115665"/>
      <w:bookmarkStart w:id="1" w:name="_Toc2418691"/>
      <w:r>
        <w:rPr>
          <w:rFonts w:hint="eastAsia"/>
          <w:color w:val="auto"/>
          <w:highlight w:val="none"/>
        </w:rPr>
        <w:t>总则</w:t>
      </w:r>
      <w:bookmarkEnd w:id="0"/>
      <w:bookmarkEnd w:id="1"/>
    </w:p>
    <w:p w14:paraId="51B9B078">
      <w:pPr>
        <w:pStyle w:val="4"/>
        <w:rPr>
          <w:color w:val="auto"/>
          <w:highlight w:val="none"/>
        </w:rPr>
      </w:pPr>
      <w:bookmarkStart w:id="2" w:name="_Toc360609692"/>
      <w:r>
        <w:rPr>
          <w:rFonts w:hint="eastAsia"/>
          <w:color w:val="auto"/>
          <w:highlight w:val="none"/>
        </w:rPr>
        <w:t>一般要求</w:t>
      </w:r>
      <w:bookmarkEnd w:id="2"/>
    </w:p>
    <w:p w14:paraId="46CA981B">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必须认真阅读本技术条款内容，以免造成</w:t>
      </w:r>
      <w:r>
        <w:rPr>
          <w:rFonts w:hint="eastAsia"/>
          <w:color w:val="auto"/>
          <w:highlight w:val="none"/>
          <w:lang w:val="en-US" w:eastAsia="zh-CN"/>
        </w:rPr>
        <w:t>报价</w:t>
      </w:r>
      <w:r>
        <w:rPr>
          <w:rFonts w:hint="eastAsia"/>
          <w:color w:val="auto"/>
          <w:highlight w:val="none"/>
        </w:rPr>
        <w:t>失败。</w:t>
      </w:r>
    </w:p>
    <w:p w14:paraId="485AA523">
      <w:pPr>
        <w:pStyle w:val="6"/>
        <w:numPr>
          <w:ilvl w:val="2"/>
          <w:numId w:val="3"/>
        </w:numPr>
        <w:rPr>
          <w:color w:val="auto"/>
          <w:highlight w:val="none"/>
        </w:rPr>
      </w:pPr>
      <w:r>
        <w:rPr>
          <w:rFonts w:hint="eastAsia"/>
          <w:color w:val="auto"/>
          <w:highlight w:val="none"/>
        </w:rPr>
        <w:t>本技术规范书主要描述广西博联信息通信技术有限责任公司2026年</w:t>
      </w:r>
      <w:r>
        <w:rPr>
          <w:rFonts w:hint="eastAsia"/>
          <w:color w:val="auto"/>
          <w:highlight w:val="none"/>
          <w:lang w:eastAsia="zh-CN"/>
        </w:rPr>
        <w:t>启明星辰</w:t>
      </w:r>
      <w:bookmarkStart w:id="57" w:name="_GoBack"/>
      <w:bookmarkEnd w:id="57"/>
      <w:r>
        <w:rPr>
          <w:rFonts w:hint="eastAsia" w:asciiTheme="minorEastAsia" w:hAnsiTheme="minorEastAsia" w:eastAsiaTheme="minorEastAsia" w:cstheme="minorEastAsia"/>
          <w:sz w:val="24"/>
          <w:szCs w:val="24"/>
          <w:lang w:val="en-US" w:eastAsia="zh-CN"/>
        </w:rPr>
        <w:t>用户行为分析平台设备软件升级服务</w:t>
      </w:r>
      <w:r>
        <w:rPr>
          <w:rFonts w:hint="eastAsia"/>
          <w:color w:val="auto"/>
          <w:highlight w:val="none"/>
        </w:rPr>
        <w:t>要求有关事项。</w:t>
      </w:r>
    </w:p>
    <w:p w14:paraId="4E441BD5">
      <w:pPr>
        <w:pStyle w:val="6"/>
        <w:numPr>
          <w:ilvl w:val="2"/>
          <w:numId w:val="2"/>
        </w:numPr>
        <w:rPr>
          <w:color w:val="auto"/>
          <w:highlight w:val="none"/>
        </w:rPr>
      </w:pPr>
      <w:r>
        <w:rPr>
          <w:rFonts w:hint="eastAsia"/>
          <w:color w:val="auto"/>
          <w:highlight w:val="none"/>
        </w:rPr>
        <w:t>本技术规范书提出的是最低限度的技术要求, 并未对一切技术细节作出规定，也未充分引述有关标准和规范的条文。</w:t>
      </w:r>
      <w:r>
        <w:rPr>
          <w:rFonts w:hint="eastAsia"/>
          <w:color w:val="auto"/>
          <w:highlight w:val="none"/>
          <w:lang w:eastAsia="zh-CN"/>
        </w:rPr>
        <w:t>报价人</w:t>
      </w:r>
      <w:r>
        <w:rPr>
          <w:rFonts w:hint="eastAsia"/>
          <w:color w:val="auto"/>
          <w:highlight w:val="none"/>
        </w:rPr>
        <w:t>应提供符合本</w:t>
      </w:r>
      <w:r>
        <w:rPr>
          <w:rFonts w:hint="eastAsia"/>
          <w:color w:val="auto"/>
          <w:highlight w:val="none"/>
          <w:lang w:val="en-US" w:eastAsia="zh-CN"/>
        </w:rPr>
        <w:t>采购</w:t>
      </w:r>
      <w:r>
        <w:rPr>
          <w:rFonts w:hint="eastAsia"/>
          <w:color w:val="auto"/>
          <w:highlight w:val="none"/>
        </w:rPr>
        <w:t>技术文件和工业标准的优质产品、服务，认真阅读，逐条准确回答和陈述，必须清楚地说明是否满足本技术规范书的每一项具体要求。如果不满足要求，除在逐条应答时予以说明外，还需以“差异表”的形式另外列出。</w:t>
      </w:r>
    </w:p>
    <w:p w14:paraId="6A86F993">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应提供满足本技术规范书</w:t>
      </w:r>
      <w:r>
        <w:rPr>
          <w:rFonts w:hint="eastAsia"/>
          <w:color w:val="auto"/>
          <w:highlight w:val="none"/>
          <w:lang w:eastAsia="zh-CN"/>
        </w:rPr>
        <w:t>要求的</w:t>
      </w:r>
      <w:r>
        <w:rPr>
          <w:rFonts w:hint="eastAsia"/>
          <w:color w:val="auto"/>
          <w:highlight w:val="none"/>
        </w:rPr>
        <w:t>实施方案及报价，实施方案必须满足本技术规范的主要要求，否则将被认作没有回答。</w:t>
      </w:r>
      <w:r>
        <w:rPr>
          <w:rFonts w:hint="eastAsia"/>
          <w:color w:val="auto"/>
          <w:highlight w:val="none"/>
          <w:lang w:eastAsia="zh-CN"/>
        </w:rPr>
        <w:t>报价人</w:t>
      </w:r>
      <w:r>
        <w:rPr>
          <w:rFonts w:hint="eastAsia"/>
          <w:color w:val="auto"/>
          <w:highlight w:val="none"/>
        </w:rPr>
        <w:t>认为需特殊说明的部分，应附详细的技术资料，否则因评标理解不同而产生的后果由</w:t>
      </w:r>
      <w:r>
        <w:rPr>
          <w:rFonts w:hint="eastAsia"/>
          <w:color w:val="auto"/>
          <w:highlight w:val="none"/>
          <w:lang w:eastAsia="zh-CN"/>
        </w:rPr>
        <w:t>报价人</w:t>
      </w:r>
      <w:r>
        <w:rPr>
          <w:rFonts w:hint="eastAsia"/>
          <w:color w:val="auto"/>
          <w:highlight w:val="none"/>
        </w:rPr>
        <w:t>负责。</w:t>
      </w:r>
    </w:p>
    <w:p w14:paraId="0A7D93B2">
      <w:pPr>
        <w:pStyle w:val="6"/>
        <w:numPr>
          <w:ilvl w:val="2"/>
          <w:numId w:val="2"/>
        </w:numPr>
        <w:rPr>
          <w:color w:val="auto"/>
          <w:highlight w:val="none"/>
        </w:rPr>
      </w:pPr>
      <w:r>
        <w:rPr>
          <w:rFonts w:hint="eastAsia"/>
          <w:color w:val="auto"/>
          <w:highlight w:val="none"/>
        </w:rPr>
        <w:t>如果</w:t>
      </w:r>
      <w:r>
        <w:rPr>
          <w:rFonts w:hint="eastAsia"/>
          <w:color w:val="auto"/>
          <w:highlight w:val="none"/>
          <w:lang w:eastAsia="zh-CN"/>
        </w:rPr>
        <w:t>报价人</w:t>
      </w:r>
      <w:r>
        <w:rPr>
          <w:rFonts w:hint="eastAsia"/>
          <w:color w:val="auto"/>
          <w:highlight w:val="none"/>
        </w:rPr>
        <w:t>认为本技术条款所描述技术要求等存在不合理性或不明白的，可在响应原要求后陈述相关建议。</w:t>
      </w:r>
    </w:p>
    <w:p w14:paraId="35ADFF91">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也可提出满足本技术规范书要求，且技术先进、成熟、价格合理的其他建议，供</w:t>
      </w:r>
      <w:r>
        <w:rPr>
          <w:rFonts w:hint="eastAsia"/>
          <w:color w:val="auto"/>
          <w:highlight w:val="none"/>
          <w:lang w:eastAsia="zh-CN"/>
        </w:rPr>
        <w:t>采购人</w:t>
      </w:r>
      <w:r>
        <w:rPr>
          <w:rFonts w:hint="eastAsia"/>
          <w:color w:val="auto"/>
          <w:highlight w:val="none"/>
        </w:rPr>
        <w:t>选择。</w:t>
      </w:r>
    </w:p>
    <w:p w14:paraId="6D014891">
      <w:pPr>
        <w:pStyle w:val="6"/>
        <w:rPr>
          <w:rFonts w:hint="eastAsia" w:hAnsi="宋体" w:cs="宋体"/>
          <w:color w:val="auto"/>
          <w:highlight w:val="none"/>
        </w:rPr>
      </w:pPr>
      <w:r>
        <w:rPr>
          <w:rFonts w:hint="eastAsia" w:hAnsi="宋体" w:cs="宋体"/>
          <w:color w:val="auto"/>
          <w:highlight w:val="none"/>
          <w:lang w:eastAsia="zh-CN"/>
        </w:rPr>
        <w:t>报价人</w:t>
      </w:r>
      <w:r>
        <w:rPr>
          <w:rFonts w:hint="eastAsia" w:hAnsi="宋体" w:cs="宋体"/>
          <w:color w:val="auto"/>
          <w:highlight w:val="none"/>
        </w:rPr>
        <w:t>应提供满足本技术规范书要求的完整的服务、工作产品，满足国家及用户提出的有关质量标准要求。所有工作产品必须具有在中国境内的合法使用权。</w:t>
      </w:r>
    </w:p>
    <w:p w14:paraId="0DE4BBAF">
      <w:pPr>
        <w:pStyle w:val="6"/>
        <w:numPr>
          <w:ilvl w:val="2"/>
          <w:numId w:val="2"/>
        </w:numPr>
        <w:rPr>
          <w:color w:val="auto"/>
          <w:highlight w:val="none"/>
        </w:rPr>
      </w:pPr>
      <w:r>
        <w:rPr>
          <w:rFonts w:hint="eastAsia"/>
          <w:color w:val="auto"/>
          <w:highlight w:val="none"/>
        </w:rPr>
        <w:t>本技术规范书所使用的标准如与</w:t>
      </w:r>
      <w:r>
        <w:rPr>
          <w:rFonts w:hint="eastAsia"/>
          <w:color w:val="auto"/>
          <w:highlight w:val="none"/>
          <w:lang w:eastAsia="zh-CN"/>
        </w:rPr>
        <w:t>报价人</w:t>
      </w:r>
      <w:r>
        <w:rPr>
          <w:rFonts w:hint="eastAsia"/>
          <w:color w:val="auto"/>
          <w:highlight w:val="none"/>
        </w:rPr>
        <w:t>所执行的标准不一致，按较高标准执行。</w:t>
      </w:r>
    </w:p>
    <w:p w14:paraId="743E0165">
      <w:pPr>
        <w:pStyle w:val="6"/>
        <w:numPr>
          <w:ilvl w:val="2"/>
          <w:numId w:val="2"/>
        </w:numPr>
        <w:rPr>
          <w:color w:val="auto"/>
          <w:highlight w:val="none"/>
        </w:rPr>
      </w:pPr>
      <w:r>
        <w:rPr>
          <w:rFonts w:hint="eastAsia"/>
          <w:color w:val="auto"/>
          <w:highlight w:val="none"/>
        </w:rPr>
        <w:t>如果因为无法提供的原因而提供其他产品、服务，</w:t>
      </w:r>
      <w:r>
        <w:rPr>
          <w:rFonts w:hint="eastAsia"/>
          <w:color w:val="auto"/>
          <w:highlight w:val="none"/>
          <w:lang w:eastAsia="zh-CN"/>
        </w:rPr>
        <w:t>报价人</w:t>
      </w:r>
      <w:r>
        <w:rPr>
          <w:rFonts w:hint="eastAsia"/>
          <w:color w:val="auto"/>
          <w:highlight w:val="none"/>
        </w:rPr>
        <w:t>应明确说明并提出质量保证承诺。</w:t>
      </w:r>
    </w:p>
    <w:p w14:paraId="302B7E28">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应对本次</w:t>
      </w:r>
      <w:r>
        <w:rPr>
          <w:rFonts w:hint="eastAsia"/>
          <w:color w:val="auto"/>
          <w:highlight w:val="none"/>
          <w:lang w:val="en-US" w:eastAsia="zh-CN"/>
        </w:rPr>
        <w:t>报价</w:t>
      </w:r>
      <w:r>
        <w:rPr>
          <w:rFonts w:hint="eastAsia"/>
          <w:color w:val="auto"/>
          <w:highlight w:val="none"/>
        </w:rPr>
        <w:t>所有文件保密，不得向其他单位公布或泄漏</w:t>
      </w:r>
      <w:r>
        <w:rPr>
          <w:rFonts w:hint="eastAsia"/>
          <w:color w:val="auto"/>
          <w:highlight w:val="none"/>
          <w:lang w:val="en-US" w:eastAsia="zh-CN"/>
        </w:rPr>
        <w:t>采购</w:t>
      </w:r>
      <w:r>
        <w:rPr>
          <w:rFonts w:hint="eastAsia"/>
          <w:color w:val="auto"/>
          <w:highlight w:val="none"/>
        </w:rPr>
        <w:t>项目的有关信息。</w:t>
      </w:r>
    </w:p>
    <w:p w14:paraId="0E01CECC">
      <w:pPr>
        <w:pStyle w:val="6"/>
        <w:numPr>
          <w:ilvl w:val="2"/>
          <w:numId w:val="2"/>
        </w:numPr>
        <w:rPr>
          <w:color w:val="auto"/>
          <w:highlight w:val="none"/>
        </w:rPr>
      </w:pPr>
      <w:r>
        <w:rPr>
          <w:rFonts w:hint="eastAsia"/>
          <w:color w:val="auto"/>
          <w:highlight w:val="none"/>
        </w:rPr>
        <w:t>在不超出本技术规范书要求的情况下，</w:t>
      </w:r>
      <w:r>
        <w:rPr>
          <w:rFonts w:hint="eastAsia"/>
          <w:color w:val="auto"/>
          <w:highlight w:val="none"/>
          <w:lang w:eastAsia="zh-CN"/>
        </w:rPr>
        <w:t>报价人</w:t>
      </w:r>
      <w:r>
        <w:rPr>
          <w:rFonts w:hint="eastAsia"/>
          <w:color w:val="auto"/>
          <w:highlight w:val="none"/>
        </w:rPr>
        <w:t>应对</w:t>
      </w:r>
      <w:r>
        <w:rPr>
          <w:rFonts w:hint="eastAsia"/>
          <w:color w:val="auto"/>
          <w:highlight w:val="none"/>
          <w:lang w:eastAsia="zh-CN"/>
        </w:rPr>
        <w:t>采购人</w:t>
      </w:r>
      <w:r>
        <w:rPr>
          <w:rFonts w:hint="eastAsia"/>
          <w:color w:val="auto"/>
          <w:highlight w:val="none"/>
        </w:rPr>
        <w:t>提出的所有细化要求予以满足。</w:t>
      </w:r>
    </w:p>
    <w:p w14:paraId="6C1B81AB">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建议书的详细要求见</w:t>
      </w:r>
      <w:r>
        <w:rPr>
          <w:rFonts w:hint="eastAsia"/>
          <w:color w:val="auto"/>
          <w:highlight w:val="none"/>
          <w:lang w:val="en-US" w:eastAsia="zh-CN"/>
        </w:rPr>
        <w:t>采购</w:t>
      </w:r>
      <w:r>
        <w:rPr>
          <w:rFonts w:hint="eastAsia"/>
          <w:color w:val="auto"/>
          <w:highlight w:val="none"/>
        </w:rPr>
        <w:t>书的商务部分。</w:t>
      </w:r>
      <w:r>
        <w:rPr>
          <w:rFonts w:hint="eastAsia"/>
          <w:color w:val="auto"/>
          <w:highlight w:val="none"/>
          <w:lang w:eastAsia="zh-CN"/>
        </w:rPr>
        <w:t>报价人</w:t>
      </w:r>
      <w:r>
        <w:rPr>
          <w:rFonts w:hint="eastAsia"/>
          <w:color w:val="auto"/>
          <w:highlight w:val="none"/>
        </w:rPr>
        <w:t>必须按照</w:t>
      </w:r>
      <w:r>
        <w:rPr>
          <w:rFonts w:hint="eastAsia"/>
          <w:color w:val="auto"/>
          <w:highlight w:val="none"/>
          <w:lang w:val="en-US" w:eastAsia="zh-CN"/>
        </w:rPr>
        <w:t>采购</w:t>
      </w:r>
      <w:r>
        <w:rPr>
          <w:rFonts w:hint="eastAsia"/>
          <w:color w:val="auto"/>
          <w:highlight w:val="none"/>
        </w:rPr>
        <w:t>书要求提供相应文件。</w:t>
      </w:r>
    </w:p>
    <w:p w14:paraId="3704651F">
      <w:pPr>
        <w:pStyle w:val="6"/>
        <w:numPr>
          <w:ilvl w:val="2"/>
          <w:numId w:val="2"/>
        </w:numPr>
        <w:rPr>
          <w:color w:val="auto"/>
          <w:highlight w:val="none"/>
        </w:rPr>
      </w:pPr>
      <w:r>
        <w:rPr>
          <w:rFonts w:hint="eastAsia"/>
          <w:color w:val="auto"/>
          <w:highlight w:val="none"/>
          <w:lang w:eastAsia="zh-CN"/>
        </w:rPr>
        <w:t>报价人</w:t>
      </w:r>
      <w:r>
        <w:rPr>
          <w:rFonts w:hint="eastAsia"/>
          <w:color w:val="auto"/>
          <w:highlight w:val="none"/>
        </w:rPr>
        <w:t>所有文件、图纸、通信的均使用中文。所有计算、说明、图纸文件、手册等使用国际单位制。</w:t>
      </w:r>
    </w:p>
    <w:p w14:paraId="1568ECDD">
      <w:pPr>
        <w:pStyle w:val="4"/>
        <w:rPr>
          <w:color w:val="auto"/>
          <w:highlight w:val="none"/>
        </w:rPr>
      </w:pPr>
      <w:bookmarkStart w:id="3" w:name="_Toc360609693"/>
      <w:r>
        <w:rPr>
          <w:rFonts w:hint="eastAsia"/>
          <w:color w:val="auto"/>
          <w:highlight w:val="none"/>
          <w:lang w:eastAsia="zh-CN"/>
        </w:rPr>
        <w:t>报价人</w:t>
      </w:r>
      <w:r>
        <w:rPr>
          <w:rFonts w:hint="eastAsia"/>
          <w:color w:val="auto"/>
          <w:highlight w:val="none"/>
        </w:rPr>
        <w:t>职责</w:t>
      </w:r>
      <w:bookmarkEnd w:id="3"/>
    </w:p>
    <w:p w14:paraId="72F65BF3">
      <w:pPr>
        <w:pStyle w:val="6"/>
        <w:rPr>
          <w:color w:val="auto"/>
          <w:highlight w:val="none"/>
        </w:rPr>
      </w:pPr>
      <w:r>
        <w:rPr>
          <w:rFonts w:hint="eastAsia"/>
          <w:color w:val="auto"/>
          <w:highlight w:val="none"/>
        </w:rPr>
        <w:t>负责本规范书内所需服务的方案设计，并根据</w:t>
      </w:r>
      <w:r>
        <w:rPr>
          <w:rFonts w:hint="eastAsia"/>
          <w:color w:val="auto"/>
          <w:highlight w:val="none"/>
          <w:lang w:eastAsia="zh-CN"/>
        </w:rPr>
        <w:t>采购人</w:t>
      </w:r>
      <w:r>
        <w:rPr>
          <w:rFonts w:hint="eastAsia"/>
          <w:color w:val="auto"/>
          <w:highlight w:val="none"/>
        </w:rPr>
        <w:t>需求细化。</w:t>
      </w:r>
    </w:p>
    <w:p w14:paraId="2FD3F276">
      <w:pPr>
        <w:pStyle w:val="6"/>
        <w:rPr>
          <w:color w:val="auto"/>
          <w:highlight w:val="none"/>
        </w:rPr>
      </w:pPr>
      <w:r>
        <w:rPr>
          <w:rFonts w:hint="eastAsia"/>
          <w:color w:val="auto"/>
          <w:highlight w:val="none"/>
        </w:rPr>
        <w:t>列出需</w:t>
      </w:r>
      <w:r>
        <w:rPr>
          <w:rFonts w:hint="eastAsia"/>
          <w:color w:val="auto"/>
          <w:highlight w:val="none"/>
          <w:lang w:eastAsia="zh-CN"/>
        </w:rPr>
        <w:t>采购人</w:t>
      </w:r>
      <w:r>
        <w:rPr>
          <w:rFonts w:hint="eastAsia"/>
          <w:color w:val="auto"/>
          <w:highlight w:val="none"/>
        </w:rPr>
        <w:t>提供的数据、资料详细清单。</w:t>
      </w:r>
    </w:p>
    <w:p w14:paraId="412B2C40">
      <w:pPr>
        <w:pStyle w:val="6"/>
        <w:rPr>
          <w:color w:val="auto"/>
          <w:highlight w:val="none"/>
        </w:rPr>
      </w:pPr>
      <w:r>
        <w:rPr>
          <w:rFonts w:hint="eastAsia"/>
          <w:color w:val="auto"/>
          <w:highlight w:val="none"/>
        </w:rPr>
        <w:t>负责提供服务的所有文件资料和技术资料。</w:t>
      </w:r>
    </w:p>
    <w:p w14:paraId="0824BEB4">
      <w:pPr>
        <w:pStyle w:val="6"/>
        <w:rPr>
          <w:color w:val="auto"/>
          <w:highlight w:val="none"/>
        </w:rPr>
      </w:pPr>
      <w:r>
        <w:rPr>
          <w:rFonts w:hint="eastAsia"/>
          <w:color w:val="auto"/>
          <w:highlight w:val="none"/>
        </w:rPr>
        <w:t>负责最终提供的全部技术资料的准确性。</w:t>
      </w:r>
    </w:p>
    <w:p w14:paraId="200ADA1C">
      <w:pPr>
        <w:pStyle w:val="6"/>
        <w:rPr>
          <w:color w:val="auto"/>
          <w:highlight w:val="none"/>
        </w:rPr>
      </w:pPr>
      <w:r>
        <w:rPr>
          <w:rFonts w:hint="eastAsia"/>
          <w:color w:val="auto"/>
          <w:highlight w:val="none"/>
        </w:rPr>
        <w:t>保证提供的所有服务的质量及技术指标完全满足本规范书要求。</w:t>
      </w:r>
    </w:p>
    <w:p w14:paraId="230D4D94">
      <w:pPr>
        <w:pStyle w:val="6"/>
        <w:rPr>
          <w:color w:val="auto"/>
          <w:highlight w:val="none"/>
        </w:rPr>
      </w:pPr>
      <w:r>
        <w:rPr>
          <w:rFonts w:hint="eastAsia"/>
          <w:color w:val="auto"/>
          <w:highlight w:val="none"/>
        </w:rPr>
        <w:t>负责配合</w:t>
      </w:r>
      <w:r>
        <w:rPr>
          <w:rFonts w:hint="eastAsia"/>
          <w:color w:val="auto"/>
          <w:highlight w:val="none"/>
          <w:lang w:eastAsia="zh-CN"/>
        </w:rPr>
        <w:t>采购人</w:t>
      </w:r>
      <w:r>
        <w:rPr>
          <w:rFonts w:hint="eastAsia"/>
          <w:color w:val="auto"/>
          <w:highlight w:val="none"/>
        </w:rPr>
        <w:t>有关人员在</w:t>
      </w:r>
      <w:r>
        <w:rPr>
          <w:rFonts w:hint="eastAsia"/>
          <w:color w:val="auto"/>
          <w:highlight w:val="none"/>
          <w:lang w:eastAsia="zh-CN"/>
        </w:rPr>
        <w:t>报价人</w:t>
      </w:r>
      <w:r>
        <w:rPr>
          <w:rFonts w:hint="eastAsia"/>
          <w:color w:val="auto"/>
          <w:highlight w:val="none"/>
        </w:rPr>
        <w:t>地点的联络会等事宜，</w:t>
      </w:r>
      <w:r>
        <w:rPr>
          <w:rFonts w:hint="eastAsia"/>
          <w:color w:val="auto"/>
          <w:highlight w:val="none"/>
          <w:lang w:eastAsia="zh-CN"/>
        </w:rPr>
        <w:t>报价人</w:t>
      </w:r>
      <w:r>
        <w:rPr>
          <w:rFonts w:hint="eastAsia"/>
          <w:color w:val="auto"/>
          <w:highlight w:val="none"/>
        </w:rPr>
        <w:t>自理</w:t>
      </w:r>
      <w:r>
        <w:rPr>
          <w:rFonts w:hint="eastAsia"/>
          <w:color w:val="auto"/>
          <w:highlight w:val="none"/>
          <w:lang w:eastAsia="zh-CN"/>
        </w:rPr>
        <w:t>报价人</w:t>
      </w:r>
      <w:r>
        <w:rPr>
          <w:rFonts w:hint="eastAsia"/>
          <w:color w:val="auto"/>
          <w:highlight w:val="none"/>
        </w:rPr>
        <w:t>项目组人员的往返交通、住宿等费用等。</w:t>
      </w:r>
    </w:p>
    <w:p w14:paraId="24B892EA">
      <w:pPr>
        <w:pStyle w:val="6"/>
        <w:numPr>
          <w:ilvl w:val="2"/>
          <w:numId w:val="1"/>
        </w:numPr>
        <w:rPr>
          <w:color w:val="auto"/>
          <w:highlight w:val="none"/>
        </w:rPr>
      </w:pPr>
      <w:r>
        <w:rPr>
          <w:rFonts w:hint="eastAsia" w:hAnsi="宋体" w:cs="宋体"/>
          <w:color w:val="auto"/>
          <w:highlight w:val="none"/>
          <w:lang w:eastAsia="zh-CN"/>
        </w:rPr>
        <w:t>报价人</w:t>
      </w:r>
      <w:r>
        <w:rPr>
          <w:rFonts w:hint="eastAsia" w:hAnsi="宋体" w:cs="宋体"/>
          <w:color w:val="auto"/>
          <w:highlight w:val="none"/>
        </w:rPr>
        <w:t>（服务商、供应商）按照</w:t>
      </w:r>
      <w:r>
        <w:rPr>
          <w:rFonts w:hint="eastAsia" w:hAnsi="宋体" w:cs="宋体"/>
          <w:color w:val="auto"/>
          <w:highlight w:val="none"/>
          <w:lang w:val="en-US" w:eastAsia="zh-CN"/>
        </w:rPr>
        <w:t>采购人</w:t>
      </w:r>
      <w:r>
        <w:rPr>
          <w:rFonts w:hint="eastAsia" w:hAnsi="宋体" w:cs="宋体"/>
          <w:color w:val="auto"/>
          <w:highlight w:val="none"/>
        </w:rPr>
        <w:t>档案管理要求，根据归档范围负责自“项目准备”至“项目验收”阶段的项目文件收集、整理、组卷，并按规定时限向</w:t>
      </w:r>
      <w:r>
        <w:rPr>
          <w:rFonts w:hint="eastAsia" w:hAnsi="宋体" w:cs="宋体"/>
          <w:color w:val="auto"/>
          <w:highlight w:val="none"/>
          <w:lang w:eastAsia="zh-CN"/>
        </w:rPr>
        <w:t>采购人</w:t>
      </w:r>
      <w:r>
        <w:rPr>
          <w:rFonts w:hint="eastAsia" w:hAnsi="宋体" w:cs="宋体"/>
          <w:color w:val="auto"/>
          <w:highlight w:val="none"/>
        </w:rPr>
        <w:t>项目负责人移交。</w:t>
      </w:r>
      <w:r>
        <w:rPr>
          <w:rFonts w:hint="eastAsia" w:hAnsi="宋体" w:cs="宋体"/>
          <w:color w:val="auto"/>
          <w:highlight w:val="none"/>
          <w:lang w:eastAsia="zh-CN"/>
        </w:rPr>
        <w:t>报价人</w:t>
      </w:r>
      <w:r>
        <w:rPr>
          <w:rFonts w:hint="eastAsia" w:hAnsi="宋体" w:cs="宋体"/>
          <w:color w:val="auto"/>
          <w:highlight w:val="none"/>
        </w:rPr>
        <w:t>应明确负责档案管理的人员，开工前</w:t>
      </w:r>
      <w:r>
        <w:rPr>
          <w:rFonts w:hint="eastAsia" w:hAnsi="宋体" w:cs="宋体"/>
          <w:color w:val="auto"/>
          <w:highlight w:val="none"/>
          <w:lang w:eastAsia="zh-CN"/>
        </w:rPr>
        <w:t>报价人</w:t>
      </w:r>
      <w:r>
        <w:rPr>
          <w:rFonts w:hint="eastAsia" w:hAnsi="宋体" w:cs="宋体"/>
          <w:color w:val="auto"/>
          <w:highlight w:val="none"/>
        </w:rPr>
        <w:t>必须向</w:t>
      </w:r>
      <w:r>
        <w:rPr>
          <w:rFonts w:hint="eastAsia" w:hAnsi="宋体" w:cs="宋体"/>
          <w:color w:val="auto"/>
          <w:highlight w:val="none"/>
          <w:lang w:eastAsia="zh-CN"/>
        </w:rPr>
        <w:t>采购人</w:t>
      </w:r>
      <w:r>
        <w:rPr>
          <w:rFonts w:hint="eastAsia" w:hAnsi="宋体" w:cs="宋体"/>
          <w:color w:val="auto"/>
          <w:highlight w:val="none"/>
        </w:rPr>
        <w:t>提供档案管理人员名单，经</w:t>
      </w:r>
      <w:r>
        <w:rPr>
          <w:rFonts w:hint="eastAsia" w:hAnsi="宋体" w:cs="宋体"/>
          <w:color w:val="auto"/>
          <w:highlight w:val="none"/>
          <w:lang w:eastAsia="zh-CN"/>
        </w:rPr>
        <w:t>采购人</w:t>
      </w:r>
      <w:r>
        <w:rPr>
          <w:rFonts w:hint="eastAsia" w:hAnsi="宋体" w:cs="宋体"/>
          <w:color w:val="auto"/>
          <w:highlight w:val="none"/>
        </w:rPr>
        <w:t>确认后方可实施</w:t>
      </w:r>
    </w:p>
    <w:p w14:paraId="7E06D733">
      <w:pPr>
        <w:pStyle w:val="4"/>
        <w:rPr>
          <w:color w:val="auto"/>
          <w:highlight w:val="none"/>
        </w:rPr>
      </w:pPr>
      <w:bookmarkStart w:id="4" w:name="_Toc360609694"/>
      <w:r>
        <w:rPr>
          <w:rFonts w:hint="eastAsia"/>
          <w:color w:val="auto"/>
          <w:highlight w:val="none"/>
          <w:lang w:eastAsia="zh-CN"/>
        </w:rPr>
        <w:t>采购人</w:t>
      </w:r>
      <w:r>
        <w:rPr>
          <w:rFonts w:hint="eastAsia"/>
          <w:color w:val="auto"/>
          <w:highlight w:val="none"/>
        </w:rPr>
        <w:t>职责</w:t>
      </w:r>
      <w:bookmarkEnd w:id="4"/>
    </w:p>
    <w:p w14:paraId="1FD38A24">
      <w:pPr>
        <w:pStyle w:val="6"/>
        <w:rPr>
          <w:color w:val="auto"/>
          <w:highlight w:val="none"/>
        </w:rPr>
      </w:pPr>
      <w:r>
        <w:rPr>
          <w:rFonts w:hint="eastAsia"/>
          <w:color w:val="auto"/>
          <w:highlight w:val="none"/>
        </w:rPr>
        <w:t>负责提供与本项目有关的技术资料、参数及图纸。</w:t>
      </w:r>
    </w:p>
    <w:p w14:paraId="429B9087">
      <w:pPr>
        <w:pStyle w:val="6"/>
        <w:rPr>
          <w:color w:val="auto"/>
          <w:highlight w:val="none"/>
        </w:rPr>
      </w:pPr>
      <w:r>
        <w:rPr>
          <w:rFonts w:hint="eastAsia"/>
          <w:color w:val="auto"/>
          <w:highlight w:val="none"/>
        </w:rPr>
        <w:t>确认</w:t>
      </w:r>
      <w:r>
        <w:rPr>
          <w:rFonts w:hint="eastAsia"/>
          <w:color w:val="auto"/>
          <w:highlight w:val="none"/>
          <w:lang w:eastAsia="zh-CN"/>
        </w:rPr>
        <w:t>报价人</w:t>
      </w:r>
      <w:r>
        <w:rPr>
          <w:rFonts w:hint="eastAsia"/>
          <w:color w:val="auto"/>
          <w:highlight w:val="none"/>
        </w:rPr>
        <w:t>提供的服务的文件资料和技术。</w:t>
      </w:r>
    </w:p>
    <w:p w14:paraId="6FE37E31">
      <w:pPr>
        <w:pStyle w:val="6"/>
        <w:rPr>
          <w:color w:val="auto"/>
          <w:highlight w:val="none"/>
        </w:rPr>
      </w:pPr>
      <w:r>
        <w:rPr>
          <w:rFonts w:hint="eastAsia"/>
          <w:color w:val="auto"/>
          <w:highlight w:val="none"/>
        </w:rPr>
        <w:t>参加相关联络会。</w:t>
      </w:r>
    </w:p>
    <w:p w14:paraId="16A1F0AB">
      <w:pPr>
        <w:pStyle w:val="6"/>
        <w:rPr>
          <w:color w:val="auto"/>
          <w:highlight w:val="none"/>
        </w:rPr>
      </w:pPr>
      <w:r>
        <w:rPr>
          <w:rFonts w:hint="eastAsia"/>
          <w:color w:val="auto"/>
          <w:highlight w:val="none"/>
        </w:rPr>
        <w:t>负责向</w:t>
      </w:r>
      <w:r>
        <w:rPr>
          <w:rFonts w:hint="eastAsia"/>
          <w:color w:val="auto"/>
          <w:highlight w:val="none"/>
          <w:lang w:eastAsia="zh-CN"/>
        </w:rPr>
        <w:t>报价人</w:t>
      </w:r>
      <w:r>
        <w:rPr>
          <w:rFonts w:hint="eastAsia"/>
          <w:color w:val="auto"/>
          <w:highlight w:val="none"/>
        </w:rPr>
        <w:t>解释技术规范书中的要求。</w:t>
      </w:r>
    </w:p>
    <w:p w14:paraId="19C68FBC">
      <w:pPr>
        <w:pStyle w:val="6"/>
        <w:rPr>
          <w:color w:val="auto"/>
          <w:highlight w:val="none"/>
        </w:rPr>
      </w:pPr>
      <w:r>
        <w:rPr>
          <w:rFonts w:hint="eastAsia"/>
          <w:color w:val="auto"/>
          <w:highlight w:val="none"/>
        </w:rPr>
        <w:t>配合</w:t>
      </w:r>
      <w:r>
        <w:rPr>
          <w:rFonts w:hint="eastAsia"/>
          <w:color w:val="auto"/>
          <w:highlight w:val="none"/>
          <w:lang w:eastAsia="zh-CN"/>
        </w:rPr>
        <w:t>报价人</w:t>
      </w:r>
      <w:r>
        <w:rPr>
          <w:rFonts w:hint="eastAsia"/>
          <w:color w:val="auto"/>
          <w:highlight w:val="none"/>
        </w:rPr>
        <w:t>完成项目工作，并组织验收。</w:t>
      </w:r>
    </w:p>
    <w:p w14:paraId="3A8A10AF">
      <w:pPr>
        <w:pStyle w:val="3"/>
        <w:rPr>
          <w:color w:val="auto"/>
          <w:highlight w:val="none"/>
        </w:rPr>
      </w:pPr>
      <w:bookmarkStart w:id="5" w:name="_Toc353115667"/>
      <w:bookmarkStart w:id="6" w:name="_Toc351129172"/>
      <w:bookmarkStart w:id="7" w:name="_Toc2418692"/>
      <w:r>
        <w:rPr>
          <w:rFonts w:hint="eastAsia"/>
          <w:color w:val="auto"/>
          <w:highlight w:val="none"/>
        </w:rPr>
        <w:t>应遵循的主要标准</w:t>
      </w:r>
      <w:bookmarkEnd w:id="5"/>
      <w:bookmarkEnd w:id="6"/>
      <w:bookmarkEnd w:id="7"/>
    </w:p>
    <w:p w14:paraId="565815A4">
      <w:pPr>
        <w:ind w:firstLine="420"/>
        <w:rPr>
          <w:rFonts w:hint="eastAsia"/>
          <w:color w:val="auto"/>
          <w:highlight w:val="none"/>
        </w:rPr>
      </w:pPr>
      <w:r>
        <w:rPr>
          <w:rFonts w:hint="eastAsia"/>
          <w:color w:val="auto"/>
          <w:highlight w:val="none"/>
          <w:lang w:eastAsia="zh-CN"/>
        </w:rPr>
        <w:t>报价人</w:t>
      </w:r>
      <w:r>
        <w:rPr>
          <w:rFonts w:hint="eastAsia"/>
          <w:color w:val="auto"/>
          <w:highlight w:val="none"/>
        </w:rPr>
        <w:t>在维护工作过程中提供的所有服务、技术支持、工作产品，除本规范书中规定的技术参数和要求外，其余均应遵照最新版本的国际电信联盟(ITU)、国际电工委员会标准(IEC)、国际公制(SI)、国际标准化组织（ISO）、国家标准及广西电网有限责任公司的相关管理制度。如果</w:t>
      </w:r>
      <w:r>
        <w:rPr>
          <w:rFonts w:hint="eastAsia"/>
          <w:color w:val="auto"/>
          <w:highlight w:val="none"/>
          <w:lang w:eastAsia="zh-CN"/>
        </w:rPr>
        <w:t>报价人</w:t>
      </w:r>
      <w:r>
        <w:rPr>
          <w:rFonts w:hint="eastAsia"/>
          <w:color w:val="auto"/>
          <w:highlight w:val="none"/>
        </w:rPr>
        <w:t>有自己的标准或规范经</w:t>
      </w:r>
      <w:r>
        <w:rPr>
          <w:rFonts w:hint="eastAsia"/>
          <w:color w:val="auto"/>
          <w:highlight w:val="none"/>
          <w:lang w:eastAsia="zh-CN"/>
        </w:rPr>
        <w:t>采购人</w:t>
      </w:r>
      <w:r>
        <w:rPr>
          <w:rFonts w:hint="eastAsia"/>
          <w:color w:val="auto"/>
          <w:highlight w:val="none"/>
        </w:rPr>
        <w:t>同意方可采用，但原则上均不能低于上述标准的有关规定，特别是这些规定或规程中互相矛盾的地方，应先征得</w:t>
      </w:r>
      <w:r>
        <w:rPr>
          <w:rFonts w:hint="eastAsia"/>
          <w:color w:val="auto"/>
          <w:highlight w:val="none"/>
          <w:lang w:eastAsia="zh-CN"/>
        </w:rPr>
        <w:t>采购人</w:t>
      </w:r>
      <w:r>
        <w:rPr>
          <w:rFonts w:hint="eastAsia"/>
          <w:color w:val="auto"/>
          <w:highlight w:val="none"/>
        </w:rPr>
        <w:t>同意，再开展维护工作。本项目的工作应遵循以下标准和文件要求：</w:t>
      </w:r>
    </w:p>
    <w:tbl>
      <w:tblPr>
        <w:tblStyle w:val="19"/>
        <w:tblW w:w="8545" w:type="dxa"/>
        <w:tblInd w:w="0" w:type="dxa"/>
        <w:shd w:val="clear" w:color="auto" w:fill="auto"/>
        <w:tblLayout w:type="fixed"/>
        <w:tblCellMar>
          <w:top w:w="0" w:type="dxa"/>
          <w:left w:w="0" w:type="dxa"/>
          <w:bottom w:w="0" w:type="dxa"/>
          <w:right w:w="0" w:type="dxa"/>
        </w:tblCellMar>
      </w:tblPr>
      <w:tblGrid>
        <w:gridCol w:w="2668"/>
        <w:gridCol w:w="5877"/>
      </w:tblGrid>
      <w:tr w14:paraId="61B13721">
        <w:tblPrEx>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F52104A">
            <w:pPr>
              <w:keepNext w:val="0"/>
              <w:keepLines w:val="0"/>
              <w:widowControl/>
              <w:suppressLineNumbers w:val="0"/>
              <w:spacing w:line="240" w:lineRule="auto"/>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标准号或文号</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4A74CFC">
            <w:pPr>
              <w:keepNext w:val="0"/>
              <w:keepLines w:val="0"/>
              <w:widowControl/>
              <w:suppressLineNumbers w:val="0"/>
              <w:spacing w:line="240" w:lineRule="auto"/>
              <w:jc w:val="center"/>
              <w:textAlignment w:val="center"/>
              <w:rPr>
                <w:rFonts w:hint="eastAsia" w:ascii="宋体" w:hAnsi="宋体" w:eastAsia="宋体" w:cs="宋体"/>
                <w:b/>
                <w:i w:val="0"/>
                <w:color w:val="auto"/>
                <w:sz w:val="24"/>
                <w:szCs w:val="24"/>
                <w:highlight w:val="none"/>
                <w:u w:val="none"/>
              </w:rPr>
            </w:pPr>
            <w:r>
              <w:rPr>
                <w:rFonts w:hint="eastAsia" w:ascii="宋体" w:hAnsi="宋体" w:eastAsia="宋体" w:cs="宋体"/>
                <w:b/>
                <w:i w:val="0"/>
                <w:color w:val="auto"/>
                <w:kern w:val="0"/>
                <w:sz w:val="24"/>
                <w:szCs w:val="24"/>
                <w:highlight w:val="none"/>
                <w:u w:val="none"/>
                <w:lang w:val="en-US" w:eastAsia="zh-CN" w:bidi="ar"/>
              </w:rPr>
              <w:t>标准名称</w:t>
            </w:r>
          </w:p>
        </w:tc>
      </w:tr>
      <w:tr w14:paraId="44E72039">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14:paraId="5E5587FC">
            <w:pPr>
              <w:keepNext w:val="0"/>
              <w:keepLines w:val="0"/>
              <w:widowControl/>
              <w:suppressLineNumbers w:val="0"/>
              <w:spacing w:line="240" w:lineRule="auto"/>
              <w:jc w:val="both"/>
              <w:textAlignment w:val="top"/>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Q/CSG2153078-2020</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38745BA">
            <w:pPr>
              <w:keepNext w:val="0"/>
              <w:keepLines w:val="0"/>
              <w:widowControl/>
              <w:suppressLineNumbers w:val="0"/>
              <w:spacing w:line="240" w:lineRule="auto"/>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中国南方电网有限责任公司信息化项目管理细则</w:t>
            </w:r>
          </w:p>
        </w:tc>
      </w:tr>
      <w:tr w14:paraId="1F315B80">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top"/>
          </w:tcPr>
          <w:p w14:paraId="68403DBF">
            <w:pPr>
              <w:keepNext w:val="0"/>
              <w:keepLines w:val="0"/>
              <w:widowControl/>
              <w:suppressLineNumbers w:val="0"/>
              <w:spacing w:line="240" w:lineRule="auto"/>
              <w:jc w:val="both"/>
              <w:textAlignment w:val="top"/>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Q/CSG2153080-2020</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046A227">
            <w:pPr>
              <w:keepNext w:val="0"/>
              <w:keepLines w:val="0"/>
              <w:widowControl/>
              <w:suppressLineNumbers w:val="0"/>
              <w:spacing w:line="240" w:lineRule="auto"/>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中国南方电网有限责任公司信息化项目建设管理细则</w:t>
            </w:r>
          </w:p>
        </w:tc>
      </w:tr>
      <w:tr w14:paraId="5489B252">
        <w:tblPrEx>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5CC9C66">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Q/CSG-GXPG2IT002-2019</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2BEFA15">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广西电网有限责任公司网络安全管理细则</w:t>
            </w:r>
          </w:p>
        </w:tc>
      </w:tr>
      <w:tr w14:paraId="0C8B346E">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BB58DE5">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Q/CSG218018-2014</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B13480D">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中国南方电网有限责任公司数据质量管理细则</w:t>
            </w:r>
          </w:p>
        </w:tc>
      </w:tr>
      <w:tr w14:paraId="2726869D">
        <w:tblPrEx>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69220B0">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Q/CSG218005-2018</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253BEAC">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中国南方电网有限责任公司数据资产管理办法</w:t>
            </w:r>
          </w:p>
        </w:tc>
      </w:tr>
      <w:tr w14:paraId="0E2E850A">
        <w:tblPrEx>
          <w:shd w:val="clear" w:color="auto" w:fill="auto"/>
          <w:tblCellMar>
            <w:top w:w="0" w:type="dxa"/>
            <w:left w:w="0" w:type="dxa"/>
            <w:bottom w:w="0" w:type="dxa"/>
            <w:right w:w="0" w:type="dxa"/>
          </w:tblCellMar>
        </w:tblPrEx>
        <w:trPr>
          <w:trHeight w:val="206"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EEF9A1B">
            <w:pPr>
              <w:spacing w:line="240" w:lineRule="auto"/>
              <w:rPr>
                <w:rFonts w:hint="eastAsia" w:ascii="宋体" w:hAnsi="宋体" w:eastAsia="宋体" w:cs="宋体"/>
                <w:i w:val="0"/>
                <w:color w:val="auto"/>
                <w:sz w:val="24"/>
                <w:szCs w:val="24"/>
                <w:highlight w:val="none"/>
                <w:u w:val="none"/>
              </w:rPr>
            </w:pP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491B6151">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中国南方电网有限责任公司数据认责管理细则</w:t>
            </w:r>
          </w:p>
        </w:tc>
      </w:tr>
      <w:tr w14:paraId="07FD2E3E">
        <w:tblPrEx>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0414D3B">
            <w:pPr>
              <w:spacing w:line="240" w:lineRule="auto"/>
              <w:rPr>
                <w:rFonts w:hint="eastAsia" w:ascii="宋体" w:hAnsi="宋体" w:eastAsia="宋体" w:cs="宋体"/>
                <w:i w:val="0"/>
                <w:color w:val="auto"/>
                <w:sz w:val="24"/>
                <w:szCs w:val="24"/>
                <w:highlight w:val="none"/>
                <w:u w:val="none"/>
              </w:rPr>
            </w:pP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73A421C2">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中国南方电网有限责任公司数据采集与运维管理细则</w:t>
            </w:r>
          </w:p>
        </w:tc>
      </w:tr>
      <w:tr w14:paraId="4F1B4098">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04101A06">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Q/CSG-GXPG2IT003-2019</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DC51C6B">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广西电网有限责任公司数据安全管理细则</w:t>
            </w:r>
          </w:p>
        </w:tc>
      </w:tr>
      <w:tr w14:paraId="5FDB1FAB">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4075513">
            <w:pPr>
              <w:keepNext w:val="0"/>
              <w:keepLines w:val="0"/>
              <w:widowControl/>
              <w:suppressLineNumbers w:val="0"/>
              <w:spacing w:line="240" w:lineRule="auto"/>
              <w:jc w:val="left"/>
              <w:textAlignment w:val="center"/>
              <w:rPr>
                <w:rFonts w:hint="eastAsia" w:ascii="宋体" w:hAnsi="宋体" w:eastAsia="宋体" w:cs="宋体"/>
                <w:i w:val="0"/>
                <w:strike/>
                <w:dstrike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Q/CSG-GXPG2IT004-2019</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5C5E533C">
            <w:pPr>
              <w:keepNext w:val="0"/>
              <w:keepLines w:val="0"/>
              <w:widowControl/>
              <w:suppressLineNumbers w:val="0"/>
              <w:spacing w:line="240" w:lineRule="auto"/>
              <w:jc w:val="left"/>
              <w:textAlignment w:val="center"/>
              <w:rPr>
                <w:rFonts w:hint="eastAsia" w:ascii="宋体" w:hAnsi="宋体" w:eastAsia="宋体" w:cs="宋体"/>
                <w:i w:val="0"/>
                <w:strike/>
                <w:dstrike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广西电网有限责任公司数据共享开放实施细则</w:t>
            </w:r>
          </w:p>
        </w:tc>
      </w:tr>
      <w:tr w14:paraId="165ECF63">
        <w:tblPrEx>
          <w:tblCellMar>
            <w:top w:w="0" w:type="dxa"/>
            <w:left w:w="0" w:type="dxa"/>
            <w:bottom w:w="0" w:type="dxa"/>
            <w:right w:w="0" w:type="dxa"/>
          </w:tblCellMar>
        </w:tblPrEx>
        <w:trPr>
          <w:trHeight w:val="184"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28AA7345">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Q/CSG-GXPG2IT005-2019</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0BB4E47">
            <w:pPr>
              <w:keepNext w:val="0"/>
              <w:keepLines w:val="0"/>
              <w:widowControl/>
              <w:suppressLineNumbers w:val="0"/>
              <w:spacing w:line="240" w:lineRule="auto"/>
              <w:jc w:val="left"/>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广西电网有限责任公司数据运行维护管理细则</w:t>
            </w:r>
          </w:p>
        </w:tc>
      </w:tr>
      <w:tr w14:paraId="687A3FC5">
        <w:tblPrEx>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8B4A99">
            <w:pPr>
              <w:keepNext w:val="0"/>
              <w:keepLines w:val="0"/>
              <w:widowControl/>
              <w:suppressLineNumbers w:val="0"/>
              <w:spacing w:line="240" w:lineRule="auto"/>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Q/CSG-GXPG218007-2014</w:t>
            </w: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113DF227">
            <w:pPr>
              <w:keepNext w:val="0"/>
              <w:keepLines w:val="0"/>
              <w:widowControl/>
              <w:suppressLineNumbers w:val="0"/>
              <w:spacing w:line="240" w:lineRule="auto"/>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广西电网有限责任公司IT服务管理细则</w:t>
            </w:r>
          </w:p>
        </w:tc>
      </w:tr>
      <w:tr w14:paraId="61B24E4C">
        <w:tblPrEx>
          <w:shd w:val="clear" w:color="auto" w:fill="auto"/>
          <w:tblCellMar>
            <w:top w:w="0" w:type="dxa"/>
            <w:left w:w="0" w:type="dxa"/>
            <w:bottom w:w="0" w:type="dxa"/>
            <w:right w:w="0" w:type="dxa"/>
          </w:tblCellMar>
        </w:tblPrEx>
        <w:trPr>
          <w:trHeight w:val="312" w:hRule="atLeast"/>
        </w:trPr>
        <w:tc>
          <w:tcPr>
            <w:tcW w:w="2668"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61DC965E">
            <w:pPr>
              <w:spacing w:line="240" w:lineRule="auto"/>
              <w:jc w:val="both"/>
              <w:rPr>
                <w:rFonts w:hint="eastAsia" w:ascii="宋体" w:hAnsi="宋体" w:eastAsia="宋体" w:cs="宋体"/>
                <w:i w:val="0"/>
                <w:color w:val="auto"/>
                <w:sz w:val="24"/>
                <w:szCs w:val="24"/>
                <w:highlight w:val="none"/>
                <w:u w:val="none"/>
              </w:rPr>
            </w:pPr>
          </w:p>
        </w:tc>
        <w:tc>
          <w:tcPr>
            <w:tcW w:w="5877"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14:paraId="355E7E4C">
            <w:pPr>
              <w:keepNext w:val="0"/>
              <w:keepLines w:val="0"/>
              <w:widowControl/>
              <w:suppressLineNumbers w:val="0"/>
              <w:spacing w:line="240" w:lineRule="auto"/>
              <w:jc w:val="both"/>
              <w:textAlignment w:val="center"/>
              <w:rPr>
                <w:rFonts w:hint="eastAsia" w:ascii="宋体" w:hAnsi="宋体" w:eastAsia="宋体" w:cs="宋体"/>
                <w:i w:val="0"/>
                <w:color w:val="auto"/>
                <w:sz w:val="24"/>
                <w:szCs w:val="24"/>
                <w:highlight w:val="none"/>
                <w:u w:val="none"/>
              </w:rPr>
            </w:pPr>
            <w:r>
              <w:rPr>
                <w:rFonts w:hint="eastAsia" w:ascii="宋体" w:hAnsi="宋体" w:eastAsia="宋体" w:cs="宋体"/>
                <w:i w:val="0"/>
                <w:color w:val="auto"/>
                <w:kern w:val="0"/>
                <w:sz w:val="22"/>
                <w:szCs w:val="22"/>
                <w:highlight w:val="none"/>
                <w:u w:val="none"/>
                <w:lang w:val="en-US" w:eastAsia="zh-CN" w:bidi="ar"/>
              </w:rPr>
              <w:t>信息中心信息作业安全管理工作指引</w:t>
            </w:r>
          </w:p>
        </w:tc>
      </w:tr>
    </w:tbl>
    <w:p w14:paraId="6086A941">
      <w:pPr>
        <w:pStyle w:val="3"/>
        <w:rPr>
          <w:rFonts w:hint="eastAsia"/>
          <w:color w:val="auto"/>
          <w:highlight w:val="none"/>
        </w:rPr>
      </w:pPr>
      <w:bookmarkStart w:id="8" w:name="_Toc353115666"/>
      <w:bookmarkStart w:id="9" w:name="_Toc13113"/>
      <w:r>
        <w:rPr>
          <w:rFonts w:hint="eastAsia"/>
          <w:color w:val="auto"/>
          <w:highlight w:val="none"/>
        </w:rPr>
        <w:t>项目概述</w:t>
      </w:r>
      <w:bookmarkEnd w:id="8"/>
      <w:bookmarkEnd w:id="9"/>
    </w:p>
    <w:p w14:paraId="79BB0609">
      <w:pPr>
        <w:ind w:firstLine="420"/>
        <w:rPr>
          <w:rFonts w:hint="eastAsia"/>
          <w:color w:val="auto"/>
          <w:highlight w:val="none"/>
        </w:rPr>
      </w:pPr>
      <w:bookmarkStart w:id="10" w:name="_Toc291008593"/>
      <w:bookmarkStart w:id="11" w:name="_Toc318801133"/>
      <w:bookmarkStart w:id="12" w:name="_Toc6543"/>
      <w:r>
        <w:rPr>
          <w:rFonts w:hint="eastAsia" w:hAnsi="宋体"/>
          <w:color w:val="auto"/>
          <w:highlight w:val="none"/>
        </w:rPr>
        <w:t>为确保</w:t>
      </w:r>
      <w:r>
        <w:rPr>
          <w:rFonts w:hint="eastAsia" w:asciiTheme="minorEastAsia" w:hAnsiTheme="minorEastAsia" w:eastAsiaTheme="minorEastAsia" w:cstheme="minorEastAsia"/>
          <w:sz w:val="24"/>
          <w:szCs w:val="24"/>
          <w:lang w:val="en-US" w:eastAsia="zh-CN"/>
        </w:rPr>
        <w:t>用户行为分析平台</w:t>
      </w:r>
      <w:r>
        <w:rPr>
          <w:rFonts w:hint="eastAsia" w:hAnsi="宋体"/>
          <w:color w:val="auto"/>
          <w:highlight w:val="none"/>
        </w:rPr>
        <w:t>得到有效的监管和安全稳定运行，迫切需要开展</w:t>
      </w:r>
      <w:r>
        <w:rPr>
          <w:rFonts w:hint="eastAsia" w:asciiTheme="minorEastAsia" w:hAnsiTheme="minorEastAsia" w:eastAsiaTheme="minorEastAsia" w:cstheme="minorEastAsia"/>
          <w:sz w:val="24"/>
          <w:szCs w:val="24"/>
          <w:lang w:val="en-US" w:eastAsia="zh-CN"/>
        </w:rPr>
        <w:t>用户行为分析平台设备软件升级服务</w:t>
      </w:r>
      <w:r>
        <w:rPr>
          <w:rFonts w:hint="eastAsia" w:hAnsi="宋体"/>
          <w:color w:val="auto"/>
          <w:highlight w:val="none"/>
        </w:rPr>
        <w:t>项目</w:t>
      </w:r>
      <w:r>
        <w:rPr>
          <w:rFonts w:hint="eastAsia" w:cs="宋体"/>
          <w:color w:val="auto"/>
          <w:highlight w:val="none"/>
          <w:lang w:val="zh-CN"/>
        </w:rPr>
        <w:t>，确保</w:t>
      </w:r>
      <w:r>
        <w:rPr>
          <w:rFonts w:hint="eastAsia" w:hAnsi="宋体"/>
          <w:color w:val="auto"/>
          <w:highlight w:val="none"/>
          <w:lang w:eastAsia="zh-CN"/>
        </w:rPr>
        <w:t>平台</w:t>
      </w:r>
      <w:r>
        <w:rPr>
          <w:rFonts w:hint="eastAsia" w:cs="宋体"/>
          <w:color w:val="auto"/>
          <w:highlight w:val="none"/>
          <w:lang w:val="zh-CN"/>
        </w:rPr>
        <w:t>正常运行，保证业务连续性</w:t>
      </w:r>
      <w:r>
        <w:rPr>
          <w:rFonts w:hint="eastAsia"/>
          <w:color w:val="auto"/>
          <w:highlight w:val="none"/>
        </w:rPr>
        <w:t>。</w:t>
      </w:r>
    </w:p>
    <w:bookmarkEnd w:id="10"/>
    <w:bookmarkEnd w:id="11"/>
    <w:p w14:paraId="518449DA">
      <w:pPr>
        <w:pStyle w:val="3"/>
        <w:rPr>
          <w:color w:val="auto"/>
          <w:highlight w:val="none"/>
        </w:rPr>
      </w:pPr>
      <w:r>
        <w:rPr>
          <w:rFonts w:hint="eastAsia"/>
          <w:color w:val="auto"/>
          <w:highlight w:val="none"/>
        </w:rPr>
        <w:t>范围和内容</w:t>
      </w:r>
      <w:bookmarkEnd w:id="12"/>
    </w:p>
    <w:p w14:paraId="0A7AE541">
      <w:pPr>
        <w:ind w:firstLine="420"/>
        <w:rPr>
          <w:rFonts w:hint="eastAsia"/>
          <w:color w:val="auto"/>
          <w:highlight w:val="none"/>
        </w:rPr>
      </w:pPr>
      <w:r>
        <w:rPr>
          <w:rFonts w:hint="eastAsia"/>
          <w:color w:val="auto"/>
          <w:highlight w:val="none"/>
        </w:rPr>
        <w:t>本项目的维护期</w:t>
      </w:r>
      <w:r>
        <w:rPr>
          <w:rFonts w:hint="eastAsia"/>
          <w:color w:val="auto"/>
          <w:highlight w:val="none"/>
          <w:lang w:val="en-US" w:eastAsia="zh-CN"/>
        </w:rPr>
        <w:t>自合同签订起至2026年8月31日</w:t>
      </w:r>
      <w:r>
        <w:rPr>
          <w:rFonts w:hint="eastAsia"/>
          <w:color w:val="auto"/>
          <w:highlight w:val="none"/>
        </w:rPr>
        <w:t>，在信息机房开展</w:t>
      </w:r>
      <w:r>
        <w:rPr>
          <w:rFonts w:hint="eastAsia" w:asciiTheme="minorEastAsia" w:hAnsiTheme="minorEastAsia" w:eastAsiaTheme="minorEastAsia" w:cstheme="minorEastAsia"/>
          <w:sz w:val="24"/>
          <w:szCs w:val="24"/>
          <w:lang w:val="en-US" w:eastAsia="zh-CN"/>
        </w:rPr>
        <w:t>用户行为分析平台设备软件升级服务</w:t>
      </w:r>
      <w:r>
        <w:rPr>
          <w:rFonts w:hint="eastAsia"/>
          <w:color w:val="auto"/>
          <w:highlight w:val="none"/>
        </w:rPr>
        <w:t>工作</w:t>
      </w:r>
      <w:r>
        <w:rPr>
          <w:rFonts w:hint="eastAsia" w:ascii="宋体" w:hAnsi="宋体" w:eastAsia="宋体" w:cs="宋体"/>
          <w:color w:val="000000"/>
          <w:sz w:val="24"/>
          <w:lang w:val="en-US" w:eastAsia="zh-CN"/>
        </w:rPr>
        <w:t>。</w:t>
      </w:r>
    </w:p>
    <w:p w14:paraId="6F4363E9">
      <w:pPr>
        <w:ind w:firstLine="420"/>
        <w:rPr>
          <w:rFonts w:hint="eastAsia"/>
          <w:color w:val="auto"/>
          <w:highlight w:val="none"/>
        </w:rPr>
      </w:pPr>
      <w:r>
        <w:rPr>
          <w:rFonts w:hint="eastAsia"/>
          <w:color w:val="auto"/>
          <w:highlight w:val="none"/>
        </w:rPr>
        <w:t>本次采购的范围和内容如下：</w:t>
      </w:r>
    </w:p>
    <w:tbl>
      <w:tblPr>
        <w:tblStyle w:val="19"/>
        <w:tblW w:w="8538" w:type="dxa"/>
        <w:tblInd w:w="0" w:type="dxa"/>
        <w:tblLayout w:type="fixed"/>
        <w:tblCellMar>
          <w:top w:w="0" w:type="dxa"/>
          <w:left w:w="108" w:type="dxa"/>
          <w:bottom w:w="0" w:type="dxa"/>
          <w:right w:w="108" w:type="dxa"/>
        </w:tblCellMar>
      </w:tblPr>
      <w:tblGrid>
        <w:gridCol w:w="719"/>
        <w:gridCol w:w="5413"/>
        <w:gridCol w:w="973"/>
        <w:gridCol w:w="1433"/>
      </w:tblGrid>
      <w:tr w14:paraId="78FEC5C0">
        <w:trPr>
          <w:trHeight w:val="637" w:hRule="atLeast"/>
          <w:tblHeader/>
        </w:trPr>
        <w:tc>
          <w:tcPr>
            <w:tcW w:w="719" w:type="dxa"/>
            <w:tcBorders>
              <w:top w:val="single" w:color="auto" w:sz="8" w:space="0"/>
              <w:left w:val="single" w:color="auto" w:sz="8" w:space="0"/>
              <w:bottom w:val="single" w:color="auto" w:sz="8" w:space="0"/>
              <w:right w:val="single" w:color="auto" w:sz="8" w:space="0"/>
            </w:tcBorders>
            <w:vAlign w:val="center"/>
          </w:tcPr>
          <w:p w14:paraId="6DBC29F7">
            <w:pPr>
              <w:widowControl/>
              <w:spacing w:line="24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5413" w:type="dxa"/>
            <w:tcBorders>
              <w:top w:val="single" w:color="auto" w:sz="8" w:space="0"/>
              <w:left w:val="nil"/>
              <w:bottom w:val="single" w:color="auto" w:sz="8" w:space="0"/>
              <w:right w:val="single" w:color="auto" w:sz="8" w:space="0"/>
            </w:tcBorders>
            <w:vAlign w:val="center"/>
          </w:tcPr>
          <w:p w14:paraId="576F6EB4">
            <w:pPr>
              <w:widowControl/>
              <w:spacing w:line="24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内容</w:t>
            </w:r>
          </w:p>
        </w:tc>
        <w:tc>
          <w:tcPr>
            <w:tcW w:w="973" w:type="dxa"/>
            <w:tcBorders>
              <w:top w:val="single" w:color="auto" w:sz="8" w:space="0"/>
              <w:left w:val="nil"/>
              <w:bottom w:val="single" w:color="auto" w:sz="8" w:space="0"/>
              <w:right w:val="single" w:color="auto" w:sz="8" w:space="0"/>
            </w:tcBorders>
            <w:vAlign w:val="center"/>
          </w:tcPr>
          <w:p w14:paraId="79C71A64">
            <w:pPr>
              <w:widowControl/>
              <w:spacing w:line="24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数量</w:t>
            </w:r>
          </w:p>
        </w:tc>
        <w:tc>
          <w:tcPr>
            <w:tcW w:w="1433" w:type="dxa"/>
            <w:tcBorders>
              <w:top w:val="single" w:color="auto" w:sz="8" w:space="0"/>
              <w:left w:val="nil"/>
              <w:bottom w:val="single" w:color="auto" w:sz="8" w:space="0"/>
              <w:right w:val="single" w:color="auto" w:sz="8" w:space="0"/>
            </w:tcBorders>
            <w:vAlign w:val="center"/>
          </w:tcPr>
          <w:p w14:paraId="12551121">
            <w:pPr>
              <w:widowControl/>
              <w:spacing w:line="240"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单位</w:t>
            </w:r>
          </w:p>
        </w:tc>
      </w:tr>
      <w:tr w14:paraId="2C4E5BDB">
        <w:tblPrEx>
          <w:tblCellMar>
            <w:top w:w="0" w:type="dxa"/>
            <w:left w:w="108" w:type="dxa"/>
            <w:bottom w:w="0" w:type="dxa"/>
            <w:right w:w="108" w:type="dxa"/>
          </w:tblCellMar>
        </w:tblPrEx>
        <w:trPr>
          <w:trHeight w:val="1487" w:hRule="atLeast"/>
          <w:tblHeader/>
        </w:trPr>
        <w:tc>
          <w:tcPr>
            <w:tcW w:w="719" w:type="dxa"/>
            <w:tcBorders>
              <w:top w:val="single" w:color="auto" w:sz="8" w:space="0"/>
              <w:left w:val="single" w:color="auto" w:sz="8" w:space="0"/>
              <w:bottom w:val="single" w:color="auto" w:sz="8" w:space="0"/>
              <w:right w:val="single" w:color="auto" w:sz="8" w:space="0"/>
            </w:tcBorders>
            <w:vAlign w:val="center"/>
          </w:tcPr>
          <w:p w14:paraId="1A1DEFCC">
            <w:pPr>
              <w:widowControl/>
              <w:spacing w:line="240" w:lineRule="auto"/>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c>
          <w:tcPr>
            <w:tcW w:w="5413" w:type="dxa"/>
            <w:tcBorders>
              <w:top w:val="single" w:color="auto" w:sz="8" w:space="0"/>
              <w:left w:val="nil"/>
              <w:bottom w:val="single" w:color="auto" w:sz="8" w:space="0"/>
              <w:right w:val="single" w:color="auto" w:sz="8" w:space="0"/>
            </w:tcBorders>
            <w:vAlign w:val="center"/>
          </w:tcPr>
          <w:p w14:paraId="1CAC069D">
            <w:pPr>
              <w:pStyle w:val="2"/>
              <w:rPr>
                <w:rFonts w:hint="default"/>
                <w:lang w:val="en-US" w:eastAsia="zh-CN"/>
              </w:rPr>
            </w:pPr>
            <w:r>
              <w:rPr>
                <w:rFonts w:hint="eastAsia" w:asciiTheme="minorEastAsia" w:hAnsiTheme="minorEastAsia" w:eastAsiaTheme="minorEastAsia" w:cstheme="minorEastAsia"/>
                <w:sz w:val="24"/>
                <w:szCs w:val="24"/>
                <w:lang w:val="en-US" w:eastAsia="zh-CN"/>
              </w:rPr>
              <w:t>对用户行为分析平台（启明星辰BDLab-VUA-51526）进行异常定位、配置调整、故障分析、软件版本升级、漏洞整改等单次软件技术服务。</w:t>
            </w:r>
          </w:p>
        </w:tc>
        <w:tc>
          <w:tcPr>
            <w:tcW w:w="973" w:type="dxa"/>
            <w:tcBorders>
              <w:top w:val="single" w:color="auto" w:sz="8" w:space="0"/>
              <w:left w:val="nil"/>
              <w:bottom w:val="single" w:color="auto" w:sz="8" w:space="0"/>
              <w:right w:val="single" w:color="auto" w:sz="8" w:space="0"/>
            </w:tcBorders>
            <w:vAlign w:val="center"/>
          </w:tcPr>
          <w:p w14:paraId="2D37E0E5">
            <w:pPr>
              <w:widowControl/>
              <w:spacing w:line="240" w:lineRule="auto"/>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1</w:t>
            </w:r>
          </w:p>
        </w:tc>
        <w:tc>
          <w:tcPr>
            <w:tcW w:w="1433" w:type="dxa"/>
            <w:tcBorders>
              <w:top w:val="single" w:color="auto" w:sz="8" w:space="0"/>
              <w:left w:val="nil"/>
              <w:bottom w:val="single" w:color="auto" w:sz="8" w:space="0"/>
              <w:right w:val="single" w:color="auto" w:sz="8" w:space="0"/>
            </w:tcBorders>
            <w:vAlign w:val="center"/>
          </w:tcPr>
          <w:p w14:paraId="35AFD6A3">
            <w:pPr>
              <w:widowControl/>
              <w:spacing w:line="240" w:lineRule="auto"/>
              <w:jc w:val="center"/>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项</w:t>
            </w:r>
          </w:p>
        </w:tc>
      </w:tr>
    </w:tbl>
    <w:p w14:paraId="49C5764C">
      <w:pPr>
        <w:pStyle w:val="3"/>
        <w:rPr>
          <w:rFonts w:hint="eastAsia"/>
          <w:color w:val="auto"/>
          <w:highlight w:val="none"/>
        </w:rPr>
      </w:pPr>
      <w:bookmarkStart w:id="13" w:name="_Toc353115668"/>
      <w:bookmarkStart w:id="14" w:name="_Toc2418695"/>
      <w:r>
        <w:rPr>
          <w:rFonts w:hint="eastAsia"/>
          <w:color w:val="auto"/>
          <w:highlight w:val="none"/>
        </w:rPr>
        <w:t>总体要求</w:t>
      </w:r>
      <w:bookmarkEnd w:id="13"/>
      <w:bookmarkEnd w:id="14"/>
    </w:p>
    <w:p w14:paraId="6ADA993B">
      <w:pPr>
        <w:pStyle w:val="6"/>
        <w:numPr>
          <w:ilvl w:val="0"/>
          <w:numId w:val="0"/>
        </w:numPr>
        <w:rPr>
          <w:color w:val="auto"/>
          <w:highlight w:val="none"/>
        </w:rPr>
      </w:pPr>
      <w:r>
        <w:rPr>
          <w:rFonts w:hint="eastAsia"/>
          <w:color w:val="auto"/>
          <w:highlight w:val="none"/>
          <w:lang w:eastAsia="zh-CN"/>
        </w:rPr>
        <w:t>报价人</w:t>
      </w:r>
      <w:r>
        <w:rPr>
          <w:rFonts w:hint="eastAsia"/>
          <w:color w:val="auto"/>
          <w:highlight w:val="none"/>
        </w:rPr>
        <w:t>必须响应并承诺下列要求。</w:t>
      </w:r>
    </w:p>
    <w:p w14:paraId="78E670B7">
      <w:pPr>
        <w:pStyle w:val="4"/>
        <w:rPr>
          <w:rFonts w:hint="eastAsia"/>
          <w:color w:val="auto"/>
          <w:highlight w:val="none"/>
        </w:rPr>
      </w:pPr>
      <w:bookmarkStart w:id="15" w:name="_Toc444433312"/>
      <w:bookmarkStart w:id="16" w:name="_Toc444066442"/>
      <w:bookmarkStart w:id="17" w:name="_Toc477377752"/>
      <w:bookmarkStart w:id="18" w:name="_Toc477294428"/>
      <w:bookmarkStart w:id="19" w:name="_Toc477370871"/>
      <w:bookmarkStart w:id="20" w:name="_Toc477266265"/>
      <w:bookmarkStart w:id="21" w:name="_Toc477294529"/>
      <w:bookmarkStart w:id="22" w:name="_Toc477095085"/>
      <w:r>
        <w:rPr>
          <w:rFonts w:hint="eastAsia"/>
          <w:b w:val="0"/>
          <w:color w:val="auto"/>
          <w:highlight w:val="none"/>
        </w:rPr>
        <w:t>本规范书指标要求中，凡标有下划线或加“★”的地方均被视为重要的技术指标要求或性能要求。</w:t>
      </w:r>
      <w:r>
        <w:rPr>
          <w:rFonts w:hint="eastAsia"/>
          <w:b w:val="0"/>
          <w:color w:val="auto"/>
          <w:highlight w:val="none"/>
          <w:lang w:eastAsia="zh-CN"/>
        </w:rPr>
        <w:t>报价人</w:t>
      </w:r>
      <w:r>
        <w:rPr>
          <w:rFonts w:hint="eastAsia"/>
          <w:b w:val="0"/>
          <w:color w:val="auto"/>
          <w:highlight w:val="none"/>
        </w:rPr>
        <w:t>要特别加以注意，必须完全满足这些要求。</w:t>
      </w:r>
      <w:bookmarkEnd w:id="15"/>
      <w:bookmarkEnd w:id="16"/>
      <w:bookmarkEnd w:id="17"/>
      <w:bookmarkEnd w:id="18"/>
      <w:bookmarkEnd w:id="19"/>
      <w:bookmarkEnd w:id="20"/>
      <w:bookmarkEnd w:id="21"/>
      <w:bookmarkEnd w:id="22"/>
    </w:p>
    <w:p w14:paraId="4FC36005">
      <w:pPr>
        <w:pStyle w:val="4"/>
        <w:jc w:val="left"/>
        <w:rPr>
          <w:rFonts w:hint="eastAsia"/>
          <w:color w:val="auto"/>
          <w:highlight w:val="none"/>
        </w:rPr>
      </w:pPr>
      <w:r>
        <w:rPr>
          <w:rFonts w:hint="eastAsia"/>
          <w:color w:val="auto"/>
          <w:highlight w:val="none"/>
          <w:lang w:val="en-US" w:eastAsia="zh-CN"/>
        </w:rPr>
        <w:t>维护方资格要求</w:t>
      </w:r>
    </w:p>
    <w:p w14:paraId="3F3E0E7F">
      <w:pPr>
        <w:pStyle w:val="6"/>
        <w:bidi w:val="0"/>
        <w:ind w:left="142" w:leftChars="0" w:firstLine="0" w:firstLineChars="0"/>
        <w:rPr>
          <w:rFonts w:hint="eastAsia"/>
          <w:lang w:val="en-US" w:eastAsia="zh-CN"/>
        </w:rPr>
      </w:pPr>
      <w:r>
        <w:rPr>
          <w:rFonts w:hint="eastAsia"/>
          <w:b w:val="0"/>
          <w:color w:val="auto"/>
          <w:highlight w:val="none"/>
        </w:rPr>
        <w:t>★</w:t>
      </w:r>
      <w:r>
        <w:rPr>
          <w:rFonts w:hint="eastAsia"/>
          <w:b w:val="0"/>
          <w:color w:val="auto"/>
          <w:highlight w:val="none"/>
          <w:lang w:val="en-US" w:eastAsia="zh-CN"/>
        </w:rPr>
        <w:t>具有</w:t>
      </w:r>
      <w:r>
        <w:rPr>
          <w:rFonts w:hint="eastAsia"/>
          <w:lang w:eastAsia="zh-CN"/>
        </w:rPr>
        <w:t>启明星辰</w:t>
      </w:r>
      <w:r>
        <w:rPr>
          <w:rFonts w:hint="eastAsia" w:asciiTheme="minorEastAsia" w:hAnsiTheme="minorEastAsia" w:eastAsiaTheme="minorEastAsia" w:cstheme="minorEastAsia"/>
          <w:sz w:val="24"/>
          <w:szCs w:val="24"/>
          <w:lang w:val="en-US" w:eastAsia="zh-CN"/>
        </w:rPr>
        <w:t>用户行为分析平台</w:t>
      </w:r>
      <w:r>
        <w:rPr>
          <w:rFonts w:hint="eastAsia"/>
          <w:lang w:val="en-US" w:eastAsia="zh-CN"/>
        </w:rPr>
        <w:t>维保技术支持经验及资质，并提供相关证明文件。</w:t>
      </w:r>
    </w:p>
    <w:p w14:paraId="1DBBB133">
      <w:pPr>
        <w:pStyle w:val="4"/>
        <w:jc w:val="left"/>
        <w:rPr>
          <w:rFonts w:hint="eastAsia"/>
          <w:color w:val="auto"/>
          <w:highlight w:val="none"/>
        </w:rPr>
      </w:pPr>
      <w:r>
        <w:rPr>
          <w:rFonts w:hint="eastAsia"/>
          <w:color w:val="auto"/>
          <w:highlight w:val="none"/>
        </w:rPr>
        <w:t>维护服务要求</w:t>
      </w:r>
    </w:p>
    <w:p w14:paraId="19FEFFDE">
      <w:pPr>
        <w:ind w:firstLine="480" w:firstLineChars="200"/>
        <w:rPr>
          <w:rFonts w:hint="eastAsia"/>
          <w:color w:val="auto"/>
          <w:highlight w:val="none"/>
        </w:rPr>
      </w:pPr>
      <w:r>
        <w:rPr>
          <w:rFonts w:hint="eastAsia"/>
          <w:b w:val="0"/>
          <w:color w:val="auto"/>
          <w:highlight w:val="none"/>
        </w:rPr>
        <w:t>★</w:t>
      </w:r>
      <w:r>
        <w:rPr>
          <w:rFonts w:hint="eastAsia"/>
          <w:color w:val="auto"/>
          <w:highlight w:val="none"/>
          <w:lang w:eastAsia="zh-CN"/>
        </w:rPr>
        <w:t>报价人</w:t>
      </w:r>
      <w:r>
        <w:rPr>
          <w:rFonts w:hint="eastAsia" w:ascii="宋体" w:hAnsi="宋体" w:eastAsia="宋体" w:cs="宋体"/>
          <w:color w:val="000000"/>
          <w:sz w:val="24"/>
          <w:lang w:val="en-US" w:eastAsia="zh-CN"/>
        </w:rPr>
        <w:t>在整个</w:t>
      </w:r>
      <w:r>
        <w:rPr>
          <w:rFonts w:hint="eastAsia" w:hAnsi="宋体" w:cs="宋体"/>
          <w:color w:val="000000"/>
          <w:sz w:val="24"/>
          <w:lang w:val="en-US" w:eastAsia="zh-CN"/>
        </w:rPr>
        <w:t>合同</w:t>
      </w:r>
      <w:r>
        <w:rPr>
          <w:rFonts w:hint="eastAsia" w:ascii="宋体" w:hAnsi="宋体" w:eastAsia="宋体" w:cs="宋体"/>
          <w:color w:val="000000"/>
          <w:sz w:val="24"/>
          <w:lang w:val="en-US" w:eastAsia="zh-CN"/>
        </w:rPr>
        <w:t>期间，</w:t>
      </w:r>
      <w:r>
        <w:rPr>
          <w:rFonts w:hint="eastAsia"/>
          <w:color w:val="auto"/>
          <w:highlight w:val="none"/>
          <w:lang w:eastAsia="zh-CN"/>
        </w:rPr>
        <w:t>报价人</w:t>
      </w:r>
      <w:r>
        <w:rPr>
          <w:rFonts w:hint="eastAsia" w:ascii="宋体" w:hAnsi="宋体" w:eastAsia="宋体" w:cs="宋体"/>
          <w:color w:val="000000"/>
          <w:sz w:val="24"/>
          <w:lang w:val="en-US" w:eastAsia="zh-CN"/>
        </w:rPr>
        <w:t>须及时响应和解决由</w:t>
      </w:r>
      <w:r>
        <w:rPr>
          <w:rFonts w:hint="eastAsia" w:hAnsi="宋体" w:cs="宋体"/>
          <w:color w:val="000000"/>
          <w:sz w:val="24"/>
          <w:lang w:val="en-US" w:eastAsia="zh-CN"/>
        </w:rPr>
        <w:t>采购人</w:t>
      </w:r>
      <w:r>
        <w:rPr>
          <w:rFonts w:hint="eastAsia" w:ascii="宋体" w:hAnsi="宋体" w:eastAsia="宋体" w:cs="宋体"/>
          <w:color w:val="000000"/>
          <w:sz w:val="24"/>
          <w:lang w:val="en-US" w:eastAsia="zh-CN"/>
        </w:rPr>
        <w:t>发起的</w:t>
      </w:r>
      <w:r>
        <w:rPr>
          <w:rFonts w:hint="eastAsia" w:hAnsi="宋体" w:cs="宋体"/>
          <w:color w:val="000000"/>
          <w:sz w:val="24"/>
          <w:lang w:val="en-US" w:eastAsia="zh-CN"/>
        </w:rPr>
        <w:t>服务请求</w:t>
      </w:r>
      <w:r>
        <w:rPr>
          <w:rFonts w:hint="eastAsia" w:ascii="宋体" w:hAnsi="宋体" w:eastAsia="宋体" w:cs="宋体"/>
          <w:color w:val="000000"/>
          <w:sz w:val="24"/>
          <w:lang w:val="en-US" w:eastAsia="zh-CN"/>
        </w:rPr>
        <w:t>，</w:t>
      </w:r>
      <w:r>
        <w:rPr>
          <w:rFonts w:hint="eastAsia"/>
          <w:color w:val="auto"/>
          <w:highlight w:val="none"/>
          <w:lang w:eastAsia="zh-CN"/>
        </w:rPr>
        <w:t>报价人</w:t>
      </w:r>
      <w:r>
        <w:rPr>
          <w:rFonts w:hint="eastAsia"/>
          <w:color w:val="auto"/>
          <w:highlight w:val="none"/>
        </w:rPr>
        <w:t>应在</w:t>
      </w:r>
      <w:r>
        <w:rPr>
          <w:rFonts w:hint="eastAsia"/>
          <w:color w:val="auto"/>
          <w:highlight w:val="none"/>
          <w:lang w:val="en-US" w:eastAsia="zh-CN"/>
        </w:rPr>
        <w:t>4小时</w:t>
      </w:r>
      <w:r>
        <w:rPr>
          <w:rFonts w:hint="eastAsia"/>
          <w:color w:val="auto"/>
          <w:highlight w:val="none"/>
        </w:rPr>
        <w:t>内响应，</w:t>
      </w:r>
      <w:r>
        <w:rPr>
          <w:rFonts w:hint="eastAsia"/>
          <w:color w:val="auto"/>
          <w:highlight w:val="none"/>
          <w:lang w:val="en-US" w:eastAsia="zh-CN"/>
        </w:rPr>
        <w:t>2天内安排人员进场</w:t>
      </w:r>
      <w:r>
        <w:rPr>
          <w:rFonts w:hint="eastAsia"/>
          <w:color w:val="auto"/>
          <w:highlight w:val="none"/>
        </w:rPr>
        <w:t>。</w:t>
      </w:r>
    </w:p>
    <w:p w14:paraId="1AFD31F4">
      <w:pPr>
        <w:pStyle w:val="4"/>
        <w:rPr>
          <w:rFonts w:hint="eastAsia"/>
          <w:b w:val="0"/>
          <w:color w:val="auto"/>
          <w:highlight w:val="none"/>
          <w:lang w:val="en-US" w:eastAsia="zh-CN"/>
        </w:rPr>
      </w:pPr>
      <w:r>
        <w:rPr>
          <w:rFonts w:hint="eastAsia"/>
          <w:b w:val="0"/>
          <w:color w:val="auto"/>
          <w:highlight w:val="none"/>
          <w:lang w:val="en-US" w:eastAsia="zh-CN"/>
        </w:rPr>
        <w:t>安全要求</w:t>
      </w:r>
    </w:p>
    <w:p w14:paraId="7624322E">
      <w:pPr>
        <w:bidi w:val="0"/>
        <w:ind w:firstLine="480" w:firstLineChars="200"/>
        <w:rPr>
          <w:rFonts w:hint="eastAsia"/>
          <w:color w:val="auto"/>
          <w:highlight w:val="none"/>
          <w:lang w:eastAsia="zh-CN"/>
        </w:rPr>
      </w:pPr>
      <w:r>
        <w:rPr>
          <w:rFonts w:hint="eastAsia"/>
          <w:color w:val="auto"/>
          <w:highlight w:val="none"/>
          <w:lang w:val="en-US" w:eastAsia="zh-CN"/>
        </w:rPr>
        <w:t>报价人及其产品和服务的提供者须承诺不利用提供产品和服务的便利条件非法获取用户数据、非法控制和操纵用户设备。无正当理由不中断产品供应或必要的技术支持服务等。</w:t>
      </w:r>
    </w:p>
    <w:p w14:paraId="2857D562">
      <w:pPr>
        <w:pStyle w:val="3"/>
        <w:rPr>
          <w:color w:val="auto"/>
          <w:highlight w:val="none"/>
        </w:rPr>
      </w:pPr>
      <w:bookmarkStart w:id="23" w:name="_Toc354640321"/>
      <w:bookmarkStart w:id="24" w:name="_Toc5274"/>
      <w:bookmarkStart w:id="25" w:name="_Toc351129175"/>
      <w:bookmarkStart w:id="26" w:name="_Toc360609689"/>
      <w:r>
        <w:rPr>
          <w:rFonts w:hint="eastAsia"/>
          <w:color w:val="auto"/>
          <w:highlight w:val="none"/>
        </w:rPr>
        <w:t>其他要求</w:t>
      </w:r>
      <w:bookmarkEnd w:id="23"/>
      <w:bookmarkEnd w:id="24"/>
      <w:bookmarkEnd w:id="25"/>
      <w:bookmarkEnd w:id="26"/>
    </w:p>
    <w:p w14:paraId="61B62401">
      <w:pPr>
        <w:pStyle w:val="4"/>
        <w:rPr>
          <w:color w:val="auto"/>
          <w:highlight w:val="none"/>
        </w:rPr>
      </w:pPr>
      <w:bookmarkStart w:id="27" w:name="_Toc477294542"/>
      <w:bookmarkStart w:id="28" w:name="_Toc477370881"/>
      <w:bookmarkStart w:id="29" w:name="_Toc477266279"/>
      <w:bookmarkStart w:id="30" w:name="_Toc11346"/>
      <w:bookmarkStart w:id="31" w:name="_Toc477377762"/>
      <w:r>
        <w:rPr>
          <w:rFonts w:hint="eastAsia"/>
          <w:color w:val="auto"/>
          <w:highlight w:val="none"/>
        </w:rPr>
        <w:t>项目进度</w:t>
      </w:r>
      <w:bookmarkEnd w:id="27"/>
      <w:bookmarkEnd w:id="28"/>
      <w:bookmarkEnd w:id="29"/>
      <w:bookmarkEnd w:id="30"/>
      <w:bookmarkEnd w:id="31"/>
    </w:p>
    <w:p w14:paraId="1F3A56CC">
      <w:pPr>
        <w:pStyle w:val="6"/>
        <w:rPr>
          <w:rFonts w:hint="eastAsia"/>
          <w:color w:val="auto"/>
          <w:highlight w:val="none"/>
        </w:rPr>
      </w:pPr>
      <w:r>
        <w:rPr>
          <w:rFonts w:hint="eastAsia"/>
          <w:color w:val="auto"/>
          <w:highlight w:val="none"/>
          <w:lang w:eastAsia="zh-CN"/>
        </w:rPr>
        <w:t>报价人</w:t>
      </w:r>
      <w:r>
        <w:rPr>
          <w:rFonts w:hint="eastAsia"/>
          <w:color w:val="auto"/>
          <w:highlight w:val="none"/>
        </w:rPr>
        <w:t>必须响应并承诺下列要求：</w:t>
      </w:r>
      <w:r>
        <w:rPr>
          <w:rFonts w:hint="eastAsia"/>
          <w:color w:val="auto"/>
          <w:highlight w:val="none"/>
          <w:lang w:eastAsia="zh-CN"/>
        </w:rPr>
        <w:t>报价人</w:t>
      </w:r>
      <w:r>
        <w:rPr>
          <w:rFonts w:hint="eastAsia"/>
          <w:color w:val="auto"/>
          <w:highlight w:val="none"/>
        </w:rPr>
        <w:t>应在建议书中根据</w:t>
      </w:r>
      <w:r>
        <w:rPr>
          <w:rFonts w:hint="eastAsia"/>
          <w:color w:val="auto"/>
          <w:highlight w:val="none"/>
          <w:lang w:eastAsia="zh-CN"/>
        </w:rPr>
        <w:t>采购人</w:t>
      </w:r>
      <w:r>
        <w:rPr>
          <w:rFonts w:hint="eastAsia"/>
          <w:color w:val="auto"/>
          <w:highlight w:val="none"/>
        </w:rPr>
        <w:t>要求的服务交付日期，提出详细的项目进度表及工作组织安排，合同签订时将在此基础上确定最终进度。</w:t>
      </w:r>
      <w:r>
        <w:rPr>
          <w:rFonts w:hint="eastAsia"/>
          <w:color w:val="auto"/>
          <w:highlight w:val="none"/>
          <w:lang w:eastAsia="zh-CN"/>
        </w:rPr>
        <w:t>报价人</w:t>
      </w:r>
      <w:r>
        <w:rPr>
          <w:rFonts w:hint="eastAsia"/>
          <w:color w:val="auto"/>
          <w:highlight w:val="none"/>
        </w:rPr>
        <w:t>应明确对最短可行项目进度的承诺。</w:t>
      </w:r>
    </w:p>
    <w:p w14:paraId="27213D4F">
      <w:pPr>
        <w:pStyle w:val="4"/>
        <w:rPr>
          <w:color w:val="auto"/>
          <w:highlight w:val="none"/>
        </w:rPr>
      </w:pPr>
      <w:r>
        <w:rPr>
          <w:rFonts w:hint="eastAsia" w:hAnsi="宋体" w:cs="宋体"/>
          <w:color w:val="auto"/>
          <w:szCs w:val="24"/>
          <w:highlight w:val="none"/>
          <w:lang w:val="en-US" w:eastAsia="zh-CN"/>
        </w:rPr>
        <w:t>技能、资格要求</w:t>
      </w:r>
    </w:p>
    <w:p w14:paraId="405484EA">
      <w:pPr>
        <w:pStyle w:val="5"/>
        <w:spacing w:before="0" w:after="0" w:line="360" w:lineRule="auto"/>
        <w:rPr>
          <w:rFonts w:hint="eastAsia" w:ascii="宋体" w:hAnsi="Times New Roman" w:eastAsia="宋体" w:cs="Times New Roman"/>
          <w:b w:val="0"/>
          <w:bCs w:val="0"/>
          <w:color w:val="auto"/>
          <w:kern w:val="2"/>
          <w:sz w:val="24"/>
          <w:szCs w:val="24"/>
          <w:highlight w:val="none"/>
          <w:lang w:val="en-US" w:eastAsia="zh-CN" w:bidi="ar-SA"/>
        </w:rPr>
      </w:pPr>
      <w:bookmarkStart w:id="32" w:name="_Toc477370886"/>
      <w:bookmarkStart w:id="33" w:name="_Toc477266284"/>
      <w:bookmarkStart w:id="34" w:name="_Toc477377767"/>
      <w:bookmarkStart w:id="35" w:name="_Toc21026"/>
      <w:bookmarkStart w:id="36" w:name="_Toc477294547"/>
      <w:r>
        <w:rPr>
          <w:rFonts w:hint="eastAsia" w:ascii="宋体" w:hAnsi="Times New Roman" w:eastAsia="宋体" w:cs="Times New Roman"/>
          <w:b w:val="0"/>
          <w:bCs w:val="0"/>
          <w:color w:val="auto"/>
          <w:kern w:val="2"/>
          <w:sz w:val="24"/>
          <w:szCs w:val="24"/>
          <w:highlight w:val="none"/>
          <w:lang w:val="en-US" w:eastAsia="zh-CN" w:bidi="ar-SA"/>
        </w:rPr>
        <w:t>★服务团队人员须具备以下经验或资历：务团队人数不少于</w:t>
      </w:r>
      <w:r>
        <w:rPr>
          <w:rFonts w:hint="eastAsia" w:cs="Times New Roman"/>
          <w:b w:val="0"/>
          <w:bCs w:val="0"/>
          <w:color w:val="auto"/>
          <w:kern w:val="2"/>
          <w:sz w:val="24"/>
          <w:szCs w:val="24"/>
          <w:highlight w:val="none"/>
          <w:lang w:val="en-US" w:eastAsia="zh-CN" w:bidi="ar-SA"/>
        </w:rPr>
        <w:t>3</w:t>
      </w:r>
      <w:r>
        <w:rPr>
          <w:rFonts w:hint="eastAsia" w:ascii="宋体" w:hAnsi="Times New Roman" w:eastAsia="宋体" w:cs="Times New Roman"/>
          <w:b w:val="0"/>
          <w:bCs w:val="0"/>
          <w:color w:val="auto"/>
          <w:kern w:val="2"/>
          <w:sz w:val="24"/>
          <w:szCs w:val="24"/>
          <w:highlight w:val="none"/>
          <w:lang w:val="en-US" w:eastAsia="zh-CN" w:bidi="ar-SA"/>
        </w:rPr>
        <w:t>人，供应商参与技术支持服务的服务团队人员应具备二年及以上工作经验</w:t>
      </w:r>
      <w:r>
        <w:rPr>
          <w:rFonts w:hint="eastAsia" w:cs="Times New Roman"/>
          <w:b w:val="0"/>
          <w:bCs w:val="0"/>
          <w:color w:val="auto"/>
          <w:kern w:val="2"/>
          <w:sz w:val="24"/>
          <w:szCs w:val="24"/>
          <w:highlight w:val="none"/>
          <w:lang w:val="en-US" w:eastAsia="zh-CN" w:bidi="ar-SA"/>
        </w:rPr>
        <w:t>，</w:t>
      </w:r>
      <w:r>
        <w:rPr>
          <w:rFonts w:hint="eastAsia" w:ascii="宋体" w:hAnsi="Times New Roman" w:eastAsia="宋体" w:cs="Times New Roman"/>
          <w:b w:val="0"/>
          <w:bCs w:val="0"/>
          <w:color w:val="auto"/>
          <w:kern w:val="2"/>
          <w:sz w:val="24"/>
          <w:szCs w:val="24"/>
          <w:highlight w:val="none"/>
          <w:lang w:val="en-US" w:eastAsia="zh-CN" w:bidi="ar-SA"/>
        </w:rPr>
        <w:t>其中至少1人具备网络或信息安全技术认证</w:t>
      </w:r>
      <w:r>
        <w:rPr>
          <w:rFonts w:hint="eastAsia" w:ascii="宋体" w:eastAsia="宋体" w:cs="Times New Roman"/>
          <w:b w:val="0"/>
          <w:bCs w:val="0"/>
          <w:color w:val="auto"/>
          <w:kern w:val="2"/>
          <w:sz w:val="24"/>
          <w:szCs w:val="24"/>
          <w:highlight w:val="none"/>
          <w:lang w:val="en-US" w:eastAsia="zh-CN" w:bidi="ar-SA"/>
        </w:rPr>
        <w:t>，</w:t>
      </w:r>
      <w:r>
        <w:rPr>
          <w:rFonts w:hint="eastAsia" w:ascii="宋体" w:hAnsi="Times New Roman" w:eastAsia="宋体" w:cs="Times New Roman"/>
          <w:b w:val="0"/>
          <w:bCs w:val="0"/>
          <w:color w:val="auto"/>
          <w:kern w:val="2"/>
          <w:sz w:val="24"/>
          <w:szCs w:val="24"/>
          <w:highlight w:val="none"/>
          <w:lang w:val="en-US" w:eastAsia="zh-CN" w:bidi="ar-SA"/>
        </w:rPr>
        <w:t>应标时需提供人员情况简介</w:t>
      </w:r>
      <w:r>
        <w:rPr>
          <w:rFonts w:hint="eastAsia" w:ascii="宋体" w:hAnsi="Times New Roman" w:eastAsia="宋体" w:cs="Times New Roman"/>
          <w:b w:val="0"/>
          <w:bCs w:val="0"/>
          <w:color w:val="auto"/>
          <w:kern w:val="2"/>
          <w:sz w:val="24"/>
          <w:szCs w:val="24"/>
          <w:highlight w:val="none"/>
          <w:lang w:val="zh-CN" w:eastAsia="zh-CN" w:bidi="ar-SA"/>
        </w:rPr>
        <w:t>及认证证书</w:t>
      </w:r>
      <w:r>
        <w:rPr>
          <w:rFonts w:hint="eastAsia" w:ascii="宋体" w:hAnsi="Times New Roman" w:eastAsia="宋体" w:cs="Times New Roman"/>
          <w:b w:val="0"/>
          <w:bCs w:val="0"/>
          <w:color w:val="auto"/>
          <w:kern w:val="2"/>
          <w:sz w:val="24"/>
          <w:szCs w:val="24"/>
          <w:highlight w:val="none"/>
          <w:lang w:val="en-US" w:eastAsia="zh-CN" w:bidi="ar-SA"/>
        </w:rPr>
        <w:t>。</w:t>
      </w:r>
    </w:p>
    <w:p w14:paraId="3DF5D264">
      <w:pPr>
        <w:pStyle w:val="4"/>
        <w:rPr>
          <w:color w:val="auto"/>
          <w:highlight w:val="none"/>
        </w:rPr>
      </w:pPr>
      <w:r>
        <w:rPr>
          <w:rFonts w:hint="eastAsia"/>
          <w:color w:val="auto"/>
          <w:highlight w:val="none"/>
        </w:rPr>
        <w:t>评审与验收</w:t>
      </w:r>
      <w:bookmarkEnd w:id="32"/>
      <w:bookmarkEnd w:id="33"/>
      <w:bookmarkEnd w:id="34"/>
      <w:bookmarkEnd w:id="35"/>
      <w:bookmarkEnd w:id="36"/>
    </w:p>
    <w:p w14:paraId="51B5FAF8">
      <w:pPr>
        <w:pStyle w:val="6"/>
        <w:rPr>
          <w:rFonts w:hint="eastAsia"/>
          <w:color w:val="auto"/>
          <w:highlight w:val="none"/>
        </w:rPr>
      </w:pPr>
      <w:bookmarkStart w:id="37" w:name="_Toc477266285"/>
      <w:r>
        <w:rPr>
          <w:rFonts w:hint="eastAsia"/>
          <w:color w:val="auto"/>
          <w:highlight w:val="none"/>
          <w:lang w:eastAsia="zh-CN"/>
        </w:rPr>
        <w:t>报价人</w:t>
      </w:r>
      <w:r>
        <w:rPr>
          <w:rFonts w:hint="eastAsia"/>
          <w:color w:val="auto"/>
          <w:highlight w:val="none"/>
        </w:rPr>
        <w:t>应负责在</w:t>
      </w:r>
      <w:r>
        <w:rPr>
          <w:rFonts w:hint="eastAsia"/>
          <w:color w:val="auto"/>
          <w:highlight w:val="none"/>
          <w:lang w:val="en-US" w:eastAsia="zh-CN"/>
        </w:rPr>
        <w:t>合同期</w:t>
      </w:r>
      <w:r>
        <w:rPr>
          <w:rFonts w:hint="eastAsia"/>
          <w:color w:val="auto"/>
          <w:highlight w:val="none"/>
        </w:rPr>
        <w:t>满时将项目的全部有关技术文件包括不限于技术支持记录、运维服务报告等文档汇集成册交付给</w:t>
      </w:r>
      <w:r>
        <w:rPr>
          <w:rFonts w:hint="eastAsia"/>
          <w:color w:val="auto"/>
          <w:highlight w:val="none"/>
          <w:lang w:eastAsia="zh-CN"/>
        </w:rPr>
        <w:t>采购人</w:t>
      </w:r>
      <w:r>
        <w:rPr>
          <w:rFonts w:hint="eastAsia"/>
          <w:color w:val="auto"/>
          <w:highlight w:val="none"/>
        </w:rPr>
        <w:t>。</w:t>
      </w:r>
    </w:p>
    <w:p w14:paraId="74883BB6">
      <w:pPr>
        <w:pStyle w:val="6"/>
        <w:rPr>
          <w:rFonts w:hint="eastAsia"/>
          <w:color w:val="auto"/>
          <w:highlight w:val="none"/>
        </w:rPr>
      </w:pPr>
      <w:r>
        <w:rPr>
          <w:rFonts w:hint="eastAsia"/>
          <w:color w:val="auto"/>
          <w:highlight w:val="none"/>
          <w:lang w:eastAsia="zh-CN"/>
        </w:rPr>
        <w:t>采购人</w:t>
      </w:r>
      <w:r>
        <w:rPr>
          <w:rFonts w:hint="eastAsia"/>
          <w:color w:val="auto"/>
          <w:highlight w:val="none"/>
        </w:rPr>
        <w:t>可根据合同及</w:t>
      </w:r>
      <w:r>
        <w:rPr>
          <w:rFonts w:hint="eastAsia"/>
          <w:color w:val="auto"/>
          <w:highlight w:val="none"/>
          <w:lang w:val="en-US" w:eastAsia="zh-CN"/>
        </w:rPr>
        <w:t>采购书</w:t>
      </w:r>
      <w:r>
        <w:rPr>
          <w:rFonts w:hint="eastAsia"/>
          <w:color w:val="auto"/>
          <w:highlight w:val="none"/>
        </w:rPr>
        <w:t>和</w:t>
      </w:r>
      <w:r>
        <w:rPr>
          <w:rFonts w:hint="eastAsia"/>
          <w:color w:val="auto"/>
          <w:highlight w:val="none"/>
          <w:lang w:eastAsia="zh-CN"/>
        </w:rPr>
        <w:t>采购人</w:t>
      </w:r>
      <w:r>
        <w:rPr>
          <w:rFonts w:hint="eastAsia"/>
          <w:color w:val="auto"/>
          <w:highlight w:val="none"/>
        </w:rPr>
        <w:t>的有关规定进行修改和补充, 经双方签字确认后形成验收文件，并出具</w:t>
      </w:r>
      <w:r>
        <w:rPr>
          <w:rFonts w:hint="eastAsia"/>
          <w:color w:val="auto"/>
          <w:highlight w:val="none"/>
          <w:lang w:val="en-US" w:eastAsia="zh-CN"/>
        </w:rPr>
        <w:t>技术服务</w:t>
      </w:r>
      <w:r>
        <w:rPr>
          <w:rFonts w:hint="eastAsia"/>
          <w:color w:val="auto"/>
          <w:highlight w:val="none"/>
        </w:rPr>
        <w:t>完结证明。</w:t>
      </w:r>
    </w:p>
    <w:p w14:paraId="1FA3F465">
      <w:pPr>
        <w:pStyle w:val="4"/>
        <w:rPr>
          <w:color w:val="auto"/>
          <w:highlight w:val="none"/>
        </w:rPr>
      </w:pPr>
      <w:bookmarkStart w:id="38" w:name="_Toc477377768"/>
      <w:bookmarkStart w:id="39" w:name="_Toc477370887"/>
      <w:bookmarkStart w:id="40" w:name="_Toc5517"/>
      <w:bookmarkStart w:id="41" w:name="_Toc477294548"/>
      <w:r>
        <w:rPr>
          <w:rFonts w:hint="eastAsia"/>
          <w:color w:val="auto"/>
          <w:highlight w:val="none"/>
        </w:rPr>
        <w:t>技术资料和文件</w:t>
      </w:r>
      <w:bookmarkEnd w:id="37"/>
      <w:bookmarkEnd w:id="38"/>
      <w:bookmarkEnd w:id="39"/>
      <w:bookmarkEnd w:id="40"/>
      <w:bookmarkEnd w:id="41"/>
    </w:p>
    <w:p w14:paraId="54874F58">
      <w:pPr>
        <w:pStyle w:val="6"/>
        <w:rPr>
          <w:color w:val="auto"/>
          <w:highlight w:val="none"/>
        </w:rPr>
      </w:pPr>
      <w:r>
        <w:rPr>
          <w:rFonts w:hint="eastAsia"/>
          <w:color w:val="auto"/>
          <w:highlight w:val="none"/>
          <w:lang w:eastAsia="zh-CN"/>
        </w:rPr>
        <w:t>报价人</w:t>
      </w:r>
      <w:r>
        <w:rPr>
          <w:rFonts w:hint="eastAsia"/>
          <w:color w:val="auto"/>
          <w:highlight w:val="none"/>
        </w:rPr>
        <w:t>提供的文件和资料应能满足</w:t>
      </w:r>
      <w:r>
        <w:rPr>
          <w:rFonts w:hint="eastAsia"/>
          <w:color w:val="auto"/>
          <w:highlight w:val="none"/>
          <w:lang w:eastAsia="zh-CN"/>
        </w:rPr>
        <w:t>采购人</w:t>
      </w:r>
      <w:r>
        <w:rPr>
          <w:rFonts w:hint="eastAsia"/>
          <w:color w:val="auto"/>
          <w:highlight w:val="none"/>
        </w:rPr>
        <w:t>进行维护和进一步完善的需要，应符合</w:t>
      </w:r>
      <w:r>
        <w:rPr>
          <w:rFonts w:hint="eastAsia"/>
          <w:color w:val="auto"/>
          <w:highlight w:val="none"/>
          <w:lang w:eastAsia="zh-CN"/>
        </w:rPr>
        <w:t>采购人</w:t>
      </w:r>
      <w:r>
        <w:rPr>
          <w:rFonts w:hint="eastAsia"/>
          <w:color w:val="auto"/>
          <w:highlight w:val="none"/>
        </w:rPr>
        <w:t>标准规格。</w:t>
      </w:r>
    </w:p>
    <w:p w14:paraId="169E11F1">
      <w:pPr>
        <w:pStyle w:val="6"/>
        <w:rPr>
          <w:color w:val="auto"/>
          <w:highlight w:val="none"/>
        </w:rPr>
      </w:pPr>
      <w:r>
        <w:rPr>
          <w:rFonts w:hint="eastAsia"/>
          <w:color w:val="auto"/>
          <w:highlight w:val="none"/>
          <w:lang w:eastAsia="zh-CN"/>
        </w:rPr>
        <w:t>报价人</w:t>
      </w:r>
      <w:r>
        <w:rPr>
          <w:rFonts w:hint="eastAsia"/>
          <w:color w:val="auto"/>
          <w:highlight w:val="none"/>
        </w:rPr>
        <w:t>应向</w:t>
      </w:r>
      <w:r>
        <w:rPr>
          <w:rFonts w:hint="eastAsia"/>
          <w:color w:val="auto"/>
          <w:highlight w:val="none"/>
          <w:lang w:eastAsia="zh-CN"/>
        </w:rPr>
        <w:t>采购人</w:t>
      </w:r>
      <w:r>
        <w:rPr>
          <w:rFonts w:hint="eastAsia"/>
          <w:color w:val="auto"/>
          <w:highlight w:val="none"/>
        </w:rPr>
        <w:t>需求提供项目的全部过程资料的电子版。</w:t>
      </w:r>
    </w:p>
    <w:p w14:paraId="79A820B5">
      <w:pPr>
        <w:pStyle w:val="4"/>
        <w:rPr>
          <w:color w:val="auto"/>
          <w:highlight w:val="none"/>
        </w:rPr>
      </w:pPr>
      <w:bookmarkStart w:id="42" w:name="_Toc477266286"/>
      <w:bookmarkStart w:id="43" w:name="_Toc477370888"/>
      <w:bookmarkStart w:id="44" w:name="_Toc477377769"/>
      <w:bookmarkStart w:id="45" w:name="_Toc20632"/>
      <w:bookmarkStart w:id="46" w:name="_Toc477294549"/>
      <w:r>
        <w:rPr>
          <w:rFonts w:hint="eastAsia"/>
          <w:color w:val="auto"/>
          <w:highlight w:val="none"/>
        </w:rPr>
        <w:t>服务要求</w:t>
      </w:r>
      <w:bookmarkEnd w:id="42"/>
      <w:bookmarkEnd w:id="43"/>
      <w:bookmarkEnd w:id="44"/>
      <w:bookmarkEnd w:id="45"/>
      <w:bookmarkEnd w:id="46"/>
    </w:p>
    <w:p w14:paraId="5F8004FF">
      <w:pPr>
        <w:pStyle w:val="6"/>
        <w:rPr>
          <w:color w:val="auto"/>
          <w:highlight w:val="none"/>
        </w:rPr>
      </w:pPr>
      <w:r>
        <w:rPr>
          <w:rFonts w:hint="eastAsia"/>
          <w:color w:val="auto"/>
          <w:highlight w:val="none"/>
          <w:lang w:val="en-US" w:eastAsia="zh-CN"/>
        </w:rPr>
        <w:t>现场维护服务</w:t>
      </w:r>
      <w:r>
        <w:rPr>
          <w:rFonts w:hint="eastAsia"/>
          <w:color w:val="auto"/>
          <w:highlight w:val="none"/>
        </w:rPr>
        <w:t>由</w:t>
      </w:r>
      <w:r>
        <w:rPr>
          <w:rFonts w:hint="eastAsia"/>
          <w:color w:val="auto"/>
          <w:highlight w:val="none"/>
          <w:lang w:eastAsia="zh-CN"/>
        </w:rPr>
        <w:t>报价人</w:t>
      </w:r>
      <w:r>
        <w:rPr>
          <w:rFonts w:hint="eastAsia"/>
          <w:color w:val="auto"/>
          <w:highlight w:val="none"/>
        </w:rPr>
        <w:t>派员到用户使用现场。由此产生的一切费用均由</w:t>
      </w:r>
      <w:r>
        <w:rPr>
          <w:rFonts w:hint="eastAsia"/>
          <w:color w:val="auto"/>
          <w:highlight w:val="none"/>
          <w:lang w:eastAsia="zh-CN"/>
        </w:rPr>
        <w:t>报价人</w:t>
      </w:r>
      <w:r>
        <w:rPr>
          <w:rFonts w:hint="eastAsia"/>
          <w:color w:val="auto"/>
          <w:highlight w:val="none"/>
        </w:rPr>
        <w:t>承担。</w:t>
      </w:r>
    </w:p>
    <w:p w14:paraId="22F79757">
      <w:pPr>
        <w:pStyle w:val="6"/>
        <w:rPr>
          <w:color w:val="auto"/>
          <w:highlight w:val="none"/>
        </w:rPr>
      </w:pPr>
      <w:r>
        <w:rPr>
          <w:rFonts w:hint="eastAsia"/>
          <w:color w:val="auto"/>
          <w:highlight w:val="none"/>
        </w:rPr>
        <w:t>对于不能明确是否是</w:t>
      </w:r>
      <w:r>
        <w:rPr>
          <w:rFonts w:hint="eastAsia"/>
          <w:color w:val="auto"/>
          <w:highlight w:val="none"/>
          <w:lang w:eastAsia="zh-CN"/>
        </w:rPr>
        <w:t>报价人</w:t>
      </w:r>
      <w:r>
        <w:rPr>
          <w:rFonts w:hint="eastAsia"/>
          <w:color w:val="auto"/>
          <w:highlight w:val="none"/>
        </w:rPr>
        <w:t>服务出现问题时，</w:t>
      </w:r>
      <w:r>
        <w:rPr>
          <w:rFonts w:hint="eastAsia"/>
          <w:color w:val="auto"/>
          <w:highlight w:val="none"/>
          <w:lang w:eastAsia="zh-CN"/>
        </w:rPr>
        <w:t>报价人</w:t>
      </w:r>
      <w:r>
        <w:rPr>
          <w:rFonts w:hint="eastAsia"/>
          <w:color w:val="auto"/>
          <w:highlight w:val="none"/>
        </w:rPr>
        <w:t>应尽力配合</w:t>
      </w:r>
      <w:r>
        <w:rPr>
          <w:rFonts w:hint="eastAsia"/>
          <w:color w:val="auto"/>
          <w:highlight w:val="none"/>
          <w:lang w:eastAsia="zh-CN"/>
        </w:rPr>
        <w:t>采购人</w:t>
      </w:r>
      <w:r>
        <w:rPr>
          <w:rFonts w:hint="eastAsia"/>
          <w:color w:val="auto"/>
          <w:highlight w:val="none"/>
        </w:rPr>
        <w:t>和其他供应商进行检查，在必要时，能在上述响应时间内到达现场协助排除问题。</w:t>
      </w:r>
    </w:p>
    <w:p w14:paraId="155D7F4B">
      <w:pPr>
        <w:pStyle w:val="6"/>
        <w:rPr>
          <w:color w:val="auto"/>
          <w:highlight w:val="none"/>
        </w:rPr>
      </w:pPr>
      <w:r>
        <w:rPr>
          <w:rFonts w:hint="eastAsia"/>
          <w:color w:val="auto"/>
          <w:highlight w:val="none"/>
          <w:lang w:eastAsia="zh-CN"/>
        </w:rPr>
        <w:t>报价人</w:t>
      </w:r>
      <w:r>
        <w:rPr>
          <w:rFonts w:hint="eastAsia"/>
          <w:color w:val="auto"/>
          <w:highlight w:val="none"/>
        </w:rPr>
        <w:t>必须有专门的维护部门及规范的维护服务管理体系，能按要求及时响应。</w:t>
      </w:r>
    </w:p>
    <w:p w14:paraId="18F378F4">
      <w:pPr>
        <w:pStyle w:val="6"/>
        <w:rPr>
          <w:color w:val="auto"/>
          <w:highlight w:val="none"/>
        </w:rPr>
      </w:pPr>
      <w:r>
        <w:rPr>
          <w:rFonts w:hint="eastAsia"/>
          <w:color w:val="auto"/>
          <w:highlight w:val="none"/>
        </w:rPr>
        <w:t>服务考核办法参照《</w:t>
      </w:r>
      <w:r>
        <w:rPr>
          <w:color w:val="auto"/>
          <w:highlight w:val="none"/>
        </w:rPr>
        <w:t>中国南方电网有限责任公司信息类服务商管理业务指导书</w:t>
      </w:r>
      <w:r>
        <w:rPr>
          <w:rFonts w:hint="eastAsia"/>
          <w:color w:val="auto"/>
          <w:highlight w:val="none"/>
        </w:rPr>
        <w:t>》执行。</w:t>
      </w:r>
    </w:p>
    <w:p w14:paraId="4FD9902B">
      <w:pPr>
        <w:pStyle w:val="6"/>
        <w:numPr>
          <w:ilvl w:val="0"/>
          <w:numId w:val="0"/>
        </w:numPr>
        <w:ind w:left="142"/>
        <w:rPr>
          <w:color w:val="auto"/>
          <w:highlight w:val="none"/>
        </w:rPr>
      </w:pPr>
    </w:p>
    <w:p w14:paraId="1E9560A8">
      <w:pPr>
        <w:pStyle w:val="3"/>
        <w:rPr>
          <w:color w:val="auto"/>
          <w:highlight w:val="none"/>
        </w:rPr>
      </w:pPr>
      <w:bookmarkStart w:id="47" w:name="_Toc93490630"/>
      <w:bookmarkStart w:id="48" w:name="_Toc93490801"/>
      <w:bookmarkStart w:id="49" w:name="_Toc24965"/>
      <w:bookmarkStart w:id="50" w:name="_Toc167003829"/>
      <w:bookmarkStart w:id="51" w:name="_Toc351129176"/>
      <w:bookmarkStart w:id="52" w:name="_Toc360609690"/>
      <w:bookmarkStart w:id="53" w:name="_Toc93490580"/>
      <w:bookmarkStart w:id="54" w:name="_Toc137397828"/>
      <w:r>
        <w:rPr>
          <w:rFonts w:hint="eastAsia"/>
          <w:color w:val="auto"/>
          <w:highlight w:val="none"/>
        </w:rPr>
        <w:t>附件</w:t>
      </w:r>
      <w:bookmarkEnd w:id="47"/>
      <w:bookmarkEnd w:id="48"/>
      <w:bookmarkEnd w:id="49"/>
      <w:bookmarkEnd w:id="50"/>
      <w:bookmarkEnd w:id="51"/>
      <w:bookmarkEnd w:id="52"/>
      <w:bookmarkEnd w:id="53"/>
      <w:bookmarkEnd w:id="54"/>
    </w:p>
    <w:p w14:paraId="085B443B">
      <w:pPr>
        <w:pStyle w:val="4"/>
        <w:rPr>
          <w:color w:val="auto"/>
          <w:highlight w:val="none"/>
        </w:rPr>
      </w:pPr>
      <w:bookmarkStart w:id="55" w:name="_Toc13000"/>
      <w:r>
        <w:rPr>
          <w:rFonts w:hint="eastAsia"/>
          <w:color w:val="auto"/>
          <w:highlight w:val="none"/>
        </w:rPr>
        <w:t>差异表</w:t>
      </w:r>
      <w:bookmarkEnd w:id="55"/>
    </w:p>
    <w:tbl>
      <w:tblPr>
        <w:tblStyle w:val="19"/>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14:paraId="6106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14:paraId="499E8A58">
            <w:pPr>
              <w:rPr>
                <w:color w:val="auto"/>
                <w:highlight w:val="none"/>
              </w:rPr>
            </w:pPr>
            <w:r>
              <w:rPr>
                <w:rFonts w:hint="eastAsia"/>
                <w:color w:val="auto"/>
                <w:highlight w:val="none"/>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14:paraId="50BA8BCC">
            <w:pPr>
              <w:rPr>
                <w:color w:val="auto"/>
                <w:highlight w:val="none"/>
              </w:rPr>
            </w:pPr>
            <w:r>
              <w:rPr>
                <w:rFonts w:hint="eastAsia"/>
                <w:color w:val="auto"/>
                <w:highlight w:val="none"/>
                <w:lang w:val="en-US" w:eastAsia="zh-CN"/>
              </w:rPr>
              <w:t>采购</w:t>
            </w:r>
            <w:r>
              <w:rPr>
                <w:rFonts w:hint="eastAsia"/>
                <w:color w:val="auto"/>
                <w:highlight w:val="none"/>
              </w:rPr>
              <w:t>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14:paraId="18B88BAA">
            <w:pPr>
              <w:rPr>
                <w:color w:val="auto"/>
                <w:highlight w:val="none"/>
              </w:rPr>
            </w:pPr>
            <w:r>
              <w:rPr>
                <w:rFonts w:hint="eastAsia"/>
                <w:color w:val="auto"/>
                <w:highlight w:val="none"/>
                <w:lang w:val="en-US" w:eastAsia="zh-CN"/>
              </w:rPr>
              <w:t>报价</w:t>
            </w:r>
            <w:r>
              <w:rPr>
                <w:rFonts w:hint="eastAsia"/>
                <w:color w:val="auto"/>
                <w:highlight w:val="none"/>
              </w:rPr>
              <w:t>文件</w:t>
            </w:r>
          </w:p>
        </w:tc>
      </w:tr>
      <w:tr w14:paraId="7AE6E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14:paraId="387E0999">
            <w:pPr>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1B98E4AC">
            <w:pPr>
              <w:rPr>
                <w:color w:val="auto"/>
                <w:highlight w:val="none"/>
              </w:rPr>
            </w:pPr>
            <w:r>
              <w:rPr>
                <w:rFonts w:hint="eastAsia"/>
                <w:color w:val="auto"/>
                <w:highlight w:val="none"/>
              </w:rPr>
              <w:t>条目</w:t>
            </w:r>
          </w:p>
        </w:tc>
        <w:tc>
          <w:tcPr>
            <w:tcW w:w="2835" w:type="dxa"/>
            <w:tcBorders>
              <w:top w:val="single" w:color="auto" w:sz="4" w:space="0"/>
              <w:left w:val="single" w:color="auto" w:sz="4" w:space="0"/>
              <w:bottom w:val="single" w:color="auto" w:sz="4" w:space="0"/>
              <w:right w:val="single" w:color="auto" w:sz="4" w:space="0"/>
            </w:tcBorders>
            <w:vAlign w:val="center"/>
          </w:tcPr>
          <w:p w14:paraId="5B3D12D8">
            <w:pPr>
              <w:rPr>
                <w:color w:val="auto"/>
                <w:highlight w:val="none"/>
              </w:rPr>
            </w:pPr>
            <w:r>
              <w:rPr>
                <w:rFonts w:hint="eastAsia"/>
                <w:color w:val="auto"/>
                <w:highlight w:val="none"/>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14:paraId="2B5962E8">
            <w:pPr>
              <w:rPr>
                <w:color w:val="auto"/>
                <w:highlight w:val="none"/>
              </w:rPr>
            </w:pPr>
            <w:r>
              <w:rPr>
                <w:rFonts w:hint="eastAsia"/>
                <w:color w:val="auto"/>
                <w:highlight w:val="none"/>
              </w:rPr>
              <w:t>条目</w:t>
            </w:r>
          </w:p>
        </w:tc>
        <w:tc>
          <w:tcPr>
            <w:tcW w:w="2694" w:type="dxa"/>
            <w:tcBorders>
              <w:top w:val="single" w:color="auto" w:sz="4" w:space="0"/>
              <w:left w:val="single" w:color="auto" w:sz="4" w:space="0"/>
              <w:bottom w:val="single" w:color="auto" w:sz="4" w:space="0"/>
              <w:right w:val="single" w:color="auto" w:sz="4" w:space="0"/>
            </w:tcBorders>
            <w:vAlign w:val="center"/>
          </w:tcPr>
          <w:p w14:paraId="1B60D968">
            <w:pPr>
              <w:rPr>
                <w:color w:val="auto"/>
                <w:highlight w:val="none"/>
              </w:rPr>
            </w:pPr>
            <w:r>
              <w:rPr>
                <w:rFonts w:hint="eastAsia"/>
                <w:color w:val="auto"/>
                <w:highlight w:val="none"/>
              </w:rPr>
              <w:t>简要内容</w:t>
            </w:r>
          </w:p>
        </w:tc>
      </w:tr>
      <w:tr w14:paraId="11AA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top"/>
          </w:tcPr>
          <w:p w14:paraId="414D6266">
            <w:pPr>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top"/>
          </w:tcPr>
          <w:p w14:paraId="33108236">
            <w:pPr>
              <w:rPr>
                <w:color w:val="auto"/>
                <w:highlight w:val="none"/>
              </w:rPr>
            </w:pPr>
          </w:p>
        </w:tc>
        <w:tc>
          <w:tcPr>
            <w:tcW w:w="2835" w:type="dxa"/>
            <w:tcBorders>
              <w:top w:val="single" w:color="auto" w:sz="4" w:space="0"/>
              <w:left w:val="single" w:color="auto" w:sz="4" w:space="0"/>
              <w:bottom w:val="single" w:color="auto" w:sz="4" w:space="0"/>
              <w:right w:val="single" w:color="auto" w:sz="4" w:space="0"/>
            </w:tcBorders>
            <w:vAlign w:val="top"/>
          </w:tcPr>
          <w:p w14:paraId="24163C02">
            <w:pPr>
              <w:rPr>
                <w:color w:val="auto"/>
                <w:highlight w:val="none"/>
              </w:rPr>
            </w:pPr>
          </w:p>
        </w:tc>
        <w:tc>
          <w:tcPr>
            <w:tcW w:w="1605" w:type="dxa"/>
            <w:tcBorders>
              <w:top w:val="single" w:color="auto" w:sz="4" w:space="0"/>
              <w:left w:val="single" w:color="auto" w:sz="4" w:space="0"/>
              <w:bottom w:val="single" w:color="auto" w:sz="4" w:space="0"/>
              <w:right w:val="single" w:color="auto" w:sz="4" w:space="0"/>
            </w:tcBorders>
            <w:vAlign w:val="top"/>
          </w:tcPr>
          <w:p w14:paraId="367366B0">
            <w:pPr>
              <w:rPr>
                <w:color w:val="auto"/>
                <w:highlight w:val="none"/>
              </w:rPr>
            </w:pPr>
          </w:p>
        </w:tc>
        <w:tc>
          <w:tcPr>
            <w:tcW w:w="2694" w:type="dxa"/>
            <w:tcBorders>
              <w:top w:val="single" w:color="auto" w:sz="4" w:space="0"/>
              <w:left w:val="single" w:color="auto" w:sz="4" w:space="0"/>
              <w:bottom w:val="single" w:color="auto" w:sz="4" w:space="0"/>
              <w:right w:val="single" w:color="auto" w:sz="4" w:space="0"/>
            </w:tcBorders>
            <w:vAlign w:val="top"/>
          </w:tcPr>
          <w:p w14:paraId="2E42E4B9">
            <w:pPr>
              <w:rPr>
                <w:color w:val="auto"/>
                <w:highlight w:val="none"/>
              </w:rPr>
            </w:pPr>
          </w:p>
        </w:tc>
      </w:tr>
      <w:tr w14:paraId="27F2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vAlign w:val="top"/>
          </w:tcPr>
          <w:p w14:paraId="6A8B6F14">
            <w:pPr>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top"/>
          </w:tcPr>
          <w:p w14:paraId="2BFCE31B">
            <w:pPr>
              <w:rPr>
                <w:color w:val="auto"/>
                <w:highlight w:val="none"/>
              </w:rPr>
            </w:pPr>
          </w:p>
        </w:tc>
        <w:tc>
          <w:tcPr>
            <w:tcW w:w="2835" w:type="dxa"/>
            <w:tcBorders>
              <w:top w:val="single" w:color="auto" w:sz="4" w:space="0"/>
              <w:left w:val="single" w:color="auto" w:sz="4" w:space="0"/>
              <w:bottom w:val="single" w:color="auto" w:sz="4" w:space="0"/>
              <w:right w:val="single" w:color="auto" w:sz="4" w:space="0"/>
            </w:tcBorders>
            <w:vAlign w:val="top"/>
          </w:tcPr>
          <w:p w14:paraId="78783322">
            <w:pPr>
              <w:rPr>
                <w:color w:val="auto"/>
                <w:highlight w:val="none"/>
              </w:rPr>
            </w:pPr>
          </w:p>
        </w:tc>
        <w:tc>
          <w:tcPr>
            <w:tcW w:w="1605" w:type="dxa"/>
            <w:tcBorders>
              <w:top w:val="single" w:color="auto" w:sz="4" w:space="0"/>
              <w:left w:val="single" w:color="auto" w:sz="4" w:space="0"/>
              <w:bottom w:val="single" w:color="auto" w:sz="4" w:space="0"/>
              <w:right w:val="single" w:color="auto" w:sz="4" w:space="0"/>
            </w:tcBorders>
            <w:vAlign w:val="top"/>
          </w:tcPr>
          <w:p w14:paraId="7C7A8224">
            <w:pPr>
              <w:rPr>
                <w:color w:val="auto"/>
                <w:highlight w:val="none"/>
              </w:rPr>
            </w:pPr>
          </w:p>
        </w:tc>
        <w:tc>
          <w:tcPr>
            <w:tcW w:w="2694" w:type="dxa"/>
            <w:tcBorders>
              <w:top w:val="single" w:color="auto" w:sz="4" w:space="0"/>
              <w:left w:val="single" w:color="auto" w:sz="4" w:space="0"/>
              <w:bottom w:val="single" w:color="auto" w:sz="4" w:space="0"/>
              <w:right w:val="single" w:color="auto" w:sz="4" w:space="0"/>
            </w:tcBorders>
            <w:vAlign w:val="top"/>
          </w:tcPr>
          <w:p w14:paraId="2E8033D5">
            <w:pPr>
              <w:rPr>
                <w:color w:val="auto"/>
                <w:highlight w:val="none"/>
              </w:rPr>
            </w:pPr>
          </w:p>
        </w:tc>
      </w:tr>
    </w:tbl>
    <w:p w14:paraId="2D979987">
      <w:pPr>
        <w:rPr>
          <w:color w:val="auto"/>
          <w:highlight w:val="none"/>
        </w:rPr>
      </w:pPr>
    </w:p>
    <w:p w14:paraId="1E22D2EE">
      <w:pPr>
        <w:pStyle w:val="4"/>
        <w:rPr>
          <w:color w:val="auto"/>
          <w:highlight w:val="none"/>
        </w:rPr>
      </w:pPr>
      <w:bookmarkStart w:id="56" w:name="_Toc5202"/>
      <w:r>
        <w:rPr>
          <w:rFonts w:hint="eastAsia"/>
          <w:color w:val="auto"/>
          <w:highlight w:val="none"/>
          <w:lang w:eastAsia="zh-CN"/>
        </w:rPr>
        <w:t>报价人</w:t>
      </w:r>
      <w:r>
        <w:rPr>
          <w:rFonts w:hint="eastAsia"/>
          <w:color w:val="auto"/>
          <w:highlight w:val="none"/>
        </w:rPr>
        <w:t>需要说明的其它问题</w:t>
      </w:r>
      <w:bookmarkEnd w:id="56"/>
    </w:p>
    <w:p w14:paraId="06F514F1">
      <w:pPr>
        <w:rPr>
          <w:color w:val="auto"/>
          <w:highlight w:val="none"/>
        </w:rPr>
      </w:pPr>
    </w:p>
    <w:sectPr>
      <w:headerReference r:id="rId7" w:type="default"/>
      <w:footerReference r:id="rId8"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4C3F3">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18705">
    <w:pPr>
      <w:framePr w:wrap="around" w:vAnchor="text" w:hAnchor="margin" w:xAlign="center" w:y="1"/>
    </w:pPr>
    <w:r>
      <w:fldChar w:fldCharType="begin"/>
    </w:r>
    <w:r>
      <w:instrText xml:space="preserve">PAGE  </w:instrText>
    </w:r>
    <w:r>
      <w:fldChar w:fldCharType="end"/>
    </w:r>
  </w:p>
  <w:p w14:paraId="5D0C5B4B">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89FEA">
    <w:pPr>
      <w:framePr w:wrap="around" w:vAnchor="text" w:hAnchor="margin" w:xAlign="center" w:y="1"/>
    </w:pPr>
    <w:r>
      <w:fldChar w:fldCharType="begin"/>
    </w:r>
    <w:r>
      <w:instrText xml:space="preserve">PAGE  </w:instrText>
    </w:r>
    <w:r>
      <w:fldChar w:fldCharType="separate"/>
    </w:r>
    <w:r>
      <w:t>12</w:t>
    </w:r>
    <w:r>
      <w:fldChar w:fldCharType="end"/>
    </w:r>
  </w:p>
  <w:p w14:paraId="5818CD7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1F10E">
    <w:pPr>
      <w:jc w:val="left"/>
    </w:pPr>
    <w:r>
      <w:drawing>
        <wp:inline distT="0" distB="0" distL="114300" distR="114300">
          <wp:extent cx="1562100" cy="270510"/>
          <wp:effectExtent l="0" t="0" r="0" b="15240"/>
          <wp:docPr id="1" name="图片 1" descr="说明: 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tttt"/>
                  <pic:cNvPicPr>
                    <a:picLocks noChangeAspect="1"/>
                  </pic:cNvPicPr>
                </pic:nvPicPr>
                <pic:blipFill>
                  <a:blip r:embed="rId1"/>
                  <a:stretch>
                    <a:fillRect/>
                  </a:stretch>
                </pic:blipFill>
                <pic:spPr>
                  <a:xfrm>
                    <a:off x="0" y="0"/>
                    <a:ext cx="1562100" cy="2705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0" w:firstLine="0"/>
      </w:pPr>
      <w:rPr>
        <w:rFonts w:hint="default"/>
        <w:b/>
        <w:bCs/>
        <w:color w:val="auto"/>
      </w:rPr>
    </w:lvl>
    <w:lvl w:ilvl="2" w:tentative="0">
      <w:start w:val="1"/>
      <w:numFmt w:val="decimal"/>
      <w:pStyle w:val="6"/>
      <w:isLgl/>
      <w:suff w:val="space"/>
      <w:lvlText w:val="%1.%2.%3"/>
      <w:lvlJc w:val="left"/>
      <w:pPr>
        <w:ind w:left="142" w:firstLine="0"/>
      </w:pPr>
      <w:rPr>
        <w:rFonts w:hint="eastAsia"/>
        <w:b/>
        <w:i w:val="0"/>
        <w:color w:val="auto"/>
        <w:sz w:val="24"/>
        <w:szCs w:val="28"/>
      </w:rPr>
    </w:lvl>
    <w:lvl w:ilvl="3" w:tentative="0">
      <w:start w:val="1"/>
      <w:numFmt w:val="decimal"/>
      <w:pStyle w:val="29"/>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25E"/>
    <w:rsid w:val="00002D54"/>
    <w:rsid w:val="000052CC"/>
    <w:rsid w:val="00006612"/>
    <w:rsid w:val="0000722B"/>
    <w:rsid w:val="000075C2"/>
    <w:rsid w:val="00017F07"/>
    <w:rsid w:val="00020EA9"/>
    <w:rsid w:val="00025423"/>
    <w:rsid w:val="00025656"/>
    <w:rsid w:val="00027642"/>
    <w:rsid w:val="00030E79"/>
    <w:rsid w:val="0003254D"/>
    <w:rsid w:val="00033F7B"/>
    <w:rsid w:val="000362F0"/>
    <w:rsid w:val="000366BD"/>
    <w:rsid w:val="000369F9"/>
    <w:rsid w:val="00037C3B"/>
    <w:rsid w:val="00037E33"/>
    <w:rsid w:val="00040969"/>
    <w:rsid w:val="00044E83"/>
    <w:rsid w:val="00045C4E"/>
    <w:rsid w:val="000461AC"/>
    <w:rsid w:val="00046413"/>
    <w:rsid w:val="0005273C"/>
    <w:rsid w:val="00060C38"/>
    <w:rsid w:val="00061AF8"/>
    <w:rsid w:val="00063778"/>
    <w:rsid w:val="00066C5F"/>
    <w:rsid w:val="00072918"/>
    <w:rsid w:val="00073BA7"/>
    <w:rsid w:val="000812B6"/>
    <w:rsid w:val="00082960"/>
    <w:rsid w:val="0008708E"/>
    <w:rsid w:val="000874B8"/>
    <w:rsid w:val="00093FFD"/>
    <w:rsid w:val="000A0AC8"/>
    <w:rsid w:val="000A130C"/>
    <w:rsid w:val="000A2057"/>
    <w:rsid w:val="000A651B"/>
    <w:rsid w:val="000B1195"/>
    <w:rsid w:val="000B180B"/>
    <w:rsid w:val="000B2E75"/>
    <w:rsid w:val="000C4FB6"/>
    <w:rsid w:val="000C6808"/>
    <w:rsid w:val="000C6881"/>
    <w:rsid w:val="000C72B5"/>
    <w:rsid w:val="000D06AF"/>
    <w:rsid w:val="000D3950"/>
    <w:rsid w:val="000D3F2A"/>
    <w:rsid w:val="000D5726"/>
    <w:rsid w:val="000E22DC"/>
    <w:rsid w:val="000E26C4"/>
    <w:rsid w:val="000E4125"/>
    <w:rsid w:val="000E6D93"/>
    <w:rsid w:val="000E7363"/>
    <w:rsid w:val="000F00CA"/>
    <w:rsid w:val="000F1C34"/>
    <w:rsid w:val="000F35ED"/>
    <w:rsid w:val="000F7F60"/>
    <w:rsid w:val="0010212F"/>
    <w:rsid w:val="0010525E"/>
    <w:rsid w:val="001074C6"/>
    <w:rsid w:val="00107B8A"/>
    <w:rsid w:val="00114F63"/>
    <w:rsid w:val="00115F74"/>
    <w:rsid w:val="00115F79"/>
    <w:rsid w:val="001234E4"/>
    <w:rsid w:val="00127AE9"/>
    <w:rsid w:val="00127D12"/>
    <w:rsid w:val="001323CE"/>
    <w:rsid w:val="0013271E"/>
    <w:rsid w:val="00132B0C"/>
    <w:rsid w:val="001340F8"/>
    <w:rsid w:val="00137EBC"/>
    <w:rsid w:val="00141E44"/>
    <w:rsid w:val="001431DC"/>
    <w:rsid w:val="00150326"/>
    <w:rsid w:val="00150EFE"/>
    <w:rsid w:val="00154F2B"/>
    <w:rsid w:val="001551C6"/>
    <w:rsid w:val="001577CF"/>
    <w:rsid w:val="001641C0"/>
    <w:rsid w:val="0016562E"/>
    <w:rsid w:val="00173E2E"/>
    <w:rsid w:val="0017691D"/>
    <w:rsid w:val="00176DA7"/>
    <w:rsid w:val="00176F9E"/>
    <w:rsid w:val="00181F98"/>
    <w:rsid w:val="00187120"/>
    <w:rsid w:val="001915DA"/>
    <w:rsid w:val="001926FA"/>
    <w:rsid w:val="00195302"/>
    <w:rsid w:val="0019639D"/>
    <w:rsid w:val="00196D17"/>
    <w:rsid w:val="001A4975"/>
    <w:rsid w:val="001A734E"/>
    <w:rsid w:val="001B0C54"/>
    <w:rsid w:val="001B1CE7"/>
    <w:rsid w:val="001C156E"/>
    <w:rsid w:val="001C1F69"/>
    <w:rsid w:val="001C2450"/>
    <w:rsid w:val="001D2162"/>
    <w:rsid w:val="001D77CE"/>
    <w:rsid w:val="001D798F"/>
    <w:rsid w:val="001E6D82"/>
    <w:rsid w:val="001F405E"/>
    <w:rsid w:val="002020A8"/>
    <w:rsid w:val="00203DEA"/>
    <w:rsid w:val="00207210"/>
    <w:rsid w:val="0020758F"/>
    <w:rsid w:val="00211288"/>
    <w:rsid w:val="00213836"/>
    <w:rsid w:val="00213DD1"/>
    <w:rsid w:val="00214B7B"/>
    <w:rsid w:val="00215816"/>
    <w:rsid w:val="00215B8C"/>
    <w:rsid w:val="002202C5"/>
    <w:rsid w:val="002251ED"/>
    <w:rsid w:val="00225DBD"/>
    <w:rsid w:val="00226CCD"/>
    <w:rsid w:val="00235613"/>
    <w:rsid w:val="00236822"/>
    <w:rsid w:val="00237804"/>
    <w:rsid w:val="0024204F"/>
    <w:rsid w:val="0024353A"/>
    <w:rsid w:val="00245D92"/>
    <w:rsid w:val="00251F54"/>
    <w:rsid w:val="00253AE0"/>
    <w:rsid w:val="00253C85"/>
    <w:rsid w:val="00256155"/>
    <w:rsid w:val="002577A4"/>
    <w:rsid w:val="002614A6"/>
    <w:rsid w:val="0026202A"/>
    <w:rsid w:val="00262059"/>
    <w:rsid w:val="00267869"/>
    <w:rsid w:val="00270A35"/>
    <w:rsid w:val="00274B93"/>
    <w:rsid w:val="00275EF7"/>
    <w:rsid w:val="002771CD"/>
    <w:rsid w:val="00280D66"/>
    <w:rsid w:val="0028273C"/>
    <w:rsid w:val="0028573D"/>
    <w:rsid w:val="00286012"/>
    <w:rsid w:val="002908EB"/>
    <w:rsid w:val="00293087"/>
    <w:rsid w:val="00293163"/>
    <w:rsid w:val="00297918"/>
    <w:rsid w:val="002A00E5"/>
    <w:rsid w:val="002A3589"/>
    <w:rsid w:val="002A7364"/>
    <w:rsid w:val="002B4864"/>
    <w:rsid w:val="002B4D4C"/>
    <w:rsid w:val="002B6473"/>
    <w:rsid w:val="002C0593"/>
    <w:rsid w:val="002C5B17"/>
    <w:rsid w:val="002D011D"/>
    <w:rsid w:val="002D0B89"/>
    <w:rsid w:val="002D0D27"/>
    <w:rsid w:val="002D576C"/>
    <w:rsid w:val="002E2646"/>
    <w:rsid w:val="002E4DAC"/>
    <w:rsid w:val="002E6254"/>
    <w:rsid w:val="002E7795"/>
    <w:rsid w:val="002F14FE"/>
    <w:rsid w:val="002F4666"/>
    <w:rsid w:val="002F4F04"/>
    <w:rsid w:val="002F743C"/>
    <w:rsid w:val="00307269"/>
    <w:rsid w:val="00312BA7"/>
    <w:rsid w:val="003148B7"/>
    <w:rsid w:val="003155B1"/>
    <w:rsid w:val="00316724"/>
    <w:rsid w:val="00316F09"/>
    <w:rsid w:val="0031714F"/>
    <w:rsid w:val="00321B27"/>
    <w:rsid w:val="00323CB1"/>
    <w:rsid w:val="00323E52"/>
    <w:rsid w:val="003259FB"/>
    <w:rsid w:val="00326010"/>
    <w:rsid w:val="00327272"/>
    <w:rsid w:val="00334CBD"/>
    <w:rsid w:val="00335410"/>
    <w:rsid w:val="00335D99"/>
    <w:rsid w:val="00340237"/>
    <w:rsid w:val="00340564"/>
    <w:rsid w:val="00340C62"/>
    <w:rsid w:val="003447DF"/>
    <w:rsid w:val="003458EB"/>
    <w:rsid w:val="00353FB5"/>
    <w:rsid w:val="003552C4"/>
    <w:rsid w:val="00356CB2"/>
    <w:rsid w:val="003616C4"/>
    <w:rsid w:val="00362BB9"/>
    <w:rsid w:val="00367FAD"/>
    <w:rsid w:val="00370A2C"/>
    <w:rsid w:val="00374BD0"/>
    <w:rsid w:val="00376BF6"/>
    <w:rsid w:val="00384F5C"/>
    <w:rsid w:val="00390D7B"/>
    <w:rsid w:val="00390F58"/>
    <w:rsid w:val="00391A82"/>
    <w:rsid w:val="0039324F"/>
    <w:rsid w:val="00393B04"/>
    <w:rsid w:val="00393B33"/>
    <w:rsid w:val="00394D97"/>
    <w:rsid w:val="003964DA"/>
    <w:rsid w:val="00396901"/>
    <w:rsid w:val="00397F44"/>
    <w:rsid w:val="003B3F43"/>
    <w:rsid w:val="003B4E21"/>
    <w:rsid w:val="003C259A"/>
    <w:rsid w:val="003C441B"/>
    <w:rsid w:val="003C45FD"/>
    <w:rsid w:val="003D0F76"/>
    <w:rsid w:val="003D4003"/>
    <w:rsid w:val="003E26AA"/>
    <w:rsid w:val="003E5080"/>
    <w:rsid w:val="003F2B30"/>
    <w:rsid w:val="003F37A1"/>
    <w:rsid w:val="003F73DC"/>
    <w:rsid w:val="004030AF"/>
    <w:rsid w:val="00404524"/>
    <w:rsid w:val="00407300"/>
    <w:rsid w:val="00407841"/>
    <w:rsid w:val="00407F2E"/>
    <w:rsid w:val="00412F2B"/>
    <w:rsid w:val="00413327"/>
    <w:rsid w:val="00415A55"/>
    <w:rsid w:val="004164D5"/>
    <w:rsid w:val="00421D8E"/>
    <w:rsid w:val="004236F5"/>
    <w:rsid w:val="00423F8D"/>
    <w:rsid w:val="00426475"/>
    <w:rsid w:val="004317DA"/>
    <w:rsid w:val="004332CF"/>
    <w:rsid w:val="00433DBD"/>
    <w:rsid w:val="0043515E"/>
    <w:rsid w:val="00435D55"/>
    <w:rsid w:val="00436147"/>
    <w:rsid w:val="004361C5"/>
    <w:rsid w:val="0043770A"/>
    <w:rsid w:val="0044414E"/>
    <w:rsid w:val="00445E82"/>
    <w:rsid w:val="00446039"/>
    <w:rsid w:val="00451405"/>
    <w:rsid w:val="00460DCC"/>
    <w:rsid w:val="00461096"/>
    <w:rsid w:val="004670CD"/>
    <w:rsid w:val="00480830"/>
    <w:rsid w:val="00480C16"/>
    <w:rsid w:val="00483351"/>
    <w:rsid w:val="00483FF7"/>
    <w:rsid w:val="00491B87"/>
    <w:rsid w:val="00491F9D"/>
    <w:rsid w:val="00492327"/>
    <w:rsid w:val="004977ED"/>
    <w:rsid w:val="004A0A3A"/>
    <w:rsid w:val="004A1003"/>
    <w:rsid w:val="004A1710"/>
    <w:rsid w:val="004A17DF"/>
    <w:rsid w:val="004A1D01"/>
    <w:rsid w:val="004A3236"/>
    <w:rsid w:val="004A3917"/>
    <w:rsid w:val="004A7407"/>
    <w:rsid w:val="004B03F4"/>
    <w:rsid w:val="004B2056"/>
    <w:rsid w:val="004B2499"/>
    <w:rsid w:val="004B3ADC"/>
    <w:rsid w:val="004C23C7"/>
    <w:rsid w:val="004C2D0C"/>
    <w:rsid w:val="004C3012"/>
    <w:rsid w:val="004C31B0"/>
    <w:rsid w:val="004C5D1C"/>
    <w:rsid w:val="004C6A7B"/>
    <w:rsid w:val="004D45AE"/>
    <w:rsid w:val="004D4656"/>
    <w:rsid w:val="004D5A52"/>
    <w:rsid w:val="004E2F87"/>
    <w:rsid w:val="004E4E73"/>
    <w:rsid w:val="004E5897"/>
    <w:rsid w:val="004F3907"/>
    <w:rsid w:val="004F4965"/>
    <w:rsid w:val="004F552C"/>
    <w:rsid w:val="0050086A"/>
    <w:rsid w:val="005021CE"/>
    <w:rsid w:val="00504E54"/>
    <w:rsid w:val="00506DC8"/>
    <w:rsid w:val="005104CB"/>
    <w:rsid w:val="00511285"/>
    <w:rsid w:val="005148F5"/>
    <w:rsid w:val="005207B3"/>
    <w:rsid w:val="00521A10"/>
    <w:rsid w:val="005269C1"/>
    <w:rsid w:val="0053179E"/>
    <w:rsid w:val="00531ADC"/>
    <w:rsid w:val="005322B9"/>
    <w:rsid w:val="00536018"/>
    <w:rsid w:val="00540AF8"/>
    <w:rsid w:val="00542247"/>
    <w:rsid w:val="00542500"/>
    <w:rsid w:val="0054553F"/>
    <w:rsid w:val="00553E99"/>
    <w:rsid w:val="00554B03"/>
    <w:rsid w:val="00560327"/>
    <w:rsid w:val="00562813"/>
    <w:rsid w:val="00562D96"/>
    <w:rsid w:val="00566BAC"/>
    <w:rsid w:val="00571355"/>
    <w:rsid w:val="00571A2B"/>
    <w:rsid w:val="00571B3A"/>
    <w:rsid w:val="00577868"/>
    <w:rsid w:val="005852B9"/>
    <w:rsid w:val="00586379"/>
    <w:rsid w:val="005928C8"/>
    <w:rsid w:val="00593557"/>
    <w:rsid w:val="00596D39"/>
    <w:rsid w:val="005A752D"/>
    <w:rsid w:val="005B1B55"/>
    <w:rsid w:val="005B43FB"/>
    <w:rsid w:val="005B5A16"/>
    <w:rsid w:val="005B5E72"/>
    <w:rsid w:val="005B63BA"/>
    <w:rsid w:val="005C0AC1"/>
    <w:rsid w:val="005C0FDC"/>
    <w:rsid w:val="005C355E"/>
    <w:rsid w:val="005C3BE9"/>
    <w:rsid w:val="005D04D6"/>
    <w:rsid w:val="005D2BFD"/>
    <w:rsid w:val="005D2C62"/>
    <w:rsid w:val="005D4306"/>
    <w:rsid w:val="005D59BA"/>
    <w:rsid w:val="005E09D4"/>
    <w:rsid w:val="005E33DA"/>
    <w:rsid w:val="005E427D"/>
    <w:rsid w:val="005E6B17"/>
    <w:rsid w:val="005E7DB1"/>
    <w:rsid w:val="005F1E59"/>
    <w:rsid w:val="005F390B"/>
    <w:rsid w:val="00600CB4"/>
    <w:rsid w:val="00601F0A"/>
    <w:rsid w:val="00604109"/>
    <w:rsid w:val="006130E9"/>
    <w:rsid w:val="00613DDC"/>
    <w:rsid w:val="0062518D"/>
    <w:rsid w:val="0063039C"/>
    <w:rsid w:val="00632ED3"/>
    <w:rsid w:val="00644277"/>
    <w:rsid w:val="00645CC1"/>
    <w:rsid w:val="006468D4"/>
    <w:rsid w:val="00650312"/>
    <w:rsid w:val="0065051B"/>
    <w:rsid w:val="006506D2"/>
    <w:rsid w:val="00652D47"/>
    <w:rsid w:val="00657607"/>
    <w:rsid w:val="00660FE1"/>
    <w:rsid w:val="0066677A"/>
    <w:rsid w:val="00666E2B"/>
    <w:rsid w:val="0066732B"/>
    <w:rsid w:val="00667F35"/>
    <w:rsid w:val="00671DCD"/>
    <w:rsid w:val="006744B5"/>
    <w:rsid w:val="0067616B"/>
    <w:rsid w:val="006761D0"/>
    <w:rsid w:val="006800B5"/>
    <w:rsid w:val="00681303"/>
    <w:rsid w:val="00684322"/>
    <w:rsid w:val="00685A38"/>
    <w:rsid w:val="006879AA"/>
    <w:rsid w:val="006916CE"/>
    <w:rsid w:val="006965C7"/>
    <w:rsid w:val="006970E9"/>
    <w:rsid w:val="006A0BEC"/>
    <w:rsid w:val="006A19FB"/>
    <w:rsid w:val="006A1E03"/>
    <w:rsid w:val="006A7A89"/>
    <w:rsid w:val="006B1E17"/>
    <w:rsid w:val="006B3D85"/>
    <w:rsid w:val="006C11C0"/>
    <w:rsid w:val="006C24E4"/>
    <w:rsid w:val="006C4BF6"/>
    <w:rsid w:val="006D2C3C"/>
    <w:rsid w:val="006D3369"/>
    <w:rsid w:val="006D41CC"/>
    <w:rsid w:val="006D6566"/>
    <w:rsid w:val="006D7AFC"/>
    <w:rsid w:val="006E02A9"/>
    <w:rsid w:val="006E3F12"/>
    <w:rsid w:val="006E6693"/>
    <w:rsid w:val="006F14D4"/>
    <w:rsid w:val="006F1759"/>
    <w:rsid w:val="006F4E17"/>
    <w:rsid w:val="006F7843"/>
    <w:rsid w:val="00700357"/>
    <w:rsid w:val="0070074A"/>
    <w:rsid w:val="00701714"/>
    <w:rsid w:val="007019BD"/>
    <w:rsid w:val="007028BC"/>
    <w:rsid w:val="00706104"/>
    <w:rsid w:val="00710382"/>
    <w:rsid w:val="00711FF5"/>
    <w:rsid w:val="0071494C"/>
    <w:rsid w:val="00715BA2"/>
    <w:rsid w:val="00721FA2"/>
    <w:rsid w:val="00726576"/>
    <w:rsid w:val="0073053C"/>
    <w:rsid w:val="00733282"/>
    <w:rsid w:val="0073462C"/>
    <w:rsid w:val="00734983"/>
    <w:rsid w:val="007349D8"/>
    <w:rsid w:val="00737612"/>
    <w:rsid w:val="00742A72"/>
    <w:rsid w:val="00742E31"/>
    <w:rsid w:val="0074694C"/>
    <w:rsid w:val="007505F3"/>
    <w:rsid w:val="00752CB5"/>
    <w:rsid w:val="00752FA2"/>
    <w:rsid w:val="00755850"/>
    <w:rsid w:val="007609F1"/>
    <w:rsid w:val="007631FE"/>
    <w:rsid w:val="007632FB"/>
    <w:rsid w:val="007658F2"/>
    <w:rsid w:val="00766F52"/>
    <w:rsid w:val="00767298"/>
    <w:rsid w:val="00767E9E"/>
    <w:rsid w:val="00772ABA"/>
    <w:rsid w:val="00772E94"/>
    <w:rsid w:val="0078033E"/>
    <w:rsid w:val="007854CE"/>
    <w:rsid w:val="007859C5"/>
    <w:rsid w:val="00785D4B"/>
    <w:rsid w:val="0078697A"/>
    <w:rsid w:val="00790616"/>
    <w:rsid w:val="00791975"/>
    <w:rsid w:val="007928BE"/>
    <w:rsid w:val="0079427B"/>
    <w:rsid w:val="00796045"/>
    <w:rsid w:val="00796560"/>
    <w:rsid w:val="00797231"/>
    <w:rsid w:val="007A63F4"/>
    <w:rsid w:val="007A6AEB"/>
    <w:rsid w:val="007B44D4"/>
    <w:rsid w:val="007B4AF7"/>
    <w:rsid w:val="007B58C1"/>
    <w:rsid w:val="007B6286"/>
    <w:rsid w:val="007B6DED"/>
    <w:rsid w:val="007B7B07"/>
    <w:rsid w:val="007B7F1A"/>
    <w:rsid w:val="007C06E1"/>
    <w:rsid w:val="007C0DBF"/>
    <w:rsid w:val="007C3F36"/>
    <w:rsid w:val="007C5926"/>
    <w:rsid w:val="007C5D77"/>
    <w:rsid w:val="007C6974"/>
    <w:rsid w:val="007C6F1B"/>
    <w:rsid w:val="007D2085"/>
    <w:rsid w:val="007D4AE0"/>
    <w:rsid w:val="007D66B3"/>
    <w:rsid w:val="007E1B34"/>
    <w:rsid w:val="007E707E"/>
    <w:rsid w:val="007E777D"/>
    <w:rsid w:val="007F2A75"/>
    <w:rsid w:val="007F2D0C"/>
    <w:rsid w:val="007F2DED"/>
    <w:rsid w:val="007F57AB"/>
    <w:rsid w:val="007F5ADB"/>
    <w:rsid w:val="007F5DDD"/>
    <w:rsid w:val="0080103F"/>
    <w:rsid w:val="00810018"/>
    <w:rsid w:val="00810A09"/>
    <w:rsid w:val="008119E5"/>
    <w:rsid w:val="00811AF9"/>
    <w:rsid w:val="00823AA7"/>
    <w:rsid w:val="0082437B"/>
    <w:rsid w:val="00831E3A"/>
    <w:rsid w:val="00834241"/>
    <w:rsid w:val="008367CE"/>
    <w:rsid w:val="00837219"/>
    <w:rsid w:val="008423BB"/>
    <w:rsid w:val="00847EDF"/>
    <w:rsid w:val="00851697"/>
    <w:rsid w:val="00852ED0"/>
    <w:rsid w:val="00855136"/>
    <w:rsid w:val="00855B3A"/>
    <w:rsid w:val="00857056"/>
    <w:rsid w:val="00863E2F"/>
    <w:rsid w:val="00867252"/>
    <w:rsid w:val="0086791A"/>
    <w:rsid w:val="008705EF"/>
    <w:rsid w:val="00870637"/>
    <w:rsid w:val="00870B1E"/>
    <w:rsid w:val="00872697"/>
    <w:rsid w:val="0087498F"/>
    <w:rsid w:val="00875439"/>
    <w:rsid w:val="008769A5"/>
    <w:rsid w:val="008801B8"/>
    <w:rsid w:val="00880F55"/>
    <w:rsid w:val="008811B6"/>
    <w:rsid w:val="00882460"/>
    <w:rsid w:val="0088443F"/>
    <w:rsid w:val="008844E0"/>
    <w:rsid w:val="008871E3"/>
    <w:rsid w:val="00894EEA"/>
    <w:rsid w:val="00896C0E"/>
    <w:rsid w:val="008A03DE"/>
    <w:rsid w:val="008A16A2"/>
    <w:rsid w:val="008A3DC4"/>
    <w:rsid w:val="008A510C"/>
    <w:rsid w:val="008B3B9C"/>
    <w:rsid w:val="008B5444"/>
    <w:rsid w:val="008B68D6"/>
    <w:rsid w:val="008C1AB4"/>
    <w:rsid w:val="008C3AB5"/>
    <w:rsid w:val="008C7B4A"/>
    <w:rsid w:val="008D0174"/>
    <w:rsid w:val="008D0612"/>
    <w:rsid w:val="008D138F"/>
    <w:rsid w:val="008D14DF"/>
    <w:rsid w:val="008D365F"/>
    <w:rsid w:val="008E3E14"/>
    <w:rsid w:val="008E4784"/>
    <w:rsid w:val="008E5C8A"/>
    <w:rsid w:val="008E62E3"/>
    <w:rsid w:val="008E6435"/>
    <w:rsid w:val="008F05D1"/>
    <w:rsid w:val="008F722B"/>
    <w:rsid w:val="00900E31"/>
    <w:rsid w:val="00900FFA"/>
    <w:rsid w:val="0090470F"/>
    <w:rsid w:val="009047E7"/>
    <w:rsid w:val="00904CA4"/>
    <w:rsid w:val="00910F13"/>
    <w:rsid w:val="00912C8E"/>
    <w:rsid w:val="00913709"/>
    <w:rsid w:val="00913B9E"/>
    <w:rsid w:val="009140AC"/>
    <w:rsid w:val="009171C2"/>
    <w:rsid w:val="00920EFA"/>
    <w:rsid w:val="0092202D"/>
    <w:rsid w:val="0092627A"/>
    <w:rsid w:val="00930472"/>
    <w:rsid w:val="00936E61"/>
    <w:rsid w:val="0094122F"/>
    <w:rsid w:val="00942735"/>
    <w:rsid w:val="009507EE"/>
    <w:rsid w:val="0095157F"/>
    <w:rsid w:val="009521CA"/>
    <w:rsid w:val="00953A1E"/>
    <w:rsid w:val="009544EE"/>
    <w:rsid w:val="009551FC"/>
    <w:rsid w:val="00956468"/>
    <w:rsid w:val="00960B8C"/>
    <w:rsid w:val="009831C7"/>
    <w:rsid w:val="00985A36"/>
    <w:rsid w:val="00985B9A"/>
    <w:rsid w:val="00986A0B"/>
    <w:rsid w:val="009872F7"/>
    <w:rsid w:val="009918B0"/>
    <w:rsid w:val="00992935"/>
    <w:rsid w:val="009A251F"/>
    <w:rsid w:val="009A27B6"/>
    <w:rsid w:val="009B0503"/>
    <w:rsid w:val="009B2818"/>
    <w:rsid w:val="009B63A1"/>
    <w:rsid w:val="009C22F6"/>
    <w:rsid w:val="009C4298"/>
    <w:rsid w:val="009C4384"/>
    <w:rsid w:val="009C5461"/>
    <w:rsid w:val="009C689A"/>
    <w:rsid w:val="009C7D05"/>
    <w:rsid w:val="009D785C"/>
    <w:rsid w:val="009E0A75"/>
    <w:rsid w:val="009E2538"/>
    <w:rsid w:val="009E449B"/>
    <w:rsid w:val="009E6F17"/>
    <w:rsid w:val="009F2F33"/>
    <w:rsid w:val="009F3B7A"/>
    <w:rsid w:val="009F3E9D"/>
    <w:rsid w:val="009F67B5"/>
    <w:rsid w:val="00A00A49"/>
    <w:rsid w:val="00A02AE9"/>
    <w:rsid w:val="00A05822"/>
    <w:rsid w:val="00A070B5"/>
    <w:rsid w:val="00A12A1E"/>
    <w:rsid w:val="00A15F07"/>
    <w:rsid w:val="00A16586"/>
    <w:rsid w:val="00A17F01"/>
    <w:rsid w:val="00A201EB"/>
    <w:rsid w:val="00A20BE5"/>
    <w:rsid w:val="00A23683"/>
    <w:rsid w:val="00A34E3E"/>
    <w:rsid w:val="00A414E6"/>
    <w:rsid w:val="00A4261C"/>
    <w:rsid w:val="00A445CD"/>
    <w:rsid w:val="00A52BE1"/>
    <w:rsid w:val="00A53737"/>
    <w:rsid w:val="00A55DF7"/>
    <w:rsid w:val="00A573FC"/>
    <w:rsid w:val="00A604E8"/>
    <w:rsid w:val="00A65D06"/>
    <w:rsid w:val="00A72ED4"/>
    <w:rsid w:val="00A736E6"/>
    <w:rsid w:val="00A752ED"/>
    <w:rsid w:val="00A80C3C"/>
    <w:rsid w:val="00A80EEB"/>
    <w:rsid w:val="00A85FDF"/>
    <w:rsid w:val="00A87125"/>
    <w:rsid w:val="00A91A6B"/>
    <w:rsid w:val="00A91E69"/>
    <w:rsid w:val="00A926DB"/>
    <w:rsid w:val="00A92795"/>
    <w:rsid w:val="00A92C74"/>
    <w:rsid w:val="00A9675E"/>
    <w:rsid w:val="00AA12BF"/>
    <w:rsid w:val="00AA2A7F"/>
    <w:rsid w:val="00AB30C2"/>
    <w:rsid w:val="00AC0E12"/>
    <w:rsid w:val="00AC0EAC"/>
    <w:rsid w:val="00AC1AAE"/>
    <w:rsid w:val="00AC41C9"/>
    <w:rsid w:val="00AC4526"/>
    <w:rsid w:val="00AC5C64"/>
    <w:rsid w:val="00AC7B73"/>
    <w:rsid w:val="00AC7E44"/>
    <w:rsid w:val="00AD12CC"/>
    <w:rsid w:val="00AD25AE"/>
    <w:rsid w:val="00AD7C11"/>
    <w:rsid w:val="00AE1E09"/>
    <w:rsid w:val="00AE553E"/>
    <w:rsid w:val="00AF24CC"/>
    <w:rsid w:val="00AF76F5"/>
    <w:rsid w:val="00B00E48"/>
    <w:rsid w:val="00B014FC"/>
    <w:rsid w:val="00B03D87"/>
    <w:rsid w:val="00B07A6A"/>
    <w:rsid w:val="00B106FB"/>
    <w:rsid w:val="00B11057"/>
    <w:rsid w:val="00B13F67"/>
    <w:rsid w:val="00B166B9"/>
    <w:rsid w:val="00B2269F"/>
    <w:rsid w:val="00B24A6E"/>
    <w:rsid w:val="00B33A45"/>
    <w:rsid w:val="00B40458"/>
    <w:rsid w:val="00B420B3"/>
    <w:rsid w:val="00B42340"/>
    <w:rsid w:val="00B46D14"/>
    <w:rsid w:val="00B512AB"/>
    <w:rsid w:val="00B5494C"/>
    <w:rsid w:val="00B6021E"/>
    <w:rsid w:val="00B60557"/>
    <w:rsid w:val="00B655C6"/>
    <w:rsid w:val="00B67F57"/>
    <w:rsid w:val="00B717BF"/>
    <w:rsid w:val="00B7555D"/>
    <w:rsid w:val="00B77337"/>
    <w:rsid w:val="00B80D0F"/>
    <w:rsid w:val="00B81659"/>
    <w:rsid w:val="00B8314D"/>
    <w:rsid w:val="00B83D89"/>
    <w:rsid w:val="00B85DCE"/>
    <w:rsid w:val="00B85EB0"/>
    <w:rsid w:val="00B918B6"/>
    <w:rsid w:val="00B9373C"/>
    <w:rsid w:val="00B951BA"/>
    <w:rsid w:val="00B97034"/>
    <w:rsid w:val="00BA0783"/>
    <w:rsid w:val="00BA0F17"/>
    <w:rsid w:val="00BA398E"/>
    <w:rsid w:val="00BA419C"/>
    <w:rsid w:val="00BA4E66"/>
    <w:rsid w:val="00BA5724"/>
    <w:rsid w:val="00BB04B3"/>
    <w:rsid w:val="00BB34E0"/>
    <w:rsid w:val="00BB4ED8"/>
    <w:rsid w:val="00BC29BB"/>
    <w:rsid w:val="00BC72A6"/>
    <w:rsid w:val="00BD0C72"/>
    <w:rsid w:val="00BD1591"/>
    <w:rsid w:val="00BD1654"/>
    <w:rsid w:val="00BD2632"/>
    <w:rsid w:val="00BD2B4D"/>
    <w:rsid w:val="00BD3253"/>
    <w:rsid w:val="00BE0DB0"/>
    <w:rsid w:val="00BE3173"/>
    <w:rsid w:val="00BE79B9"/>
    <w:rsid w:val="00BF365C"/>
    <w:rsid w:val="00BF41A4"/>
    <w:rsid w:val="00BF5DCA"/>
    <w:rsid w:val="00C00544"/>
    <w:rsid w:val="00C00BEF"/>
    <w:rsid w:val="00C01CDF"/>
    <w:rsid w:val="00C03479"/>
    <w:rsid w:val="00C07AFB"/>
    <w:rsid w:val="00C129D0"/>
    <w:rsid w:val="00C14EDE"/>
    <w:rsid w:val="00C15A2E"/>
    <w:rsid w:val="00C219B5"/>
    <w:rsid w:val="00C21E66"/>
    <w:rsid w:val="00C23B8C"/>
    <w:rsid w:val="00C264F7"/>
    <w:rsid w:val="00C30531"/>
    <w:rsid w:val="00C32D03"/>
    <w:rsid w:val="00C34764"/>
    <w:rsid w:val="00C36D77"/>
    <w:rsid w:val="00C36E74"/>
    <w:rsid w:val="00C40733"/>
    <w:rsid w:val="00C4321A"/>
    <w:rsid w:val="00C43825"/>
    <w:rsid w:val="00C47222"/>
    <w:rsid w:val="00C54D43"/>
    <w:rsid w:val="00C57713"/>
    <w:rsid w:val="00C57775"/>
    <w:rsid w:val="00C60860"/>
    <w:rsid w:val="00C62211"/>
    <w:rsid w:val="00C64603"/>
    <w:rsid w:val="00C74000"/>
    <w:rsid w:val="00C75931"/>
    <w:rsid w:val="00C77045"/>
    <w:rsid w:val="00C775C8"/>
    <w:rsid w:val="00C8104E"/>
    <w:rsid w:val="00C825D3"/>
    <w:rsid w:val="00C82D2A"/>
    <w:rsid w:val="00C847E8"/>
    <w:rsid w:val="00C84AD4"/>
    <w:rsid w:val="00C8533E"/>
    <w:rsid w:val="00C86FE0"/>
    <w:rsid w:val="00C91D3C"/>
    <w:rsid w:val="00CA1843"/>
    <w:rsid w:val="00CA40F6"/>
    <w:rsid w:val="00CA6A00"/>
    <w:rsid w:val="00CB0E03"/>
    <w:rsid w:val="00CB5A1D"/>
    <w:rsid w:val="00CB64FE"/>
    <w:rsid w:val="00CB7406"/>
    <w:rsid w:val="00CB741E"/>
    <w:rsid w:val="00CC1F99"/>
    <w:rsid w:val="00CD339A"/>
    <w:rsid w:val="00CD355D"/>
    <w:rsid w:val="00CD3880"/>
    <w:rsid w:val="00CD4CF9"/>
    <w:rsid w:val="00CD586B"/>
    <w:rsid w:val="00CE185B"/>
    <w:rsid w:val="00CE36BA"/>
    <w:rsid w:val="00CE4BB3"/>
    <w:rsid w:val="00CE5240"/>
    <w:rsid w:val="00CE5AE8"/>
    <w:rsid w:val="00CE7A31"/>
    <w:rsid w:val="00CF1649"/>
    <w:rsid w:val="00CF3ECE"/>
    <w:rsid w:val="00CF61D0"/>
    <w:rsid w:val="00D01719"/>
    <w:rsid w:val="00D01FC0"/>
    <w:rsid w:val="00D04D1B"/>
    <w:rsid w:val="00D0527B"/>
    <w:rsid w:val="00D125E7"/>
    <w:rsid w:val="00D15290"/>
    <w:rsid w:val="00D177DF"/>
    <w:rsid w:val="00D214D6"/>
    <w:rsid w:val="00D24EC3"/>
    <w:rsid w:val="00D2528D"/>
    <w:rsid w:val="00D306D1"/>
    <w:rsid w:val="00D36605"/>
    <w:rsid w:val="00D410F1"/>
    <w:rsid w:val="00D43896"/>
    <w:rsid w:val="00D443C7"/>
    <w:rsid w:val="00D46101"/>
    <w:rsid w:val="00D47C1F"/>
    <w:rsid w:val="00D53209"/>
    <w:rsid w:val="00D57316"/>
    <w:rsid w:val="00D61867"/>
    <w:rsid w:val="00D651AB"/>
    <w:rsid w:val="00D66641"/>
    <w:rsid w:val="00D70A1D"/>
    <w:rsid w:val="00D70F91"/>
    <w:rsid w:val="00D7460F"/>
    <w:rsid w:val="00D75E6C"/>
    <w:rsid w:val="00D76BBC"/>
    <w:rsid w:val="00D86291"/>
    <w:rsid w:val="00D87879"/>
    <w:rsid w:val="00D924F4"/>
    <w:rsid w:val="00D945FE"/>
    <w:rsid w:val="00D9565C"/>
    <w:rsid w:val="00D9734B"/>
    <w:rsid w:val="00D97F0F"/>
    <w:rsid w:val="00DA2220"/>
    <w:rsid w:val="00DA7E40"/>
    <w:rsid w:val="00DB028A"/>
    <w:rsid w:val="00DB0CF7"/>
    <w:rsid w:val="00DB1405"/>
    <w:rsid w:val="00DB43D5"/>
    <w:rsid w:val="00DB6D53"/>
    <w:rsid w:val="00DD12DD"/>
    <w:rsid w:val="00DD73F7"/>
    <w:rsid w:val="00DD7FD4"/>
    <w:rsid w:val="00DE0427"/>
    <w:rsid w:val="00DE0651"/>
    <w:rsid w:val="00DE2B87"/>
    <w:rsid w:val="00DE7A89"/>
    <w:rsid w:val="00DF3413"/>
    <w:rsid w:val="00DF72C8"/>
    <w:rsid w:val="00E0000C"/>
    <w:rsid w:val="00E001AC"/>
    <w:rsid w:val="00E01668"/>
    <w:rsid w:val="00E03857"/>
    <w:rsid w:val="00E059E4"/>
    <w:rsid w:val="00E107E8"/>
    <w:rsid w:val="00E118A9"/>
    <w:rsid w:val="00E11DAC"/>
    <w:rsid w:val="00E11DAD"/>
    <w:rsid w:val="00E122C2"/>
    <w:rsid w:val="00E141CB"/>
    <w:rsid w:val="00E15097"/>
    <w:rsid w:val="00E16299"/>
    <w:rsid w:val="00E2276C"/>
    <w:rsid w:val="00E23EB6"/>
    <w:rsid w:val="00E23EC3"/>
    <w:rsid w:val="00E25B15"/>
    <w:rsid w:val="00E278F0"/>
    <w:rsid w:val="00E27A23"/>
    <w:rsid w:val="00E300A0"/>
    <w:rsid w:val="00E32AC5"/>
    <w:rsid w:val="00E332FB"/>
    <w:rsid w:val="00E37DEF"/>
    <w:rsid w:val="00E41B71"/>
    <w:rsid w:val="00E43D61"/>
    <w:rsid w:val="00E45B13"/>
    <w:rsid w:val="00E5133E"/>
    <w:rsid w:val="00E55116"/>
    <w:rsid w:val="00E57602"/>
    <w:rsid w:val="00E57EDC"/>
    <w:rsid w:val="00E61502"/>
    <w:rsid w:val="00E61828"/>
    <w:rsid w:val="00E63FEB"/>
    <w:rsid w:val="00E743DB"/>
    <w:rsid w:val="00E7710E"/>
    <w:rsid w:val="00E83E4C"/>
    <w:rsid w:val="00E8448B"/>
    <w:rsid w:val="00E87B54"/>
    <w:rsid w:val="00E90CA8"/>
    <w:rsid w:val="00E90EB8"/>
    <w:rsid w:val="00E93D29"/>
    <w:rsid w:val="00E94061"/>
    <w:rsid w:val="00E9578A"/>
    <w:rsid w:val="00E95940"/>
    <w:rsid w:val="00E96531"/>
    <w:rsid w:val="00EA2324"/>
    <w:rsid w:val="00EA2C80"/>
    <w:rsid w:val="00EA4040"/>
    <w:rsid w:val="00EB0847"/>
    <w:rsid w:val="00EB792D"/>
    <w:rsid w:val="00EC16BA"/>
    <w:rsid w:val="00EC4634"/>
    <w:rsid w:val="00EC57BC"/>
    <w:rsid w:val="00ED1590"/>
    <w:rsid w:val="00ED1BE4"/>
    <w:rsid w:val="00ED55A4"/>
    <w:rsid w:val="00EE01F2"/>
    <w:rsid w:val="00EE2F95"/>
    <w:rsid w:val="00EE79A5"/>
    <w:rsid w:val="00EF1453"/>
    <w:rsid w:val="00EF7E9B"/>
    <w:rsid w:val="00F07B73"/>
    <w:rsid w:val="00F11872"/>
    <w:rsid w:val="00F126E1"/>
    <w:rsid w:val="00F14CDD"/>
    <w:rsid w:val="00F15D0D"/>
    <w:rsid w:val="00F22D1F"/>
    <w:rsid w:val="00F23044"/>
    <w:rsid w:val="00F234CC"/>
    <w:rsid w:val="00F267B0"/>
    <w:rsid w:val="00F30222"/>
    <w:rsid w:val="00F328A1"/>
    <w:rsid w:val="00F34DE2"/>
    <w:rsid w:val="00F403D9"/>
    <w:rsid w:val="00F412D3"/>
    <w:rsid w:val="00F43B4B"/>
    <w:rsid w:val="00F47325"/>
    <w:rsid w:val="00F52BEA"/>
    <w:rsid w:val="00F555D9"/>
    <w:rsid w:val="00F5726E"/>
    <w:rsid w:val="00F615FD"/>
    <w:rsid w:val="00F61EA6"/>
    <w:rsid w:val="00F629D8"/>
    <w:rsid w:val="00F63FA1"/>
    <w:rsid w:val="00F6549F"/>
    <w:rsid w:val="00F6608B"/>
    <w:rsid w:val="00F6634A"/>
    <w:rsid w:val="00F719F6"/>
    <w:rsid w:val="00F71DB5"/>
    <w:rsid w:val="00F71FF3"/>
    <w:rsid w:val="00F808CF"/>
    <w:rsid w:val="00F80B6E"/>
    <w:rsid w:val="00F83271"/>
    <w:rsid w:val="00F84273"/>
    <w:rsid w:val="00F90D18"/>
    <w:rsid w:val="00F91728"/>
    <w:rsid w:val="00F93EFA"/>
    <w:rsid w:val="00F94EDC"/>
    <w:rsid w:val="00F96B3C"/>
    <w:rsid w:val="00FA03B9"/>
    <w:rsid w:val="00FA1AF9"/>
    <w:rsid w:val="00FA2E33"/>
    <w:rsid w:val="00FA2F10"/>
    <w:rsid w:val="00FB0F83"/>
    <w:rsid w:val="00FB4118"/>
    <w:rsid w:val="00FB60B1"/>
    <w:rsid w:val="00FC186E"/>
    <w:rsid w:val="00FC21CF"/>
    <w:rsid w:val="00FC246C"/>
    <w:rsid w:val="00FC4832"/>
    <w:rsid w:val="00FC6E72"/>
    <w:rsid w:val="00FD18C9"/>
    <w:rsid w:val="00FD7C3C"/>
    <w:rsid w:val="00FE1A7B"/>
    <w:rsid w:val="00FE5D1F"/>
    <w:rsid w:val="00FF2BED"/>
    <w:rsid w:val="00FF4DF8"/>
    <w:rsid w:val="00FF53B8"/>
    <w:rsid w:val="00FF604B"/>
    <w:rsid w:val="02434B2F"/>
    <w:rsid w:val="02A42806"/>
    <w:rsid w:val="02B87DDD"/>
    <w:rsid w:val="04017314"/>
    <w:rsid w:val="04691A1A"/>
    <w:rsid w:val="066B62DD"/>
    <w:rsid w:val="06D05D13"/>
    <w:rsid w:val="06DD29F0"/>
    <w:rsid w:val="075C108C"/>
    <w:rsid w:val="079B7D4C"/>
    <w:rsid w:val="07D01CBD"/>
    <w:rsid w:val="082661A3"/>
    <w:rsid w:val="089069CB"/>
    <w:rsid w:val="08FF3BC0"/>
    <w:rsid w:val="0913021C"/>
    <w:rsid w:val="09240C01"/>
    <w:rsid w:val="09352BA7"/>
    <w:rsid w:val="095709C5"/>
    <w:rsid w:val="09AE0DAF"/>
    <w:rsid w:val="09DD61AB"/>
    <w:rsid w:val="0A1A0491"/>
    <w:rsid w:val="0A705E99"/>
    <w:rsid w:val="0A9714B9"/>
    <w:rsid w:val="0B444461"/>
    <w:rsid w:val="0B461997"/>
    <w:rsid w:val="0B7525F3"/>
    <w:rsid w:val="0BBB496E"/>
    <w:rsid w:val="0BD717AD"/>
    <w:rsid w:val="0BDF623C"/>
    <w:rsid w:val="0CEB76F5"/>
    <w:rsid w:val="0DBF7ADF"/>
    <w:rsid w:val="0DF3127D"/>
    <w:rsid w:val="0F873F17"/>
    <w:rsid w:val="0FD260D3"/>
    <w:rsid w:val="0FF53195"/>
    <w:rsid w:val="0FFE1B04"/>
    <w:rsid w:val="104A414E"/>
    <w:rsid w:val="10E1491B"/>
    <w:rsid w:val="10F33AA2"/>
    <w:rsid w:val="111D3BEA"/>
    <w:rsid w:val="111F7B66"/>
    <w:rsid w:val="11342077"/>
    <w:rsid w:val="11A12707"/>
    <w:rsid w:val="12671307"/>
    <w:rsid w:val="12F2707B"/>
    <w:rsid w:val="145B5E00"/>
    <w:rsid w:val="15625C1A"/>
    <w:rsid w:val="15FA6134"/>
    <w:rsid w:val="16043164"/>
    <w:rsid w:val="160E2F2C"/>
    <w:rsid w:val="16D54726"/>
    <w:rsid w:val="170E0D3E"/>
    <w:rsid w:val="17DD57F4"/>
    <w:rsid w:val="18023111"/>
    <w:rsid w:val="18BB7EEA"/>
    <w:rsid w:val="19656757"/>
    <w:rsid w:val="19BF20DB"/>
    <w:rsid w:val="1A5F5FFE"/>
    <w:rsid w:val="1A856571"/>
    <w:rsid w:val="1BBC01DE"/>
    <w:rsid w:val="1BBC6B48"/>
    <w:rsid w:val="1C425BC6"/>
    <w:rsid w:val="1C4636BA"/>
    <w:rsid w:val="1CB10441"/>
    <w:rsid w:val="1D322A9A"/>
    <w:rsid w:val="1EB5798F"/>
    <w:rsid w:val="1ED83D95"/>
    <w:rsid w:val="1F1767FC"/>
    <w:rsid w:val="1F3A4184"/>
    <w:rsid w:val="1FDC2F66"/>
    <w:rsid w:val="204C7EBD"/>
    <w:rsid w:val="205A6447"/>
    <w:rsid w:val="208636B1"/>
    <w:rsid w:val="2230610B"/>
    <w:rsid w:val="223C0204"/>
    <w:rsid w:val="2274124B"/>
    <w:rsid w:val="230708FC"/>
    <w:rsid w:val="23472A4E"/>
    <w:rsid w:val="23A51938"/>
    <w:rsid w:val="274F42A3"/>
    <w:rsid w:val="277946BD"/>
    <w:rsid w:val="27E2700B"/>
    <w:rsid w:val="29656049"/>
    <w:rsid w:val="29983824"/>
    <w:rsid w:val="29B155F7"/>
    <w:rsid w:val="2C0C2E1C"/>
    <w:rsid w:val="2C6B0D55"/>
    <w:rsid w:val="2C8F372C"/>
    <w:rsid w:val="2CA87255"/>
    <w:rsid w:val="2D0A2CC6"/>
    <w:rsid w:val="2D785CA8"/>
    <w:rsid w:val="2DAF0CE8"/>
    <w:rsid w:val="2E761723"/>
    <w:rsid w:val="2EF4150F"/>
    <w:rsid w:val="2EF94F10"/>
    <w:rsid w:val="314960E7"/>
    <w:rsid w:val="31642DCC"/>
    <w:rsid w:val="31B03388"/>
    <w:rsid w:val="32772AA3"/>
    <w:rsid w:val="32CE769C"/>
    <w:rsid w:val="32F8701E"/>
    <w:rsid w:val="3304624C"/>
    <w:rsid w:val="330E5190"/>
    <w:rsid w:val="339D79E4"/>
    <w:rsid w:val="34193179"/>
    <w:rsid w:val="34301296"/>
    <w:rsid w:val="343F66F9"/>
    <w:rsid w:val="34850B47"/>
    <w:rsid w:val="34C046D3"/>
    <w:rsid w:val="35366043"/>
    <w:rsid w:val="356F0663"/>
    <w:rsid w:val="35B30861"/>
    <w:rsid w:val="36836C23"/>
    <w:rsid w:val="368B387A"/>
    <w:rsid w:val="36A45EFF"/>
    <w:rsid w:val="373341A3"/>
    <w:rsid w:val="3736209D"/>
    <w:rsid w:val="37C753C8"/>
    <w:rsid w:val="37E234C7"/>
    <w:rsid w:val="382F4FDF"/>
    <w:rsid w:val="3A4C5B95"/>
    <w:rsid w:val="3A5C469B"/>
    <w:rsid w:val="3A8D792B"/>
    <w:rsid w:val="3B824C61"/>
    <w:rsid w:val="3B86254E"/>
    <w:rsid w:val="3BE64ED1"/>
    <w:rsid w:val="3BF3248F"/>
    <w:rsid w:val="3DFA12FE"/>
    <w:rsid w:val="3EA75C5D"/>
    <w:rsid w:val="3EC5172F"/>
    <w:rsid w:val="3F1341A7"/>
    <w:rsid w:val="3F6A5D9B"/>
    <w:rsid w:val="4024217D"/>
    <w:rsid w:val="41EA23D5"/>
    <w:rsid w:val="426A44E5"/>
    <w:rsid w:val="42BE5966"/>
    <w:rsid w:val="437C460E"/>
    <w:rsid w:val="44A1054C"/>
    <w:rsid w:val="44EA6BA9"/>
    <w:rsid w:val="451B366F"/>
    <w:rsid w:val="46124D68"/>
    <w:rsid w:val="46C00BBA"/>
    <w:rsid w:val="46C83A00"/>
    <w:rsid w:val="46CB76D7"/>
    <w:rsid w:val="479A64DD"/>
    <w:rsid w:val="47F24148"/>
    <w:rsid w:val="49FC681A"/>
    <w:rsid w:val="4A1A3AC4"/>
    <w:rsid w:val="4A5668A1"/>
    <w:rsid w:val="4A5D34DE"/>
    <w:rsid w:val="4BD07758"/>
    <w:rsid w:val="4C33610C"/>
    <w:rsid w:val="4C784C0F"/>
    <w:rsid w:val="4C910F28"/>
    <w:rsid w:val="4CC20D64"/>
    <w:rsid w:val="4D3B7185"/>
    <w:rsid w:val="4E0F678D"/>
    <w:rsid w:val="4E63497A"/>
    <w:rsid w:val="4E98738C"/>
    <w:rsid w:val="4EBD113E"/>
    <w:rsid w:val="4F5C46BC"/>
    <w:rsid w:val="4F600A37"/>
    <w:rsid w:val="4FBE365F"/>
    <w:rsid w:val="51E759A8"/>
    <w:rsid w:val="526D47F4"/>
    <w:rsid w:val="53B44CF5"/>
    <w:rsid w:val="54141354"/>
    <w:rsid w:val="5443616A"/>
    <w:rsid w:val="54CF115F"/>
    <w:rsid w:val="55DA751A"/>
    <w:rsid w:val="574F4D9F"/>
    <w:rsid w:val="575C034C"/>
    <w:rsid w:val="57715020"/>
    <w:rsid w:val="57C12402"/>
    <w:rsid w:val="57F77D0D"/>
    <w:rsid w:val="58B276B8"/>
    <w:rsid w:val="58D560CA"/>
    <w:rsid w:val="59DC7538"/>
    <w:rsid w:val="5A7D1574"/>
    <w:rsid w:val="5AAE7E04"/>
    <w:rsid w:val="5B1A1FCB"/>
    <w:rsid w:val="5BED0A83"/>
    <w:rsid w:val="5BF57B16"/>
    <w:rsid w:val="5DEB0476"/>
    <w:rsid w:val="5E247A28"/>
    <w:rsid w:val="5EA90E62"/>
    <w:rsid w:val="5F181D5E"/>
    <w:rsid w:val="5F361EA3"/>
    <w:rsid w:val="5F47378C"/>
    <w:rsid w:val="5FFF2543"/>
    <w:rsid w:val="600A6E7C"/>
    <w:rsid w:val="60380868"/>
    <w:rsid w:val="60852569"/>
    <w:rsid w:val="62087D7F"/>
    <w:rsid w:val="62DF0D3D"/>
    <w:rsid w:val="634F07DE"/>
    <w:rsid w:val="643E0C31"/>
    <w:rsid w:val="645E05F2"/>
    <w:rsid w:val="647F3943"/>
    <w:rsid w:val="64F31A67"/>
    <w:rsid w:val="6519091D"/>
    <w:rsid w:val="6579477B"/>
    <w:rsid w:val="65EF7151"/>
    <w:rsid w:val="65F7579F"/>
    <w:rsid w:val="661C50DB"/>
    <w:rsid w:val="66494C9B"/>
    <w:rsid w:val="69330C40"/>
    <w:rsid w:val="6A146B3C"/>
    <w:rsid w:val="6ABF63EA"/>
    <w:rsid w:val="6B9F5710"/>
    <w:rsid w:val="6BA91E8E"/>
    <w:rsid w:val="6BB44FC5"/>
    <w:rsid w:val="6C145B96"/>
    <w:rsid w:val="6CD34012"/>
    <w:rsid w:val="6D4C6761"/>
    <w:rsid w:val="6DB63248"/>
    <w:rsid w:val="6E144346"/>
    <w:rsid w:val="6FC55A05"/>
    <w:rsid w:val="70C43353"/>
    <w:rsid w:val="715B71FA"/>
    <w:rsid w:val="71B42FE8"/>
    <w:rsid w:val="71CC3112"/>
    <w:rsid w:val="728C5C91"/>
    <w:rsid w:val="73087494"/>
    <w:rsid w:val="74034D9B"/>
    <w:rsid w:val="771E1D5E"/>
    <w:rsid w:val="77F90C52"/>
    <w:rsid w:val="787436BC"/>
    <w:rsid w:val="79540DB6"/>
    <w:rsid w:val="797B66F5"/>
    <w:rsid w:val="797D1686"/>
    <w:rsid w:val="799936EB"/>
    <w:rsid w:val="79E341B0"/>
    <w:rsid w:val="7A5B61E8"/>
    <w:rsid w:val="7A7F0C76"/>
    <w:rsid w:val="7B5B0882"/>
    <w:rsid w:val="7BD9352D"/>
    <w:rsid w:val="7C424D26"/>
    <w:rsid w:val="7E117641"/>
    <w:rsid w:val="7ED3545C"/>
    <w:rsid w:val="7F846CE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37"/>
    <w:qFormat/>
    <w:uiPriority w:val="9"/>
    <w:pPr>
      <w:keepNext/>
      <w:keepLines/>
      <w:numPr>
        <w:ilvl w:val="0"/>
        <w:numId w:val="1"/>
      </w:numPr>
      <w:outlineLvl w:val="0"/>
    </w:pPr>
    <w:rPr>
      <w:b/>
      <w:bCs/>
      <w:kern w:val="44"/>
      <w:szCs w:val="44"/>
    </w:rPr>
  </w:style>
  <w:style w:type="paragraph" w:styleId="4">
    <w:name w:val="heading 2"/>
    <w:basedOn w:val="1"/>
    <w:next w:val="1"/>
    <w:link w:val="45"/>
    <w:qFormat/>
    <w:uiPriority w:val="0"/>
    <w:pPr>
      <w:keepNext/>
      <w:keepLines/>
      <w:numPr>
        <w:ilvl w:val="1"/>
        <w:numId w:val="1"/>
      </w:numPr>
      <w:outlineLvl w:val="1"/>
    </w:pPr>
    <w:rPr>
      <w:rFonts w:hAnsi="Arial"/>
      <w:b/>
      <w:bCs/>
      <w:szCs w:val="32"/>
    </w:rPr>
  </w:style>
  <w:style w:type="paragraph" w:styleId="5">
    <w:name w:val="heading 3"/>
    <w:basedOn w:val="6"/>
    <w:next w:val="1"/>
    <w:link w:val="39"/>
    <w:qFormat/>
    <w:uiPriority w:val="9"/>
    <w:pPr>
      <w:keepNext/>
      <w:keepLines/>
      <w:spacing w:before="260" w:after="260" w:line="416" w:lineRule="auto"/>
      <w:outlineLvl w:val="2"/>
    </w:pPr>
    <w:rPr>
      <w:b/>
      <w:bCs/>
      <w:kern w:val="0"/>
      <w:sz w:val="32"/>
      <w:szCs w:val="32"/>
    </w:rPr>
  </w:style>
  <w:style w:type="paragraph" w:styleId="7">
    <w:name w:val="heading 4"/>
    <w:basedOn w:val="1"/>
    <w:next w:val="1"/>
    <w:link w:val="44"/>
    <w:qFormat/>
    <w:uiPriority w:val="9"/>
    <w:pPr>
      <w:keepNext/>
      <w:keepLines/>
      <w:spacing w:before="280" w:after="290" w:line="376" w:lineRule="auto"/>
      <w:outlineLvl w:val="3"/>
    </w:pPr>
    <w:rPr>
      <w:rFonts w:ascii="Cambria" w:hAnsi="Cambria"/>
      <w:b/>
      <w:bCs/>
      <w:kern w:val="0"/>
      <w:sz w:val="28"/>
      <w:szCs w:val="28"/>
    </w:rPr>
  </w:style>
  <w:style w:type="paragraph" w:styleId="8">
    <w:name w:val="heading 5"/>
    <w:basedOn w:val="1"/>
    <w:next w:val="1"/>
    <w:link w:val="23"/>
    <w:qFormat/>
    <w:uiPriority w:val="9"/>
    <w:pPr>
      <w:keepNext/>
      <w:keepLines/>
      <w:spacing w:before="280" w:after="290" w:line="376" w:lineRule="auto"/>
      <w:outlineLvl w:val="4"/>
    </w:pPr>
    <w:rPr>
      <w:b/>
      <w:bCs/>
      <w:kern w:val="0"/>
      <w:sz w:val="28"/>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line="300" w:lineRule="auto"/>
    </w:pPr>
    <w:rPr>
      <w:rFonts w:ascii="Calibri" w:eastAsia="仿宋_GB2312"/>
    </w:rPr>
  </w:style>
  <w:style w:type="paragraph" w:customStyle="1" w:styleId="6">
    <w:name w:val="样式1"/>
    <w:basedOn w:val="1"/>
    <w:link w:val="41"/>
    <w:qFormat/>
    <w:uiPriority w:val="0"/>
    <w:pPr>
      <w:numPr>
        <w:ilvl w:val="2"/>
        <w:numId w:val="1"/>
      </w:numPr>
    </w:pPr>
  </w:style>
  <w:style w:type="paragraph" w:styleId="9">
    <w:name w:val="Normal Indent"/>
    <w:basedOn w:val="1"/>
    <w:link w:val="31"/>
    <w:qFormat/>
    <w:uiPriority w:val="0"/>
    <w:pPr>
      <w:ind w:firstLine="200" w:firstLineChars="200"/>
    </w:pPr>
    <w:rPr>
      <w:rFonts w:ascii="Times New Roman"/>
      <w:kern w:val="0"/>
      <w:szCs w:val="20"/>
    </w:rPr>
  </w:style>
  <w:style w:type="paragraph" w:styleId="10">
    <w:name w:val="Document Map"/>
    <w:basedOn w:val="1"/>
    <w:link w:val="36"/>
    <w:unhideWhenUsed/>
    <w:qFormat/>
    <w:uiPriority w:val="99"/>
    <w:rPr>
      <w:kern w:val="0"/>
      <w:sz w:val="18"/>
      <w:szCs w:val="18"/>
    </w:rPr>
  </w:style>
  <w:style w:type="paragraph" w:styleId="11">
    <w:name w:val="annotation text"/>
    <w:basedOn w:val="1"/>
    <w:unhideWhenUsed/>
    <w:qFormat/>
    <w:uiPriority w:val="99"/>
    <w:pPr>
      <w:jc w:val="left"/>
    </w:pPr>
  </w:style>
  <w:style w:type="paragraph" w:styleId="12">
    <w:name w:val="Body Text Indent"/>
    <w:basedOn w:val="1"/>
    <w:link w:val="32"/>
    <w:qFormat/>
    <w:uiPriority w:val="0"/>
    <w:pPr>
      <w:adjustRightInd w:val="0"/>
      <w:snapToGrid w:val="0"/>
      <w:spacing w:line="300" w:lineRule="auto"/>
    </w:pPr>
    <w:rPr>
      <w:rFonts w:ascii="Times New Roman"/>
      <w:kern w:val="0"/>
      <w:sz w:val="20"/>
      <w:szCs w:val="20"/>
      <w:lang w:eastAsia="zh-TW"/>
    </w:rPr>
  </w:style>
  <w:style w:type="paragraph" w:styleId="13">
    <w:name w:val="toc 3"/>
    <w:basedOn w:val="1"/>
    <w:next w:val="1"/>
    <w:unhideWhenUsed/>
    <w:qFormat/>
    <w:uiPriority w:val="39"/>
    <w:pPr>
      <w:ind w:left="840" w:leftChars="400"/>
    </w:pPr>
  </w:style>
  <w:style w:type="paragraph" w:styleId="14">
    <w:name w:val="Balloon Text"/>
    <w:basedOn w:val="1"/>
    <w:link w:val="38"/>
    <w:unhideWhenUsed/>
    <w:qFormat/>
    <w:uiPriority w:val="99"/>
    <w:pPr>
      <w:spacing w:line="240" w:lineRule="auto"/>
    </w:pPr>
    <w:rPr>
      <w:kern w:val="0"/>
      <w:sz w:val="18"/>
      <w:szCs w:val="18"/>
    </w:rPr>
  </w:style>
  <w:style w:type="paragraph" w:styleId="15">
    <w:name w:val="footer"/>
    <w:basedOn w:val="1"/>
    <w:link w:val="43"/>
    <w:unhideWhenUsed/>
    <w:qFormat/>
    <w:uiPriority w:val="99"/>
    <w:pPr>
      <w:tabs>
        <w:tab w:val="center" w:pos="4153"/>
        <w:tab w:val="right" w:pos="8306"/>
      </w:tabs>
      <w:snapToGrid w:val="0"/>
      <w:jc w:val="left"/>
    </w:pPr>
    <w:rPr>
      <w:rFonts w:ascii="Times New Roman"/>
      <w:kern w:val="0"/>
      <w:sz w:val="18"/>
      <w:szCs w:val="18"/>
    </w:rPr>
  </w:style>
  <w:style w:type="paragraph" w:styleId="16">
    <w:name w:val="header"/>
    <w:basedOn w:val="1"/>
    <w:link w:val="34"/>
    <w:unhideWhenUsed/>
    <w:qFormat/>
    <w:uiPriority w:val="99"/>
    <w:pPr>
      <w:pBdr>
        <w:bottom w:val="single" w:color="auto" w:sz="6" w:space="1"/>
      </w:pBdr>
      <w:tabs>
        <w:tab w:val="center" w:pos="4153"/>
        <w:tab w:val="right" w:pos="8306"/>
      </w:tabs>
      <w:snapToGrid w:val="0"/>
      <w:jc w:val="center"/>
    </w:pPr>
    <w:rPr>
      <w:rFonts w:ascii="Times New Roman"/>
      <w:kern w:val="0"/>
      <w:sz w:val="18"/>
      <w:szCs w:val="18"/>
    </w:rPr>
  </w:style>
  <w:style w:type="paragraph" w:styleId="17">
    <w:name w:val="toc 1"/>
    <w:basedOn w:val="1"/>
    <w:next w:val="1"/>
    <w:qFormat/>
    <w:uiPriority w:val="39"/>
    <w:pPr>
      <w:tabs>
        <w:tab w:val="right" w:leader="dot" w:pos="8296"/>
      </w:tabs>
    </w:pPr>
  </w:style>
  <w:style w:type="paragraph" w:styleId="18">
    <w:name w:val="toc 2"/>
    <w:basedOn w:val="1"/>
    <w:next w:val="1"/>
    <w:qFormat/>
    <w:uiPriority w:val="39"/>
    <w:pPr>
      <w:ind w:left="420" w:leftChars="200"/>
    </w:p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unhideWhenUsed/>
    <w:qFormat/>
    <w:uiPriority w:val="99"/>
    <w:rPr>
      <w:color w:val="0000FF"/>
      <w:u w:val="none"/>
    </w:rPr>
  </w:style>
  <w:style w:type="character" w:customStyle="1" w:styleId="23">
    <w:name w:val="标题 5 Char"/>
    <w:link w:val="8"/>
    <w:qFormat/>
    <w:uiPriority w:val="9"/>
    <w:rPr>
      <w:rFonts w:ascii="宋体" w:hAnsi="Times New Roman" w:eastAsia="宋体" w:cs="Times New Roman"/>
      <w:b/>
      <w:bCs/>
      <w:sz w:val="28"/>
      <w:szCs w:val="28"/>
    </w:rPr>
  </w:style>
  <w:style w:type="paragraph" w:customStyle="1" w:styleId="24">
    <w:name w:val="我的正文"/>
    <w:basedOn w:val="1"/>
    <w:link w:val="46"/>
    <w:qFormat/>
    <w:uiPriority w:val="0"/>
    <w:pPr>
      <w:ind w:firstLine="420"/>
    </w:pPr>
    <w:rPr>
      <w:rFonts w:ascii="Arial" w:hAnsi="Arial"/>
      <w:kern w:val="0"/>
      <w:sz w:val="20"/>
    </w:rPr>
  </w:style>
  <w:style w:type="paragraph" w:customStyle="1" w:styleId="25">
    <w:name w:val="目录or列表 标题"/>
    <w:basedOn w:val="1"/>
    <w:qFormat/>
    <w:uiPriority w:val="0"/>
    <w:pPr>
      <w:jc w:val="center"/>
    </w:pPr>
    <w:rPr>
      <w:rFonts w:ascii="Times New Roman" w:cs="宋体"/>
      <w:b/>
      <w:szCs w:val="20"/>
    </w:rPr>
  </w:style>
  <w:style w:type="paragraph" w:styleId="26">
    <w:name w:val="No Spacing"/>
    <w:qFormat/>
    <w:uiPriority w:val="1"/>
    <w:pPr>
      <w:widowControl w:val="0"/>
      <w:jc w:val="both"/>
    </w:pPr>
    <w:rPr>
      <w:rFonts w:ascii="宋体" w:hAnsi="Times New Roman" w:eastAsia="宋体" w:cs="Times New Roman"/>
      <w:kern w:val="2"/>
      <w:sz w:val="24"/>
      <w:szCs w:val="24"/>
      <w:lang w:val="en-US" w:eastAsia="zh-CN" w:bidi="ar-SA"/>
    </w:rPr>
  </w:style>
  <w:style w:type="paragraph" w:customStyle="1" w:styleId="27">
    <w:name w:val="正文 小四 首行缩进"/>
    <w:basedOn w:val="1"/>
    <w:link w:val="40"/>
    <w:qFormat/>
    <w:uiPriority w:val="0"/>
    <w:pPr>
      <w:ind w:firstLine="420"/>
    </w:pPr>
    <w:rPr>
      <w:rFonts w:ascii="Times New Roman"/>
      <w:kern w:val="0"/>
      <w:szCs w:val="20"/>
    </w:rPr>
  </w:style>
  <w:style w:type="paragraph" w:customStyle="1" w:styleId="28">
    <w:name w:val="正文文字样式"/>
    <w:basedOn w:val="1"/>
    <w:link w:val="33"/>
    <w:qFormat/>
    <w:uiPriority w:val="0"/>
    <w:pPr>
      <w:spacing w:line="480" w:lineRule="atLeast"/>
      <w:ind w:firstLine="200" w:firstLineChars="200"/>
    </w:pPr>
    <w:rPr>
      <w:rFonts w:ascii="Times New Roman"/>
      <w:kern w:val="0"/>
    </w:rPr>
  </w:style>
  <w:style w:type="paragraph" w:customStyle="1" w:styleId="29">
    <w:name w:val="样式2"/>
    <w:basedOn w:val="1"/>
    <w:qFormat/>
    <w:uiPriority w:val="0"/>
    <w:pPr>
      <w:numPr>
        <w:ilvl w:val="3"/>
        <w:numId w:val="1"/>
      </w:numPr>
    </w:pPr>
  </w:style>
  <w:style w:type="paragraph" w:styleId="30">
    <w:name w:val="List Paragraph"/>
    <w:basedOn w:val="1"/>
    <w:link w:val="42"/>
    <w:qFormat/>
    <w:uiPriority w:val="0"/>
    <w:pPr>
      <w:spacing w:line="240" w:lineRule="auto"/>
      <w:ind w:firstLine="420" w:firstLineChars="200"/>
    </w:pPr>
    <w:rPr>
      <w:rFonts w:ascii="Times New Roman"/>
      <w:kern w:val="0"/>
      <w:sz w:val="20"/>
    </w:rPr>
  </w:style>
  <w:style w:type="character" w:customStyle="1" w:styleId="31">
    <w:name w:val="正文缩进 Char"/>
    <w:link w:val="9"/>
    <w:qFormat/>
    <w:uiPriority w:val="0"/>
    <w:rPr>
      <w:sz w:val="24"/>
    </w:rPr>
  </w:style>
  <w:style w:type="character" w:customStyle="1" w:styleId="32">
    <w:name w:val="正文文本缩进 Char"/>
    <w:link w:val="12"/>
    <w:qFormat/>
    <w:uiPriority w:val="0"/>
    <w:rPr>
      <w:lang w:eastAsia="zh-TW"/>
    </w:rPr>
  </w:style>
  <w:style w:type="character" w:customStyle="1" w:styleId="33">
    <w:name w:val="正文文字样式 Char Char"/>
    <w:link w:val="28"/>
    <w:qFormat/>
    <w:uiPriority w:val="0"/>
    <w:rPr>
      <w:rFonts w:ascii="Times New Roman" w:hAnsi="Times New Roman" w:eastAsia="宋体" w:cs="Times New Roman"/>
      <w:sz w:val="24"/>
      <w:szCs w:val="24"/>
    </w:rPr>
  </w:style>
  <w:style w:type="character" w:customStyle="1" w:styleId="34">
    <w:name w:val="页眉 Char"/>
    <w:link w:val="16"/>
    <w:qFormat/>
    <w:uiPriority w:val="99"/>
    <w:rPr>
      <w:sz w:val="18"/>
      <w:szCs w:val="18"/>
    </w:rPr>
  </w:style>
  <w:style w:type="character" w:customStyle="1" w:styleId="35">
    <w:name w:val="正文文本缩进 Char1"/>
    <w:semiHidden/>
    <w:qFormat/>
    <w:uiPriority w:val="99"/>
    <w:rPr>
      <w:rFonts w:ascii="宋体" w:hAnsi="Times New Roman" w:eastAsia="宋体" w:cs="Times New Roman"/>
      <w:sz w:val="24"/>
      <w:szCs w:val="24"/>
    </w:rPr>
  </w:style>
  <w:style w:type="character" w:customStyle="1" w:styleId="36">
    <w:name w:val="文档结构图 Char"/>
    <w:link w:val="10"/>
    <w:semiHidden/>
    <w:qFormat/>
    <w:uiPriority w:val="99"/>
    <w:rPr>
      <w:rFonts w:ascii="宋体" w:hAnsi="Times New Roman" w:eastAsia="宋体" w:cs="Times New Roman"/>
      <w:sz w:val="18"/>
      <w:szCs w:val="18"/>
    </w:rPr>
  </w:style>
  <w:style w:type="character" w:customStyle="1" w:styleId="37">
    <w:name w:val="标题 1 Char"/>
    <w:link w:val="3"/>
    <w:qFormat/>
    <w:uiPriority w:val="9"/>
    <w:rPr>
      <w:rFonts w:ascii="宋体" w:hAnsi="Times New Roman"/>
      <w:b/>
      <w:bCs/>
      <w:kern w:val="44"/>
      <w:sz w:val="24"/>
      <w:szCs w:val="44"/>
    </w:rPr>
  </w:style>
  <w:style w:type="character" w:customStyle="1" w:styleId="38">
    <w:name w:val="批注框文本 Char"/>
    <w:link w:val="14"/>
    <w:semiHidden/>
    <w:qFormat/>
    <w:uiPriority w:val="99"/>
    <w:rPr>
      <w:rFonts w:ascii="宋体" w:hAnsi="Times New Roman" w:eastAsia="宋体" w:cs="Times New Roman"/>
      <w:sz w:val="18"/>
      <w:szCs w:val="18"/>
    </w:rPr>
  </w:style>
  <w:style w:type="character" w:customStyle="1" w:styleId="39">
    <w:name w:val="标题 3 Char"/>
    <w:link w:val="5"/>
    <w:qFormat/>
    <w:uiPriority w:val="9"/>
    <w:rPr>
      <w:rFonts w:ascii="宋体" w:hAnsi="Times New Roman" w:eastAsia="宋体" w:cs="Times New Roman"/>
      <w:b/>
      <w:bCs/>
      <w:sz w:val="32"/>
      <w:szCs w:val="32"/>
    </w:rPr>
  </w:style>
  <w:style w:type="character" w:customStyle="1" w:styleId="40">
    <w:name w:val="正文 小四 首行缩进 Char"/>
    <w:link w:val="27"/>
    <w:qFormat/>
    <w:locked/>
    <w:uiPriority w:val="0"/>
    <w:rPr>
      <w:rFonts w:ascii="Times New Roman" w:hAnsi="Times New Roman" w:eastAsia="宋体" w:cs="Times New Roman"/>
      <w:sz w:val="24"/>
      <w:szCs w:val="20"/>
    </w:rPr>
  </w:style>
  <w:style w:type="character" w:customStyle="1" w:styleId="41">
    <w:name w:val="样式1 Char"/>
    <w:link w:val="6"/>
    <w:qFormat/>
    <w:uiPriority w:val="0"/>
    <w:rPr>
      <w:rFonts w:ascii="宋体" w:hAnsi="Times New Roman"/>
      <w:kern w:val="2"/>
      <w:sz w:val="24"/>
      <w:szCs w:val="24"/>
    </w:rPr>
  </w:style>
  <w:style w:type="character" w:customStyle="1" w:styleId="42">
    <w:name w:val="列出段落 Char"/>
    <w:link w:val="30"/>
    <w:qFormat/>
    <w:uiPriority w:val="0"/>
    <w:rPr>
      <w:szCs w:val="24"/>
    </w:rPr>
  </w:style>
  <w:style w:type="character" w:customStyle="1" w:styleId="43">
    <w:name w:val="页脚 Char"/>
    <w:link w:val="15"/>
    <w:qFormat/>
    <w:uiPriority w:val="99"/>
    <w:rPr>
      <w:sz w:val="18"/>
      <w:szCs w:val="18"/>
    </w:rPr>
  </w:style>
  <w:style w:type="character" w:customStyle="1" w:styleId="44">
    <w:name w:val="标题 4 Char"/>
    <w:link w:val="7"/>
    <w:qFormat/>
    <w:uiPriority w:val="9"/>
    <w:rPr>
      <w:rFonts w:ascii="Cambria" w:hAnsi="Cambria" w:eastAsia="宋体" w:cs="Times New Roman"/>
      <w:b/>
      <w:bCs/>
      <w:sz w:val="28"/>
      <w:szCs w:val="28"/>
    </w:rPr>
  </w:style>
  <w:style w:type="character" w:customStyle="1" w:styleId="45">
    <w:name w:val="标题 2 Char"/>
    <w:link w:val="4"/>
    <w:qFormat/>
    <w:uiPriority w:val="0"/>
    <w:rPr>
      <w:rFonts w:ascii="宋体" w:hAnsi="Arial"/>
      <w:b/>
      <w:bCs/>
      <w:kern w:val="2"/>
      <w:sz w:val="24"/>
      <w:szCs w:val="32"/>
    </w:rPr>
  </w:style>
  <w:style w:type="character" w:customStyle="1" w:styleId="46">
    <w:name w:val="我的正文 Char"/>
    <w:link w:val="24"/>
    <w:qFormat/>
    <w:uiPriority w:val="0"/>
    <w:rPr>
      <w:rFonts w:ascii="Arial" w:hAnsi="Arial"/>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Pages>
  <Words>2812</Words>
  <Characters>3024</Characters>
  <Lines>46</Lines>
  <Paragraphs>13</Paragraphs>
  <TotalTime>5</TotalTime>
  <ScaleCrop>false</ScaleCrop>
  <LinksUpToDate>false</LinksUpToDate>
  <CharactersWithSpaces>3044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2017-03-15T13:22:00Z</dcterms:created>
  <dc:creator>黄斯旎</dc:creator>
  <cp:lastModifiedBy>&gt;^&lt;贝塔</cp:lastModifiedBy>
  <dcterms:modified xsi:type="dcterms:W3CDTF">2026-06-08T10:33:30Z</dcterms:modified>
  <dc:title>2018-2019年信息维护及修理</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93B10F44B60C45E88277AB02438F8221_13</vt:lpwstr>
  </property>
  <property fmtid="{D5CDD505-2E9C-101B-9397-08002B2CF9AE}" pid="4" name="KSOTemplateDocerSaveRecord">
    <vt:lpwstr>eyJoZGlkIjoiYWU0ZmIxY2EwYjRkZDc1Zjk1MWU3NTk3NzBlMzNkYjIiLCJ1c2VySWQiOiI3NzAyNDQyMTgifQ==</vt:lpwstr>
  </property>
</Properties>
</file>