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80" w:beforeLines="200"/>
        <w:jc w:val="center"/>
        <w:rPr>
          <w:rFonts w:hint="eastAsia" w:ascii="黑体" w:hAnsi="黑体" w:eastAsia="黑体" w:cs="黑体"/>
          <w:b/>
          <w:color w:val="auto"/>
          <w:kern w:val="0"/>
          <w:sz w:val="44"/>
          <w:szCs w:val="44"/>
          <w:lang w:val="en-US" w:eastAsia="zh-CN"/>
        </w:rPr>
      </w:pPr>
      <w:bookmarkStart w:id="0" w:name="_Toc27949"/>
      <w:bookmarkStart w:id="1" w:name="_Toc17768"/>
      <w:r>
        <w:rPr>
          <w:rFonts w:hint="eastAsia" w:ascii="黑体" w:hAnsi="黑体" w:eastAsia="黑体" w:cs="黑体"/>
          <w:b/>
          <w:color w:val="auto"/>
          <w:sz w:val="44"/>
          <w:szCs w:val="4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-1024255</wp:posOffset>
            </wp:positionH>
            <wp:positionV relativeFrom="paragraph">
              <wp:posOffset>-921385</wp:posOffset>
            </wp:positionV>
            <wp:extent cx="7853680" cy="2844800"/>
            <wp:effectExtent l="0" t="0" r="13970" b="12700"/>
            <wp:wrapTight wrapText="bothSides">
              <wp:wrapPolygon>
                <wp:start x="0" y="0"/>
                <wp:lineTo x="0" y="21407"/>
                <wp:lineTo x="21534" y="21407"/>
                <wp:lineTo x="21534" y="0"/>
                <wp:lineTo x="0" y="0"/>
              </wp:wrapPolygon>
            </wp:wrapTight>
            <wp:docPr id="2" name="图片 4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模板-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5368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before="480" w:beforeLines="200"/>
        <w:jc w:val="center"/>
        <w:rPr>
          <w:rFonts w:eastAsia="黑体"/>
          <w:b/>
          <w:color w:val="auto"/>
          <w:sz w:val="52"/>
          <w:szCs w:val="52"/>
        </w:rPr>
      </w:pPr>
      <w:r>
        <w:rPr>
          <w:rFonts w:hint="eastAsia" w:ascii="黑体" w:hAnsi="黑体" w:eastAsia="黑体" w:cs="黑体"/>
          <w:b/>
          <w:color w:val="auto"/>
          <w:sz w:val="44"/>
          <w:szCs w:val="44"/>
          <w:lang w:val="en-US" w:eastAsia="zh-CN"/>
        </w:rPr>
        <w:t>保山供电局杏花基地输电管理所、变电运行所生产综合楼窗帘、窗帘杆、配件及安装采购项目</w:t>
      </w:r>
      <w:r>
        <w:rPr>
          <w:rFonts w:hint="eastAsia" w:ascii="黑体" w:hAnsi="黑体" w:eastAsia="黑体" w:cs="黑体"/>
          <w:b/>
          <w:color w:val="auto"/>
          <w:sz w:val="44"/>
          <w:szCs w:val="44"/>
        </w:rPr>
        <w:t>技术规范书</w:t>
      </w:r>
    </w:p>
    <w:p>
      <w:pPr>
        <w:spacing w:before="480" w:beforeLines="200"/>
        <w:ind w:firstLine="1970" w:firstLineChars="545"/>
        <w:jc w:val="left"/>
        <w:rPr>
          <w:rFonts w:hint="eastAsia" w:eastAsia="黑体"/>
          <w:b/>
          <w:color w:val="auto"/>
          <w:sz w:val="36"/>
        </w:rPr>
      </w:pPr>
    </w:p>
    <w:p>
      <w:pPr>
        <w:rPr>
          <w:rFonts w:hint="eastAsia"/>
          <w:color w:val="auto"/>
        </w:rPr>
      </w:pPr>
    </w:p>
    <w:p>
      <w:pPr>
        <w:rPr>
          <w:rFonts w:hint="eastAsia"/>
          <w:color w:val="auto"/>
        </w:rPr>
      </w:pPr>
    </w:p>
    <w:p>
      <w:pPr>
        <w:rPr>
          <w:rFonts w:hint="eastAsia"/>
          <w:color w:val="auto"/>
        </w:rPr>
      </w:pPr>
    </w:p>
    <w:p>
      <w:pPr>
        <w:rPr>
          <w:rFonts w:hint="eastAsia"/>
          <w:color w:val="auto"/>
        </w:rPr>
      </w:pPr>
    </w:p>
    <w:p>
      <w:pPr>
        <w:pStyle w:val="12"/>
        <w:rPr>
          <w:rFonts w:hint="eastAsia"/>
          <w:color w:va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b/>
          <w:bCs w:val="0"/>
          <w:color w:val="auto"/>
          <w:kern w:val="0"/>
          <w:sz w:val="44"/>
          <w:szCs w:val="44"/>
          <w:lang w:val="en-US" w:eastAsia="zh-CN"/>
        </w:rPr>
      </w:pPr>
    </w:p>
    <w:p>
      <w:pPr>
        <w:rPr>
          <w:rFonts w:hint="eastAsia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kern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仿宋" w:hAnsi="仿宋" w:eastAsia="仿宋" w:cs="仿宋"/>
          <w:b/>
          <w:bCs w:val="0"/>
          <w:color w:val="auto"/>
          <w:kern w:val="0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kern w:val="0"/>
          <w:sz w:val="44"/>
          <w:szCs w:val="44"/>
          <w:lang w:val="en-US" w:eastAsia="zh-CN"/>
        </w:rPr>
        <w:t>云南电网有限责任公司保山供电局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kern w:val="0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kern w:val="0"/>
          <w:sz w:val="44"/>
          <w:szCs w:val="44"/>
          <w:lang w:val="en-US" w:eastAsia="zh-CN"/>
        </w:rPr>
        <w:t>2026年6月</w:t>
      </w:r>
    </w:p>
    <w:p>
      <w:pPr>
        <w:pStyle w:val="3"/>
        <w:spacing w:before="156" w:beforeLines="50" w:after="156" w:afterLines="50"/>
        <w:rPr>
          <w:rFonts w:hint="eastAsia" w:hAnsi="宋体" w:cs="宋体"/>
          <w:color w:val="auto"/>
          <w:sz w:val="21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numPr>
          <w:ilvl w:val="0"/>
          <w:numId w:val="0"/>
        </w:numPr>
        <w:spacing w:before="0" w:line="360" w:lineRule="auto"/>
        <w:jc w:val="center"/>
        <w:rPr>
          <w:rFonts w:hint="eastAsia" w:ascii="黑体" w:hAnsi="黑体" w:eastAsia="黑体" w:cs="黑体"/>
          <w:color w:val="auto"/>
          <w:sz w:val="36"/>
          <w:szCs w:val="36"/>
          <w:lang w:val="zh-CN"/>
        </w:rPr>
      </w:pPr>
      <w:bookmarkStart w:id="2" w:name="_Toc19142"/>
      <w:r>
        <w:rPr>
          <w:rFonts w:hint="eastAsia" w:ascii="黑体" w:hAnsi="黑体" w:eastAsia="黑体" w:cs="黑体"/>
          <w:color w:val="auto"/>
          <w:sz w:val="36"/>
          <w:szCs w:val="36"/>
          <w:lang w:val="zh-CN"/>
        </w:rPr>
        <w:t>目</w:t>
      </w:r>
      <w:r>
        <w:rPr>
          <w:rFonts w:hint="eastAsia" w:ascii="黑体" w:hAnsi="黑体" w:eastAsia="黑体" w:cs="黑体"/>
          <w:color w:val="auto"/>
          <w:sz w:val="36"/>
          <w:szCs w:val="36"/>
        </w:rPr>
        <w:t xml:space="preserve"> </w:t>
      </w:r>
      <w:r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auto"/>
          <w:sz w:val="36"/>
          <w:szCs w:val="36"/>
          <w:lang w:val="zh-CN"/>
        </w:rPr>
        <w:t>录</w:t>
      </w:r>
      <w:bookmarkEnd w:id="2"/>
    </w:p>
    <w:p>
      <w:pPr>
        <w:numPr>
          <w:ilvl w:val="0"/>
          <w:numId w:val="0"/>
        </w:numPr>
        <w:spacing w:before="0" w:line="360" w:lineRule="auto"/>
        <w:jc w:val="center"/>
        <w:rPr>
          <w:rFonts w:ascii="宋体" w:hAnsi="宋体"/>
          <w:color w:val="auto"/>
          <w:kern w:val="2"/>
          <w:sz w:val="24"/>
          <w:szCs w:val="24"/>
          <w:lang w:val="en-US" w:eastAsia="zh-CN" w:bidi="ar-SA"/>
        </w:rPr>
      </w:pPr>
      <w:r>
        <w:rPr>
          <w:color w:val="auto"/>
        </w:rPr>
        <w:fldChar w:fldCharType="begin"/>
      </w:r>
      <w:r>
        <w:rPr>
          <w:color w:val="auto"/>
        </w:rPr>
        <w:instrText xml:space="preserve"> </w:instrText>
      </w:r>
      <w:r>
        <w:rPr>
          <w:rFonts w:hint="eastAsia"/>
          <w:color w:val="auto"/>
        </w:rPr>
        <w:instrText xml:space="preserve">TOC \o "1-2" \h \z \u</w:instrText>
      </w:r>
      <w:r>
        <w:rPr>
          <w:color w:val="auto"/>
        </w:rPr>
        <w:instrText xml:space="preserve"> </w:instrText>
      </w:r>
      <w:r>
        <w:rPr>
          <w:color w:val="auto"/>
        </w:rPr>
        <w:fldChar w:fldCharType="separate"/>
      </w:r>
    </w:p>
    <w:p>
      <w:pPr>
        <w:pStyle w:val="7"/>
        <w:tabs>
          <w:tab w:val="right" w:leader="dot" w:pos="8306"/>
          <w:tab w:val="clear" w:pos="8296"/>
        </w:tabs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HYPERLINK \l "_Toc27949"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1.总则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PAGEREF _Toc27949 \h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</w:p>
    <w:p>
      <w:pPr>
        <w:pStyle w:val="7"/>
        <w:tabs>
          <w:tab w:val="right" w:leader="dot" w:pos="8306"/>
          <w:tab w:val="clear" w:pos="8296"/>
        </w:tabs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HYPERLINK \l "_Toc13081"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2.项目简介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PAGEREF _Toc13081 \h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</w:p>
    <w:p>
      <w:pPr>
        <w:pStyle w:val="7"/>
        <w:tabs>
          <w:tab w:val="right" w:leader="dot" w:pos="8306"/>
          <w:tab w:val="clear" w:pos="8296"/>
        </w:tabs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HYPERLINK \l "_Toc19573"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3.引用执行标准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PAGEREF _Toc19573 \h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</w:p>
    <w:p>
      <w:pPr>
        <w:pStyle w:val="7"/>
        <w:tabs>
          <w:tab w:val="right" w:leader="dot" w:pos="8306"/>
          <w:tab w:val="clear" w:pos="8296"/>
        </w:tabs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HYPERLINK \l "_Toc20145"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4.技术指标要求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PAGEREF _Toc20145 \h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2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</w:p>
    <w:p>
      <w:pPr>
        <w:pStyle w:val="8"/>
        <w:tabs>
          <w:tab w:val="right" w:leader="dot" w:pos="8306"/>
        </w:tabs>
        <w:ind w:left="0" w:leftChars="0" w:firstLine="0" w:firstLineChars="0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HYPERLINK \l "_Toc28160"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5.质量承诺及措施、质量违约承诺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2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</w:p>
    <w:p>
      <w:pPr>
        <w:pStyle w:val="7"/>
        <w:tabs>
          <w:tab w:val="right" w:leader="dot" w:pos="8306"/>
          <w:tab w:val="clear" w:pos="8296"/>
        </w:tabs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HYPERLINK \l "_Toc11071"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6.产品验收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2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</w:p>
    <w:p>
      <w:pPr>
        <w:pStyle w:val="7"/>
        <w:tabs>
          <w:tab w:val="right" w:leader="dot" w:pos="8306"/>
          <w:tab w:val="clear" w:pos="8296"/>
        </w:tabs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HYPERLINK \l "_Toc14959"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7.质量保证责任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PAGEREF _Toc14959 \h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</w:p>
    <w:p>
      <w:pPr>
        <w:pStyle w:val="7"/>
        <w:tabs>
          <w:tab w:val="right" w:leader="dot" w:pos="8306"/>
          <w:tab w:val="clear" w:pos="8296"/>
        </w:tabs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HYPERLINK \l "_Toc11972"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8.供货期、交货要求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PAGEREF _Toc11972 \h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</w:p>
    <w:p>
      <w:pPr>
        <w:pStyle w:val="7"/>
        <w:tabs>
          <w:tab w:val="right" w:leader="dot" w:pos="8306"/>
          <w:tab w:val="clear" w:pos="8296"/>
        </w:tabs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HYPERLINK \l "_Toc18435"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9.服务承诺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</w:p>
    <w:p>
      <w:pPr>
        <w:pStyle w:val="7"/>
        <w:tabs>
          <w:tab w:val="right" w:leader="dot" w:pos="8306"/>
          <w:tab w:val="clear" w:pos="8296"/>
        </w:tabs>
        <w:rPr>
          <w:color w:val="auto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HYPERLINK \l "_Toc18435"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10.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付款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方式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ab/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4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</w:p>
    <w:p/>
    <w:p>
      <w:pPr>
        <w:rPr>
          <w:rFonts w:hint="eastAsia"/>
          <w:color w:val="auto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宋体" w:hAnsi="宋体"/>
          <w:color w:val="auto"/>
          <w:szCs w:val="24"/>
        </w:rPr>
        <w:fldChar w:fldCharType="end"/>
      </w:r>
    </w:p>
    <w:p>
      <w:pPr>
        <w:pStyle w:val="3"/>
        <w:spacing w:before="156" w:beforeLines="50" w:after="156" w:afterLines="50"/>
        <w:rPr>
          <w:rFonts w:hint="eastAsia" w:hAnsi="宋体" w:cs="宋体"/>
          <w:color w:val="auto"/>
          <w:sz w:val="21"/>
          <w:szCs w:val="21"/>
        </w:rPr>
      </w:pPr>
      <w:r>
        <w:rPr>
          <w:rFonts w:hint="eastAsia" w:hAnsi="宋体" w:cs="宋体"/>
          <w:color w:val="auto"/>
          <w:sz w:val="21"/>
          <w:szCs w:val="21"/>
        </w:rPr>
        <w:t>总则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bookmarkStart w:id="3" w:name="_Toc26307"/>
      <w:bookmarkStart w:id="4" w:name="_Toc1105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1.1 </w:t>
      </w:r>
      <w:bookmarkEnd w:id="3"/>
      <w:bookmarkEnd w:id="4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本技术规范书适用于</w:t>
      </w:r>
      <w:bookmarkStart w:id="5" w:name="XmInfoEntity_BDWFJMS_0_2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云南电网有限责任公司保山供电局杏花基地输电管理所、变电运行所生产综合楼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窗帘、窗帘杆、配件及安装采购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项目</w:t>
      </w:r>
      <w:bookmarkEnd w:id="5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1.2本技术规范书提出的是最低限度的技术要求，并未对一切技术细节作出规定，也末充分引述有关标准和规范的条文，但报价方保证提供的产品符合本规范书要求的功能齐全、工艺成熟、技术先进的优质产品及其相应服务，并满足现行的国家标准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1.3 若报价方没有以书面形式对本技术文件的条文提出异议，则意味着报价方提供的设备完全能满足本技术文件要求。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1.4 报价方对其供货范围内的所有产品负有全责（包括外购的产品）。如果因设计、制造、运输、安装、调试等问题导致无法正常使用，不能满足技术要求和长期连续、安全、经济运行条件,则报价方必须负全部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1.5 本技术规范书所使用的标准如遇与报价方所执行的标准不一致时，按较高标准执行。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bookmarkStart w:id="6" w:name="_Toc27503"/>
      <w:bookmarkStart w:id="7" w:name="_Toc30305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1.6 本技术规范书经作为采购合同的技术附件，与合同正文具有同等的法律效力。</w:t>
      </w:r>
      <w:bookmarkEnd w:id="6"/>
      <w:bookmarkEnd w:id="7"/>
    </w:p>
    <w:p>
      <w:pPr>
        <w:pStyle w:val="3"/>
        <w:spacing w:before="156" w:beforeLines="50" w:after="156" w:afterLines="50"/>
        <w:rPr>
          <w:rFonts w:hint="eastAsia" w:hAnsi="宋体" w:cs="宋体"/>
          <w:color w:val="auto"/>
          <w:sz w:val="21"/>
          <w:szCs w:val="21"/>
        </w:rPr>
      </w:pPr>
      <w:bookmarkStart w:id="8" w:name="_Toc13081"/>
      <w:r>
        <w:rPr>
          <w:rFonts w:hint="eastAsia" w:hAnsi="宋体" w:cs="宋体"/>
          <w:color w:val="auto"/>
          <w:sz w:val="21"/>
          <w:szCs w:val="21"/>
        </w:rPr>
        <w:t>项目简介</w:t>
      </w:r>
      <w:bookmarkEnd w:id="1"/>
      <w:bookmarkEnd w:id="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云南电网有限责任公司保山供电局杏花基地输电管理所、变电运行所生产综合楼窗帘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、窗帘杆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、配件及安装采购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。采购内容包含杏花基地生产综合楼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办公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室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、会议室等所有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房间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卷帘、布帘、纱帘、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窗帘杆及相关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配件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物资。包含完成采购的全部窗帘、配件等物资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安装施工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，包含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现场勘测、尺寸复核、定制加工、运输、安装、调试、成品保护、验收及质保服务。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本项目包括但不限于以下工作：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（1）产品的采购、运输、安装调试、售后技术服务等；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（2）提供用户相关的产品合格证明书及技术资料，为用户提供必须的技术支持。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（3）报价方负责安装调试，并提供产品安装所需材料。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本项目所供产品及施工必须全新、正品、无瑕疵、无二次加工、无库存积压品。整体效果要求：平整垂顺、无褶皱扭曲、轨道平直、拉动顺畅、整体美观统一。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完成安装后验收。</w:t>
      </w:r>
    </w:p>
    <w:p>
      <w:pPr>
        <w:pStyle w:val="3"/>
        <w:spacing w:before="156" w:beforeLines="50" w:after="156" w:afterLines="50"/>
        <w:rPr>
          <w:rFonts w:hint="eastAsia" w:hAnsi="宋体" w:cs="宋体"/>
          <w:color w:val="auto"/>
          <w:sz w:val="21"/>
          <w:szCs w:val="21"/>
        </w:rPr>
      </w:pPr>
      <w:bookmarkStart w:id="9" w:name="_Toc19573"/>
      <w:bookmarkStart w:id="10" w:name="_Toc1871"/>
      <w:bookmarkStart w:id="11" w:name="_Toc7754_WPSOffice_Level1"/>
      <w:bookmarkStart w:id="12" w:name="_Toc14671_WPSOffice_Level1"/>
      <w:bookmarkStart w:id="13" w:name="_Toc20573_WPSOffice_Level1"/>
      <w:bookmarkStart w:id="14" w:name="_Toc4020"/>
      <w:r>
        <w:rPr>
          <w:rFonts w:hint="eastAsia" w:hAnsi="宋体" w:cs="宋体"/>
          <w:color w:val="auto"/>
          <w:sz w:val="21"/>
          <w:szCs w:val="21"/>
        </w:rPr>
        <w:t>引用执行标准</w:t>
      </w:r>
      <w:bookmarkEnd w:id="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报价方提供产品，应符合相应的标准规范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法规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及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本技术规范书的要求,除本技术规范书特别说明外，应在报价资料中详细说明供货情况。</w:t>
      </w:r>
    </w:p>
    <w:bookmarkEnd w:id="10"/>
    <w:bookmarkEnd w:id="11"/>
    <w:bookmarkEnd w:id="12"/>
    <w:bookmarkEnd w:id="13"/>
    <w:bookmarkEnd w:id="14"/>
    <w:p>
      <w:pPr>
        <w:pStyle w:val="3"/>
        <w:spacing w:before="156" w:beforeLines="50" w:after="156" w:afterLines="50"/>
        <w:rPr>
          <w:rFonts w:hint="eastAsia" w:hAnsi="宋体" w:cs="宋体"/>
          <w:color w:val="auto"/>
          <w:sz w:val="21"/>
          <w:szCs w:val="21"/>
        </w:rPr>
      </w:pPr>
      <w:bookmarkStart w:id="15" w:name="_Toc25811"/>
      <w:bookmarkStart w:id="16" w:name="_Toc20145"/>
      <w:r>
        <w:rPr>
          <w:rFonts w:hint="eastAsia" w:hAnsi="宋体" w:cs="宋体"/>
          <w:color w:val="auto"/>
          <w:sz w:val="21"/>
          <w:szCs w:val="21"/>
        </w:rPr>
        <w:t>技术</w:t>
      </w:r>
      <w:bookmarkEnd w:id="15"/>
      <w:r>
        <w:rPr>
          <w:rFonts w:hint="eastAsia" w:hAnsi="宋体" w:cs="宋体"/>
          <w:color w:val="auto"/>
          <w:sz w:val="21"/>
          <w:szCs w:val="21"/>
        </w:rPr>
        <w:t>指标要求</w:t>
      </w:r>
      <w:bookmarkEnd w:id="16"/>
    </w:p>
    <w:p>
      <w:pPr>
        <w:snapToGrid w:val="0"/>
        <w:rPr>
          <w:rFonts w:hint="eastAsia" w:hAnsi="宋体" w:cs="宋体"/>
          <w:b/>
          <w:color w:val="auto"/>
          <w:sz w:val="21"/>
          <w:szCs w:val="21"/>
        </w:rPr>
      </w:pPr>
      <w:r>
        <w:rPr>
          <w:rFonts w:hint="eastAsia" w:hAnsi="宋体" w:cs="宋体"/>
          <w:b/>
          <w:color w:val="auto"/>
          <w:sz w:val="21"/>
          <w:szCs w:val="21"/>
        </w:rPr>
        <w:t>4.1</w:t>
      </w:r>
      <w:r>
        <w:rPr>
          <w:rFonts w:hint="eastAsia" w:hAnsi="宋体" w:cs="宋体"/>
          <w:b/>
          <w:color w:val="auto"/>
          <w:sz w:val="21"/>
          <w:szCs w:val="21"/>
          <w:lang w:val="en-US" w:eastAsia="zh-CN"/>
        </w:rPr>
        <w:t>主要</w:t>
      </w:r>
      <w:r>
        <w:rPr>
          <w:rFonts w:hint="eastAsia" w:hAnsi="宋体" w:cs="宋体"/>
          <w:b/>
          <w:color w:val="auto"/>
          <w:sz w:val="21"/>
          <w:szCs w:val="21"/>
        </w:rPr>
        <w:t>技术参数要求</w:t>
      </w:r>
    </w:p>
    <w:tbl>
      <w:tblPr>
        <w:tblStyle w:val="10"/>
        <w:tblW w:w="5711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440"/>
        <w:gridCol w:w="2040"/>
        <w:gridCol w:w="2745"/>
        <w:gridCol w:w="27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  <w:jc w:val="center"/>
        </w:trPr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7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1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材质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性能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卷帘</w:t>
            </w:r>
          </w:p>
        </w:tc>
        <w:tc>
          <w:tcPr>
            <w:tcW w:w="1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高密度透光织造面料，纹理细腻均匀。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柔和遮光，采光均匀、柔化光线、防眩光。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410.7平方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5" w:hRule="atLeast"/>
          <w:jc w:val="center"/>
        </w:trPr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布帘</w:t>
            </w:r>
          </w:p>
        </w:tc>
        <w:tc>
          <w:tcPr>
            <w:tcW w:w="1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高精密聚酯纤维，高密度织造，无回收料、无跳丝破洞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遮光率：常规≥90%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不起球、不勾丝、耐磨耐洗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缩水率≤3%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63.2米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7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纱帘</w:t>
            </w:r>
          </w:p>
        </w:tc>
        <w:tc>
          <w:tcPr>
            <w:tcW w:w="1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高透加厚纱料（金刚纱</w:t>
            </w:r>
            <w:r>
              <w:rPr>
                <w:rFonts w:hint="eastAsia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/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雪纺纱），通透柔和。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透光均匀、防眩光、不发黄、不脆化、垂感好、不易飘絮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60.5米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7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窗帘杆</w:t>
            </w:r>
          </w:p>
        </w:tc>
        <w:tc>
          <w:tcPr>
            <w:tcW w:w="1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加厚铝合金轨道</w:t>
            </w:r>
            <w:r>
              <w:rPr>
                <w:rFonts w:hint="eastAsia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/罗马杆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轨道壁厚≥1.2mm，平直不变形。拉动顺滑、无卡顿、无脱轨。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41根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7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辅料</w:t>
            </w:r>
          </w:p>
        </w:tc>
        <w:tc>
          <w:tcPr>
            <w:tcW w:w="1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加厚加密遮光带、金属挂钩或静音纳米罗马圈。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防锈耐用、承重性强、不易断裂脱落</w:t>
            </w:r>
          </w:p>
        </w:tc>
        <w:tc>
          <w:tcPr>
            <w:tcW w:w="1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915个</w:t>
            </w:r>
          </w:p>
        </w:tc>
      </w:tr>
    </w:tbl>
    <w:p>
      <w:pPr>
        <w:pStyle w:val="12"/>
        <w:spacing w:before="0" w:after="0"/>
        <w:ind w:left="0" w:leftChars="0" w:firstLine="480" w:firstLineChars="200"/>
        <w:jc w:val="both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以上技术参数或指标如出现某一特定的专利技术、商标、名称、设计、原产地或供应者等情况，则仅起参考作用。报价方可选用实质上“相当于”或“优于”该参考技术规格要求的产品报价。</w:t>
      </w:r>
    </w:p>
    <w:p>
      <w:pPr>
        <w:jc w:val="both"/>
        <w:rPr>
          <w:rFonts w:hint="eastAsia" w:hAnsi="宋体" w:eastAsia="宋体" w:cs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/>
          <w:b/>
          <w:bCs/>
          <w:color w:val="auto"/>
          <w:sz w:val="21"/>
          <w:szCs w:val="21"/>
          <w:lang w:val="en-US" w:eastAsia="zh-CN"/>
        </w:rPr>
        <w:t xml:space="preserve">4.2 </w:t>
      </w:r>
      <w:r>
        <w:rPr>
          <w:rFonts w:hint="eastAsia" w:hAnsi="宋体" w:cs="宋体"/>
          <w:b/>
          <w:bCs/>
          <w:color w:val="auto"/>
          <w:sz w:val="21"/>
          <w:szCs w:val="21"/>
        </w:rPr>
        <w:t>安装技术</w:t>
      </w:r>
      <w:r>
        <w:rPr>
          <w:rFonts w:hint="eastAsia" w:hAnsi="宋体" w:cs="宋体"/>
          <w:b/>
          <w:bCs/>
          <w:color w:val="auto"/>
          <w:sz w:val="21"/>
          <w:szCs w:val="21"/>
          <w:lang w:val="en-US" w:eastAsia="zh-CN"/>
        </w:rPr>
        <w:t>要求</w:t>
      </w:r>
    </w:p>
    <w:p>
      <w:pPr>
        <w:pStyle w:val="12"/>
        <w:spacing w:before="0" w:after="0"/>
        <w:jc w:val="both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进场前清理安装位置，做好成品保护，避免粉尘、磕碰污染墙面地面。严禁盲目打孔，打孔前确认无水电管线、无吊顶龙骨冲突。轻质墙体必须加装加固板、加长膨胀螺栓、专用固定件，保证承重牢固。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如因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报价方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施工不当造成房屋、物品受损，由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报价方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负责修复并承担损失。</w:t>
      </w:r>
    </w:p>
    <w:p>
      <w:pPr>
        <w:pStyle w:val="4"/>
        <w:numPr>
          <w:ilvl w:val="1"/>
          <w:numId w:val="0"/>
        </w:numPr>
        <w:jc w:val="both"/>
        <w:rPr>
          <w:rFonts w:hAnsi="宋体" w:cs="宋体"/>
          <w:color w:val="auto"/>
          <w:sz w:val="21"/>
          <w:szCs w:val="21"/>
        </w:rPr>
      </w:pPr>
      <w:bookmarkStart w:id="17" w:name="_Toc28160"/>
      <w:r>
        <w:rPr>
          <w:rFonts w:hint="eastAsia" w:hAnsi="宋体" w:cs="宋体"/>
          <w:color w:val="auto"/>
          <w:sz w:val="21"/>
          <w:szCs w:val="21"/>
          <w:lang w:val="en-US" w:eastAsia="zh-CN"/>
        </w:rPr>
        <w:t>5.质量承诺及措施、质量违约承诺</w:t>
      </w:r>
      <w:bookmarkEnd w:id="17"/>
    </w:p>
    <w:p>
      <w:pPr>
        <w:pStyle w:val="12"/>
        <w:spacing w:before="0" w:after="0"/>
        <w:ind w:left="0" w:leftChars="0" w:firstLine="480" w:firstLineChars="200"/>
        <w:jc w:val="both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5.1报价方应承诺负责窗帘、轨道、配件的供货、安装、调试和质保，同时提供技术支持，并在现场对货物质量和运行状况进行跟踪服务，至少正常使用7天以上方可撤离。</w:t>
      </w:r>
    </w:p>
    <w:p>
      <w:pPr>
        <w:pStyle w:val="12"/>
        <w:spacing w:before="0" w:after="0"/>
        <w:ind w:left="0" w:leftChars="0" w:firstLine="480" w:firstLineChars="200"/>
        <w:jc w:val="both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5.2 质保期不少于</w:t>
      </w:r>
      <w:r>
        <w:rPr>
          <w:rFonts w:hint="eastAsia" w:hAnsi="宋体" w:cs="宋体"/>
          <w:kern w:val="2"/>
          <w:sz w:val="24"/>
          <w:szCs w:val="24"/>
          <w:highlight w:val="none"/>
          <w:lang w:val="en-US" w:eastAsia="zh-CN" w:bidi="ar-SA"/>
        </w:rPr>
        <w:t>3个月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（验收之日起算）。</w:t>
      </w:r>
    </w:p>
    <w:p>
      <w:pPr>
        <w:pStyle w:val="12"/>
        <w:spacing w:before="0" w:after="0"/>
        <w:ind w:left="0" w:leftChars="0" w:firstLine="480" w:firstLineChars="200"/>
        <w:jc w:val="both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5.3在质保期内，报价方应承诺负责维修及更换损坏的设备及零部件，并承担全部费用。如果报价方在收到通知后24小时内没有到采购人现场进行维修，采购人可采取必要的补救措施，但风险和费用由报价方承担。</w:t>
      </w:r>
    </w:p>
    <w:p>
      <w:pPr>
        <w:pStyle w:val="12"/>
        <w:spacing w:before="0" w:after="0"/>
        <w:ind w:left="0" w:leftChars="0" w:firstLine="480" w:firstLineChars="200"/>
        <w:jc w:val="both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5.4质保期满后，报价方承诺为采购人提供技术支持。</w:t>
      </w:r>
    </w:p>
    <w:p>
      <w:pPr>
        <w:pStyle w:val="3"/>
        <w:numPr>
          <w:ilvl w:val="0"/>
          <w:numId w:val="0"/>
        </w:numPr>
        <w:spacing w:before="157" w:after="157"/>
        <w:ind w:leftChars="0"/>
        <w:jc w:val="both"/>
        <w:rPr>
          <w:rFonts w:hint="default" w:hAnsi="宋体" w:eastAsia="宋体" w:cs="宋体"/>
          <w:color w:val="auto"/>
          <w:sz w:val="21"/>
          <w:szCs w:val="21"/>
          <w:lang w:val="en-US" w:eastAsia="zh-CN"/>
        </w:rPr>
      </w:pPr>
      <w:bookmarkStart w:id="18" w:name="_Toc11071"/>
      <w:r>
        <w:rPr>
          <w:rFonts w:hint="eastAsia" w:hAnsi="宋体" w:cs="宋体"/>
          <w:color w:val="auto"/>
          <w:sz w:val="21"/>
          <w:szCs w:val="21"/>
          <w:lang w:val="en-US" w:eastAsia="zh-CN"/>
        </w:rPr>
        <w:t>6.</w:t>
      </w:r>
      <w:bookmarkEnd w:id="18"/>
      <w:r>
        <w:rPr>
          <w:rFonts w:hint="eastAsia" w:hAnsi="宋体" w:cs="宋体"/>
          <w:color w:val="auto"/>
          <w:sz w:val="21"/>
          <w:szCs w:val="21"/>
          <w:lang w:val="en-US" w:eastAsia="zh-CN"/>
        </w:rPr>
        <w:t>产品验收</w:t>
      </w:r>
    </w:p>
    <w:p>
      <w:pPr>
        <w:ind w:firstLine="480" w:firstLineChars="200"/>
        <w:jc w:val="both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6.1在产品验收过程中，如发现任何不符合本规范书要求的产品，必须及时更换，直至符合规定要求。</w:t>
      </w:r>
    </w:p>
    <w:p>
      <w:pPr>
        <w:ind w:firstLine="480" w:firstLineChars="200"/>
        <w:jc w:val="both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6.2安装后使用期间，如发现质量问题，应及时派人进行处理，并保证解决问题。</w:t>
      </w:r>
    </w:p>
    <w:p>
      <w:pPr>
        <w:ind w:firstLine="480" w:firstLineChars="200"/>
        <w:jc w:val="both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6.3提供的所有窗帘、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窗帘杆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、配件确保满足办公场所要求，保证使用稳定可靠。</w:t>
      </w:r>
    </w:p>
    <w:p>
      <w:pPr>
        <w:ind w:firstLine="480" w:firstLineChars="200"/>
        <w:jc w:val="both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6.4 所提供面料、材料的制造、验收、包装、运输符合最新国家和行业标准要求。</w:t>
      </w:r>
    </w:p>
    <w:p>
      <w:pPr>
        <w:pStyle w:val="3"/>
        <w:numPr>
          <w:ilvl w:val="0"/>
          <w:numId w:val="0"/>
        </w:numPr>
        <w:spacing w:before="157" w:after="157"/>
        <w:ind w:leftChars="0"/>
        <w:rPr>
          <w:rFonts w:hint="default" w:hAnsi="宋体" w:eastAsia="宋体" w:cs="宋体"/>
          <w:color w:val="auto"/>
          <w:sz w:val="21"/>
          <w:szCs w:val="21"/>
          <w:lang w:val="en-US" w:eastAsia="zh-CN"/>
        </w:rPr>
      </w:pPr>
      <w:bookmarkStart w:id="19" w:name="_Toc14959"/>
      <w:r>
        <w:rPr>
          <w:rFonts w:hint="eastAsia" w:hAnsi="宋体" w:cs="宋体"/>
          <w:color w:val="auto"/>
          <w:sz w:val="21"/>
          <w:szCs w:val="21"/>
          <w:lang w:val="en-US" w:eastAsia="zh-CN"/>
        </w:rPr>
        <w:t>7.</w:t>
      </w:r>
      <w:r>
        <w:rPr>
          <w:rFonts w:hint="eastAsia" w:hAnsi="宋体" w:cs="宋体"/>
          <w:color w:val="auto"/>
          <w:sz w:val="21"/>
          <w:szCs w:val="21"/>
        </w:rPr>
        <w:t>质量</w:t>
      </w:r>
      <w:bookmarkEnd w:id="19"/>
      <w:r>
        <w:rPr>
          <w:rFonts w:hint="eastAsia" w:hAnsi="宋体" w:cs="宋体"/>
          <w:color w:val="auto"/>
          <w:sz w:val="21"/>
          <w:szCs w:val="21"/>
          <w:lang w:val="en-US" w:eastAsia="zh-CN"/>
        </w:rPr>
        <w:t>保证责任</w:t>
      </w:r>
    </w:p>
    <w:p>
      <w:pPr>
        <w:ind w:firstLine="480" w:firstLineChars="200"/>
        <w:jc w:val="both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bookmarkStart w:id="20" w:name="_Toc488235894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7.1报价方保证所供的是技术先进、成熟可靠且经鉴定合格的产品，并附有质量证明书，在设计、材料选择和工艺上均无任何缺陷和差错。</w:t>
      </w:r>
    </w:p>
    <w:bookmarkEnd w:id="20"/>
    <w:p>
      <w:pPr>
        <w:pStyle w:val="3"/>
        <w:numPr>
          <w:ilvl w:val="0"/>
          <w:numId w:val="0"/>
        </w:numPr>
        <w:spacing w:before="157" w:after="157"/>
        <w:ind w:leftChars="0"/>
        <w:rPr>
          <w:rFonts w:hint="eastAsia" w:hAnsi="宋体" w:cs="宋体"/>
          <w:color w:val="auto"/>
          <w:sz w:val="21"/>
          <w:szCs w:val="21"/>
        </w:rPr>
      </w:pPr>
      <w:bookmarkStart w:id="21" w:name="_Toc11972"/>
      <w:r>
        <w:rPr>
          <w:rFonts w:hint="eastAsia" w:hAnsi="宋体" w:cs="宋体"/>
          <w:color w:val="auto"/>
          <w:sz w:val="21"/>
          <w:szCs w:val="21"/>
          <w:lang w:val="en-US" w:eastAsia="zh-CN"/>
        </w:rPr>
        <w:t>8.</w:t>
      </w:r>
      <w:r>
        <w:rPr>
          <w:rFonts w:hint="eastAsia" w:hAnsi="宋体" w:cs="宋体"/>
          <w:color w:val="auto"/>
          <w:sz w:val="21"/>
          <w:szCs w:val="21"/>
        </w:rPr>
        <w:t>供货期、</w:t>
      </w:r>
      <w:r>
        <w:rPr>
          <w:rFonts w:hint="eastAsia" w:hAnsi="宋体" w:cs="宋体"/>
          <w:color w:val="auto"/>
          <w:sz w:val="21"/>
          <w:szCs w:val="21"/>
          <w:lang w:val="en-US" w:eastAsia="zh-CN"/>
        </w:rPr>
        <w:t>交货要求</w:t>
      </w:r>
      <w:bookmarkEnd w:id="21"/>
    </w:p>
    <w:p>
      <w:pPr>
        <w:ind w:firstLine="480" w:firstLineChars="200"/>
        <w:jc w:val="both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8.1 交货期限：自采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购签订之日起至</w:t>
      </w:r>
      <w:r>
        <w:rPr>
          <w:rFonts w:hint="eastAsia" w:hAnsi="宋体" w:cs="宋体"/>
          <w:kern w:val="2"/>
          <w:sz w:val="24"/>
          <w:szCs w:val="24"/>
          <w:highlight w:val="none"/>
          <w:lang w:val="en-US" w:eastAsia="zh-CN" w:bidi="ar-SA"/>
        </w:rPr>
        <w:t>1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个月内安装完成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。</w:t>
      </w:r>
    </w:p>
    <w:p>
      <w:pPr>
        <w:ind w:firstLine="480" w:firstLineChars="200"/>
        <w:jc w:val="both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8.2 交货方式：接到采购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方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通知之日起在规定时间内交货到指定地点。</w:t>
      </w:r>
    </w:p>
    <w:p>
      <w:pPr>
        <w:ind w:firstLine="480" w:firstLineChars="200"/>
        <w:jc w:val="both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8.3 交货地点：保山供电局保山供电局杏花基地输电管理所、变电运行所生产综合楼。</w:t>
      </w:r>
    </w:p>
    <w:p>
      <w:pPr>
        <w:pStyle w:val="3"/>
        <w:numPr>
          <w:ilvl w:val="0"/>
          <w:numId w:val="0"/>
        </w:numPr>
        <w:spacing w:before="157" w:after="157"/>
        <w:ind w:leftChars="0"/>
        <w:rPr>
          <w:rFonts w:hint="eastAsia" w:ascii="宋体" w:hAnsi="宋体" w:eastAsia="宋体" w:cs="宋体"/>
          <w:b/>
          <w:bCs/>
          <w:color w:val="auto"/>
          <w:kern w:val="44"/>
          <w:sz w:val="21"/>
          <w:szCs w:val="21"/>
          <w:lang w:val="en-US" w:eastAsia="zh-CN" w:bidi="ar-SA"/>
        </w:rPr>
      </w:pPr>
      <w:bookmarkStart w:id="22" w:name="_Toc18435"/>
      <w:r>
        <w:rPr>
          <w:rFonts w:hint="eastAsia" w:ascii="宋体" w:hAnsi="宋体" w:eastAsia="宋体" w:cs="宋体"/>
          <w:b/>
          <w:bCs/>
          <w:color w:val="auto"/>
          <w:kern w:val="44"/>
          <w:sz w:val="21"/>
          <w:szCs w:val="21"/>
          <w:lang w:val="en-US" w:eastAsia="zh-CN" w:bidi="ar-SA"/>
        </w:rPr>
        <w:t>9.服务承诺</w:t>
      </w:r>
      <w:bookmarkEnd w:id="22"/>
    </w:p>
    <w:p>
      <w:pPr>
        <w:ind w:firstLine="480" w:firstLineChars="200"/>
        <w:jc w:val="both"/>
        <w:rPr>
          <w:rFonts w:hint="eastAsia" w:hAnsi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报价方承诺质保期内非人为损坏免费维修、免费更换配件。质保期内出现变形、褪色、起球、轨道卡顿、配件生锈、松动脱落等问题，报价方24小时响应，48小时内到场处理。提供终身维护咨询服务，后期可优惠提供更换、调整服务。</w:t>
      </w:r>
    </w:p>
    <w:p>
      <w:pPr>
        <w:pStyle w:val="2"/>
        <w:numPr>
          <w:ilvl w:val="0"/>
          <w:numId w:val="2"/>
        </w:numPr>
        <w:ind w:left="0" w:leftChars="0" w:firstLine="0" w:firstLineChars="0"/>
        <w:rPr>
          <w:rFonts w:hint="eastAsia" w:ascii="宋体" w:hAnsi="宋体" w:cs="宋体"/>
          <w:b/>
          <w:bCs/>
          <w:color w:val="auto"/>
          <w:kern w:val="44"/>
          <w:sz w:val="21"/>
          <w:szCs w:val="21"/>
          <w:lang w:val="en-US" w:eastAsia="zh-CN" w:bidi="ar-SA"/>
        </w:rPr>
      </w:pPr>
      <w:r>
        <w:rPr>
          <w:rFonts w:hint="eastAsia" w:ascii="宋体" w:hAnsi="宋体" w:cs="宋体"/>
          <w:b/>
          <w:bCs/>
          <w:color w:val="auto"/>
          <w:kern w:val="44"/>
          <w:sz w:val="21"/>
          <w:szCs w:val="21"/>
          <w:lang w:val="en-US" w:eastAsia="zh-CN" w:bidi="ar-SA"/>
        </w:rPr>
        <w:t>付款方式</w:t>
      </w:r>
    </w:p>
    <w:p>
      <w:pPr>
        <w:ind w:firstLine="480" w:firstLineChars="200"/>
        <w:jc w:val="both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报价方在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项目完成后以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最终成交价（含税价）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进行结算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，结算应在采购方验收通过1个月内提交满足要求的结算资料，审核通过后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开具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符合采购方要求的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增值税专用发票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，以银行转账方式进行支付。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  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/>
          <w:color w:val="auto"/>
          <w:lang w:val="en-US" w:eastAsia="zh-CN"/>
        </w:rPr>
        <w:t xml:space="preserve"> 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云南电网有限责任公司保山供电局</w:t>
      </w:r>
    </w:p>
    <w:p>
      <w:pPr>
        <w:pStyle w:val="2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 输电管理所</w:t>
      </w:r>
    </w:p>
    <w:p>
      <w:pPr>
        <w:pStyle w:val="2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2026年06月03日</w:t>
      </w:r>
      <w:bookmarkStart w:id="23" w:name="_GoBack"/>
      <w:bookmarkEnd w:id="23"/>
    </w:p>
    <w:sectPr>
      <w:footerReference r:id="rId5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3A86E8"/>
    <w:multiLevelType w:val="singleLevel"/>
    <w:tmpl w:val="933A86E8"/>
    <w:lvl w:ilvl="0" w:tentative="0">
      <w:start w:val="10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000009"/>
    <w:multiLevelType w:val="multilevel"/>
    <w:tmpl w:val="00000009"/>
    <w:lvl w:ilvl="0" w:tentative="0">
      <w:start w:val="1"/>
      <w:numFmt w:val="decimal"/>
      <w:pStyle w:val="3"/>
      <w:suff w:val="space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4"/>
      <w:isLgl/>
      <w:suff w:val="space"/>
      <w:lvlText w:val="%1.%2"/>
      <w:lvlJc w:val="left"/>
      <w:pPr>
        <w:ind w:left="142" w:firstLine="0"/>
      </w:pPr>
      <w:rPr>
        <w:rFonts w:hint="eastAsia"/>
        <w:b w:val="0"/>
      </w:rPr>
    </w:lvl>
    <w:lvl w:ilvl="2" w:tentative="0">
      <w:start w:val="1"/>
      <w:numFmt w:val="decimal"/>
      <w:isLgl/>
      <w:suff w:val="space"/>
      <w:lvlText w:val="%1.%2.%3"/>
      <w:lvlJc w:val="left"/>
      <w:pPr>
        <w:ind w:left="0" w:firstLine="0"/>
      </w:pPr>
      <w:rPr>
        <w:rFonts w:hint="eastAsia"/>
        <w:b w:val="0"/>
        <w:i w:val="0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2411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AE318E"/>
    <w:rsid w:val="007470CC"/>
    <w:rsid w:val="01A21D3D"/>
    <w:rsid w:val="02433E45"/>
    <w:rsid w:val="02A660E8"/>
    <w:rsid w:val="02D7069C"/>
    <w:rsid w:val="02FC6AF6"/>
    <w:rsid w:val="031D37A8"/>
    <w:rsid w:val="0687538E"/>
    <w:rsid w:val="07AE318E"/>
    <w:rsid w:val="083B668E"/>
    <w:rsid w:val="0A4E4DF4"/>
    <w:rsid w:val="0B032073"/>
    <w:rsid w:val="0B055369"/>
    <w:rsid w:val="0C1A6669"/>
    <w:rsid w:val="0CC40B46"/>
    <w:rsid w:val="0D635706"/>
    <w:rsid w:val="0D7A0F34"/>
    <w:rsid w:val="0E5A499A"/>
    <w:rsid w:val="0E673CAF"/>
    <w:rsid w:val="0E8841E4"/>
    <w:rsid w:val="0F556ADB"/>
    <w:rsid w:val="0F9D1891"/>
    <w:rsid w:val="0FDB5D8F"/>
    <w:rsid w:val="1087172B"/>
    <w:rsid w:val="122327D1"/>
    <w:rsid w:val="1345032A"/>
    <w:rsid w:val="13B16CE7"/>
    <w:rsid w:val="15813604"/>
    <w:rsid w:val="15B7232D"/>
    <w:rsid w:val="16165BCA"/>
    <w:rsid w:val="16731471"/>
    <w:rsid w:val="16D23D7F"/>
    <w:rsid w:val="17246836"/>
    <w:rsid w:val="17974DC1"/>
    <w:rsid w:val="17BD5C5B"/>
    <w:rsid w:val="1812470B"/>
    <w:rsid w:val="189C686D"/>
    <w:rsid w:val="19494BA3"/>
    <w:rsid w:val="19C17D55"/>
    <w:rsid w:val="1A774239"/>
    <w:rsid w:val="1B225312"/>
    <w:rsid w:val="1B64761F"/>
    <w:rsid w:val="1C526A8D"/>
    <w:rsid w:val="1C720A52"/>
    <w:rsid w:val="1CA64748"/>
    <w:rsid w:val="1D477216"/>
    <w:rsid w:val="1D7A2EE8"/>
    <w:rsid w:val="1E696C13"/>
    <w:rsid w:val="1EA0654E"/>
    <w:rsid w:val="2012728C"/>
    <w:rsid w:val="21B535DD"/>
    <w:rsid w:val="21C85928"/>
    <w:rsid w:val="22241693"/>
    <w:rsid w:val="22502C49"/>
    <w:rsid w:val="22AE7F72"/>
    <w:rsid w:val="23137077"/>
    <w:rsid w:val="241A0D15"/>
    <w:rsid w:val="243A2F7C"/>
    <w:rsid w:val="24F87EB7"/>
    <w:rsid w:val="259326F1"/>
    <w:rsid w:val="25F717E6"/>
    <w:rsid w:val="25F74556"/>
    <w:rsid w:val="26CD6B38"/>
    <w:rsid w:val="2A365850"/>
    <w:rsid w:val="2A930168"/>
    <w:rsid w:val="2A9610ED"/>
    <w:rsid w:val="2A9B7773"/>
    <w:rsid w:val="2C7B7115"/>
    <w:rsid w:val="2DBF2BA8"/>
    <w:rsid w:val="2EF85E1E"/>
    <w:rsid w:val="2F513F2E"/>
    <w:rsid w:val="2F5E57C2"/>
    <w:rsid w:val="2F990904"/>
    <w:rsid w:val="303A3EAC"/>
    <w:rsid w:val="319D7376"/>
    <w:rsid w:val="327360D5"/>
    <w:rsid w:val="32C65480"/>
    <w:rsid w:val="32D912FC"/>
    <w:rsid w:val="333801CB"/>
    <w:rsid w:val="34570B82"/>
    <w:rsid w:val="34807916"/>
    <w:rsid w:val="34F4706D"/>
    <w:rsid w:val="355943F2"/>
    <w:rsid w:val="36397704"/>
    <w:rsid w:val="367871E9"/>
    <w:rsid w:val="36F90A3C"/>
    <w:rsid w:val="37343B7A"/>
    <w:rsid w:val="37764687"/>
    <w:rsid w:val="38A856BD"/>
    <w:rsid w:val="38E31861"/>
    <w:rsid w:val="395B0226"/>
    <w:rsid w:val="39F407A5"/>
    <w:rsid w:val="3C7A5BC5"/>
    <w:rsid w:val="3CEA4F7F"/>
    <w:rsid w:val="3DC255C0"/>
    <w:rsid w:val="3E37026C"/>
    <w:rsid w:val="3E84149D"/>
    <w:rsid w:val="401C02BA"/>
    <w:rsid w:val="4024421A"/>
    <w:rsid w:val="40BF53B1"/>
    <w:rsid w:val="40C73FD6"/>
    <w:rsid w:val="415A31C5"/>
    <w:rsid w:val="418C7217"/>
    <w:rsid w:val="425D5371"/>
    <w:rsid w:val="43D55E57"/>
    <w:rsid w:val="44711559"/>
    <w:rsid w:val="44BA1F75"/>
    <w:rsid w:val="45084F4F"/>
    <w:rsid w:val="45225AF9"/>
    <w:rsid w:val="45B06662"/>
    <w:rsid w:val="4617730B"/>
    <w:rsid w:val="461B3B13"/>
    <w:rsid w:val="467E7FB4"/>
    <w:rsid w:val="48C017E8"/>
    <w:rsid w:val="48F04535"/>
    <w:rsid w:val="491B1F01"/>
    <w:rsid w:val="496B4C67"/>
    <w:rsid w:val="4B251F56"/>
    <w:rsid w:val="4B810578"/>
    <w:rsid w:val="4C20681D"/>
    <w:rsid w:val="4E6C01BE"/>
    <w:rsid w:val="4EC77ECE"/>
    <w:rsid w:val="4F0218B9"/>
    <w:rsid w:val="4F205FDF"/>
    <w:rsid w:val="4F360182"/>
    <w:rsid w:val="50450405"/>
    <w:rsid w:val="50F23CDB"/>
    <w:rsid w:val="51044447"/>
    <w:rsid w:val="51200A2D"/>
    <w:rsid w:val="515E0E0C"/>
    <w:rsid w:val="51EC0F1C"/>
    <w:rsid w:val="53623BEE"/>
    <w:rsid w:val="53832D10"/>
    <w:rsid w:val="540B4F95"/>
    <w:rsid w:val="545952F2"/>
    <w:rsid w:val="5475139F"/>
    <w:rsid w:val="54B34707"/>
    <w:rsid w:val="55163126"/>
    <w:rsid w:val="557547C5"/>
    <w:rsid w:val="5665084A"/>
    <w:rsid w:val="56E37F83"/>
    <w:rsid w:val="571141E6"/>
    <w:rsid w:val="57936D3D"/>
    <w:rsid w:val="579A136D"/>
    <w:rsid w:val="585E4DF7"/>
    <w:rsid w:val="58840844"/>
    <w:rsid w:val="58CB77ED"/>
    <w:rsid w:val="58E2665F"/>
    <w:rsid w:val="59CD78E2"/>
    <w:rsid w:val="59EF2486"/>
    <w:rsid w:val="5A0111D5"/>
    <w:rsid w:val="5A0B73C6"/>
    <w:rsid w:val="5A455061"/>
    <w:rsid w:val="5B836FB3"/>
    <w:rsid w:val="5BA10761"/>
    <w:rsid w:val="5BB4577B"/>
    <w:rsid w:val="5CBB2533"/>
    <w:rsid w:val="5CDE0169"/>
    <w:rsid w:val="5D0761FA"/>
    <w:rsid w:val="5DB06C95"/>
    <w:rsid w:val="5DEA664B"/>
    <w:rsid w:val="5E1E00A2"/>
    <w:rsid w:val="5E515E4C"/>
    <w:rsid w:val="5E9B51F7"/>
    <w:rsid w:val="613A2DB2"/>
    <w:rsid w:val="6192502F"/>
    <w:rsid w:val="61AE54CE"/>
    <w:rsid w:val="61FC309E"/>
    <w:rsid w:val="63546E84"/>
    <w:rsid w:val="639A3D75"/>
    <w:rsid w:val="6620029B"/>
    <w:rsid w:val="668115BA"/>
    <w:rsid w:val="673832E7"/>
    <w:rsid w:val="673E73EE"/>
    <w:rsid w:val="675161B3"/>
    <w:rsid w:val="67726944"/>
    <w:rsid w:val="67AD54A4"/>
    <w:rsid w:val="680727D3"/>
    <w:rsid w:val="68344483"/>
    <w:rsid w:val="686065CC"/>
    <w:rsid w:val="687147DA"/>
    <w:rsid w:val="68A4383E"/>
    <w:rsid w:val="6BF620D3"/>
    <w:rsid w:val="6C496EB7"/>
    <w:rsid w:val="6DAA1F76"/>
    <w:rsid w:val="6DE568D8"/>
    <w:rsid w:val="6E062100"/>
    <w:rsid w:val="6E9C129B"/>
    <w:rsid w:val="6F9E1BDA"/>
    <w:rsid w:val="71333A0D"/>
    <w:rsid w:val="71EA6AF3"/>
    <w:rsid w:val="72227E16"/>
    <w:rsid w:val="724677CD"/>
    <w:rsid w:val="729F1A9A"/>
    <w:rsid w:val="735A7989"/>
    <w:rsid w:val="73B857C2"/>
    <w:rsid w:val="73FB15C5"/>
    <w:rsid w:val="73FC77D8"/>
    <w:rsid w:val="74294E24"/>
    <w:rsid w:val="74350C36"/>
    <w:rsid w:val="74884070"/>
    <w:rsid w:val="751637A7"/>
    <w:rsid w:val="755C0699"/>
    <w:rsid w:val="763D100B"/>
    <w:rsid w:val="76DE2D93"/>
    <w:rsid w:val="773E214C"/>
    <w:rsid w:val="7765592F"/>
    <w:rsid w:val="77AE50E6"/>
    <w:rsid w:val="77C43611"/>
    <w:rsid w:val="77D70DAD"/>
    <w:rsid w:val="77EC0B42"/>
    <w:rsid w:val="780505F7"/>
    <w:rsid w:val="782232F6"/>
    <w:rsid w:val="78975968"/>
    <w:rsid w:val="78C5192F"/>
    <w:rsid w:val="796B3663"/>
    <w:rsid w:val="79822FE7"/>
    <w:rsid w:val="7A1B7CE2"/>
    <w:rsid w:val="7B432FC7"/>
    <w:rsid w:val="7B71305D"/>
    <w:rsid w:val="7BFF2F43"/>
    <w:rsid w:val="7C0F1417"/>
    <w:rsid w:val="7C460A98"/>
    <w:rsid w:val="7C6A62AD"/>
    <w:rsid w:val="7CDF626C"/>
    <w:rsid w:val="7D1E37D2"/>
    <w:rsid w:val="7D225061"/>
    <w:rsid w:val="7D4C0E1E"/>
    <w:rsid w:val="7DBA6ED4"/>
    <w:rsid w:val="7EBF4B32"/>
    <w:rsid w:val="7F4469DB"/>
    <w:rsid w:val="DDFF6336"/>
    <w:rsid w:val="EFEFC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宋体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outlineLvl w:val="0"/>
    </w:pPr>
    <w:rPr>
      <w:b/>
      <w:bCs/>
      <w:kern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outlineLvl w:val="1"/>
    </w:pPr>
    <w:rPr>
      <w:rFonts w:hAnsi="Arial"/>
      <w:b/>
      <w:bCs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spacing w:line="500" w:lineRule="exact"/>
      <w:ind w:firstLine="420"/>
    </w:pPr>
    <w:rPr>
      <w:rFonts w:ascii="Times New Roman" w:hAnsi="Times New Roman"/>
      <w:sz w:val="28"/>
      <w:szCs w:val="20"/>
    </w:rPr>
  </w:style>
  <w:style w:type="paragraph" w:styleId="5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kern w:val="0"/>
      <w:sz w:val="18"/>
      <w:szCs w:val="18"/>
    </w:rPr>
  </w:style>
  <w:style w:type="paragraph" w:styleId="7">
    <w:name w:val="toc 1"/>
    <w:basedOn w:val="1"/>
    <w:next w:val="1"/>
    <w:qFormat/>
    <w:uiPriority w:val="39"/>
    <w:pPr>
      <w:tabs>
        <w:tab w:val="right" w:leader="dot" w:pos="8296"/>
      </w:tabs>
    </w:pPr>
  </w:style>
  <w:style w:type="paragraph" w:styleId="8">
    <w:name w:val="toc 2"/>
    <w:basedOn w:val="1"/>
    <w:next w:val="1"/>
    <w:qFormat/>
    <w:uiPriority w:val="39"/>
    <w:pPr>
      <w:ind w:left="420" w:leftChars="200"/>
    </w:pPr>
  </w:style>
  <w:style w:type="paragraph" w:styleId="9">
    <w:name w:val="Normal (Web)"/>
    <w:basedOn w:val="1"/>
    <w:qFormat/>
    <w:uiPriority w:val="0"/>
    <w:rPr>
      <w:sz w:val="24"/>
    </w:rPr>
  </w:style>
  <w:style w:type="paragraph" w:customStyle="1" w:styleId="1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character" w:customStyle="1" w:styleId="13">
    <w:name w:val="font51"/>
    <w:basedOn w:val="11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14">
    <w:name w:val="font21"/>
    <w:basedOn w:val="1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5">
    <w:name w:val="font61"/>
    <w:basedOn w:val="11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16">
    <w:name w:val="font11"/>
    <w:basedOn w:val="1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7">
    <w:name w:val="font71"/>
    <w:basedOn w:val="11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paragraph" w:customStyle="1" w:styleId="18">
    <w:name w:val="_Style 2"/>
    <w:basedOn w:val="3"/>
    <w:next w:val="1"/>
    <w:qFormat/>
    <w:uiPriority w:val="39"/>
    <w:pPr>
      <w:widowControl/>
      <w:spacing w:before="480" w:beforeLines="0" w:after="0" w:afterLines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1750</Words>
  <Characters>1816</Characters>
  <Lines>0</Lines>
  <Paragraphs>0</Paragraphs>
  <TotalTime>35</TotalTime>
  <ScaleCrop>false</ScaleCrop>
  <LinksUpToDate>false</LinksUpToDate>
  <CharactersWithSpaces>1842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2025-04-17T01:38:00Z</dcterms:created>
  <dc:creator>康立伟</dc:creator>
  <cp:lastModifiedBy>李金江</cp:lastModifiedBy>
  <cp:lastPrinted>2025-11-14T07:05:00Z</cp:lastPrinted>
  <dcterms:modified xsi:type="dcterms:W3CDTF">2026-06-09T08:42:39Z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8E27402FACB14A92ABFDFD6669437144</vt:lpwstr>
  </property>
  <property fmtid="{D5CDD505-2E9C-101B-9397-08002B2CF9AE}" pid="4" name="KSOTemplateDocerSaveRecord">
    <vt:lpwstr>eyJoZGlkIjoiODViY2JkMjU3NGYzZTEwMzZmMGFkZWViYmNkYWU3NDIiLCJ1c2VySWQiOiI1NjAxNDQxNTkifQ==</vt:lpwstr>
  </property>
</Properties>
</file>