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B62050">
      <w:pPr>
        <w:spacing w:before="480" w:after="480" w:line="288" w:lineRule="auto"/>
        <w:ind w:left="0"/>
        <w:jc w:val="center"/>
      </w:pPr>
      <w:r>
        <w:rPr>
          <w:rFonts w:ascii="Arial" w:hAnsi="Arial" w:eastAsia="等线" w:cs="Arial"/>
          <w:b/>
          <w:sz w:val="52"/>
        </w:rPr>
        <w:t>电站水位监测系统技术规范书</w:t>
      </w:r>
    </w:p>
    <w:p w14:paraId="22A7FCC3">
      <w:pPr>
        <w:keepNext w:val="0"/>
        <w:keepLines w:val="0"/>
        <w:pageBreakBefore w:val="0"/>
        <w:kinsoku/>
        <w:wordWrap/>
        <w:overflowPunct/>
        <w:topLinePunct w:val="0"/>
        <w:autoSpaceDE/>
        <w:autoSpaceDN/>
        <w:bidi w:val="0"/>
        <w:adjustRightInd/>
        <w:snapToGrid/>
        <w:spacing w:line="288" w:lineRule="auto"/>
        <w:ind w:left="0"/>
        <w:jc w:val="left"/>
        <w:textAlignment w:val="auto"/>
        <w:outlineLvl w:val="1"/>
      </w:pPr>
      <w:bookmarkStart w:id="0" w:name="heading_0"/>
      <w:r>
        <w:rPr>
          <w:rFonts w:ascii="Arial" w:hAnsi="Arial" w:eastAsia="等线" w:cs="Arial"/>
          <w:b/>
          <w:sz w:val="32"/>
        </w:rPr>
        <w:t>1 总则</w:t>
      </w:r>
      <w:bookmarkEnd w:id="0"/>
    </w:p>
    <w:p w14:paraId="63E3839B">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bookmarkStart w:id="1" w:name="heading_1"/>
      <w:r>
        <w:rPr>
          <w:rFonts w:ascii="Arial" w:hAnsi="Arial" w:eastAsia="等线" w:cs="Arial"/>
          <w:b/>
          <w:sz w:val="30"/>
        </w:rPr>
        <w:t>1.1 项目概况</w:t>
      </w:r>
      <w:bookmarkEnd w:id="1"/>
    </w:p>
    <w:p w14:paraId="69FAAD21">
      <w:pPr>
        <w:keepNext w:val="0"/>
        <w:keepLines w:val="0"/>
        <w:pageBreakBefore w:val="0"/>
        <w:kinsoku/>
        <w:wordWrap/>
        <w:overflowPunct/>
        <w:topLinePunct w:val="0"/>
        <w:autoSpaceDE/>
        <w:autoSpaceDN/>
        <w:bidi w:val="0"/>
        <w:adjustRightInd/>
        <w:snapToGrid/>
        <w:spacing w:line="288" w:lineRule="auto"/>
        <w:ind w:left="0" w:firstLine="440" w:firstLineChars="200"/>
        <w:jc w:val="left"/>
        <w:textAlignment w:val="auto"/>
      </w:pPr>
      <w:r>
        <w:rPr>
          <w:rFonts w:ascii="Arial" w:hAnsi="Arial" w:eastAsia="等线" w:cs="Arial"/>
          <w:sz w:val="22"/>
        </w:rPr>
        <w:t>本技术规范书适用于</w:t>
      </w:r>
      <w:r>
        <w:rPr>
          <w:rFonts w:hint="eastAsia" w:ascii="Arial" w:hAnsi="Arial" w:eastAsia="等线" w:cs="Arial"/>
          <w:sz w:val="22"/>
          <w:lang w:val="en-US" w:eastAsia="zh-CN"/>
        </w:rPr>
        <w:t>黔能公司</w:t>
      </w:r>
      <w:r>
        <w:rPr>
          <w:rFonts w:ascii="Arial" w:hAnsi="Arial" w:eastAsia="等线" w:cs="Arial"/>
          <w:sz w:val="22"/>
        </w:rPr>
        <w:t>龙塘电站、甘金桥电站、贺家滩电站、九道拐电站水位监测系统建设项目，系统采用数据采集传输+中控室实时显示的一体化方案，可实现电站水位数据全自动采集、存储、</w:t>
      </w:r>
      <w:r>
        <w:rPr>
          <w:rFonts w:hint="eastAsia" w:ascii="Arial" w:hAnsi="Arial" w:eastAsia="等线" w:cs="Arial"/>
          <w:sz w:val="22"/>
          <w:lang w:val="en-US" w:eastAsia="zh-CN"/>
        </w:rPr>
        <w:t>指定协议</w:t>
      </w:r>
      <w:r>
        <w:rPr>
          <w:rFonts w:ascii="Arial" w:hAnsi="Arial" w:eastAsia="等线" w:cs="Arial"/>
          <w:sz w:val="22"/>
        </w:rPr>
        <w:t>远程传输、本地</w:t>
      </w:r>
      <w:r>
        <w:rPr>
          <w:rFonts w:hint="eastAsia" w:ascii="Arial" w:hAnsi="Arial" w:eastAsia="等线" w:cs="Arial"/>
          <w:sz w:val="22"/>
          <w:lang w:val="en-US" w:eastAsia="zh-CN"/>
        </w:rPr>
        <w:t>中控室</w:t>
      </w:r>
      <w:r>
        <w:rPr>
          <w:rFonts w:ascii="Arial" w:hAnsi="Arial" w:eastAsia="等线" w:cs="Arial"/>
          <w:sz w:val="22"/>
        </w:rPr>
        <w:t>实时显示，配套报警预警功能，满足各电站日常水位监测、运维管控的使用需求。各电站系统核心设备配置基本一致，仅485屏蔽线敷设长度存在</w:t>
      </w:r>
      <w:r>
        <w:rPr>
          <w:rFonts w:hint="eastAsia" w:ascii="Arial" w:hAnsi="Arial" w:eastAsia="等线" w:cs="Arial"/>
          <w:sz w:val="22"/>
          <w:lang w:val="en-US" w:eastAsia="zh-CN"/>
        </w:rPr>
        <w:t>数量</w:t>
      </w:r>
      <w:r>
        <w:rPr>
          <w:rFonts w:ascii="Arial" w:hAnsi="Arial" w:eastAsia="等线" w:cs="Arial"/>
          <w:sz w:val="22"/>
        </w:rPr>
        <w:t>差异，本规范统一规定系统技术标准、设备参数、所有项目建设均需遵循本标准执行。</w:t>
      </w:r>
    </w:p>
    <w:p w14:paraId="20E308BB">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bookmarkStart w:id="2" w:name="heading_2"/>
      <w:r>
        <w:rPr>
          <w:rFonts w:ascii="Arial" w:hAnsi="Arial" w:eastAsia="等线" w:cs="Arial"/>
          <w:b/>
          <w:sz w:val="30"/>
        </w:rPr>
        <w:t>1.2 编制依据</w:t>
      </w:r>
      <w:bookmarkEnd w:id="2"/>
    </w:p>
    <w:p w14:paraId="2E4CA092">
      <w:pPr>
        <w:keepNext w:val="0"/>
        <w:keepLines w:val="0"/>
        <w:pageBreakBefore w:val="0"/>
        <w:kinsoku/>
        <w:wordWrap/>
        <w:overflowPunct/>
        <w:topLinePunct w:val="0"/>
        <w:autoSpaceDE/>
        <w:autoSpaceDN/>
        <w:bidi w:val="0"/>
        <w:adjustRightInd/>
        <w:snapToGrid/>
        <w:spacing w:line="288" w:lineRule="auto"/>
        <w:ind w:left="0" w:firstLine="440" w:firstLineChars="200"/>
        <w:jc w:val="left"/>
        <w:textAlignment w:val="auto"/>
      </w:pPr>
      <w:r>
        <w:rPr>
          <w:rFonts w:ascii="Arial" w:hAnsi="Arial" w:eastAsia="等线" w:cs="Arial"/>
          <w:sz w:val="22"/>
        </w:rPr>
        <w:t>本规范书依据项目设备采购需求、水利工程水位监测行业标准、工业设备防护及通讯传输规范编制，结合各电站现场使用场景，明确系统设备性能、安装施工</w:t>
      </w:r>
      <w:r>
        <w:rPr>
          <w:rFonts w:hint="eastAsia" w:ascii="Arial" w:hAnsi="Arial" w:eastAsia="等线" w:cs="Arial"/>
          <w:sz w:val="22"/>
          <w:lang w:eastAsia="zh-CN"/>
        </w:rPr>
        <w:t>（</w:t>
      </w:r>
      <w:r>
        <w:rPr>
          <w:rFonts w:hint="eastAsia" w:ascii="Arial" w:hAnsi="Arial" w:eastAsia="等线" w:cs="Arial"/>
          <w:sz w:val="22"/>
          <w:lang w:val="en-US" w:eastAsia="zh-CN"/>
        </w:rPr>
        <w:t>电站自行施工）</w:t>
      </w:r>
      <w:r>
        <w:rPr>
          <w:rFonts w:ascii="Arial" w:hAnsi="Arial" w:eastAsia="等线" w:cs="Arial"/>
          <w:sz w:val="22"/>
        </w:rPr>
        <w:t>、供电要求</w:t>
      </w:r>
      <w:r>
        <w:rPr>
          <w:rFonts w:hint="eastAsia" w:ascii="Arial" w:hAnsi="Arial" w:eastAsia="等线" w:cs="Arial"/>
          <w:sz w:val="22"/>
          <w:lang w:eastAsia="zh-CN"/>
        </w:rPr>
        <w:t>（</w:t>
      </w:r>
      <w:r>
        <w:rPr>
          <w:rFonts w:hint="eastAsia" w:ascii="Arial" w:hAnsi="Arial" w:eastAsia="等线" w:cs="Arial"/>
          <w:sz w:val="22"/>
          <w:lang w:val="en-US" w:eastAsia="zh-CN"/>
        </w:rPr>
        <w:t>电站自行解决）</w:t>
      </w:r>
      <w:r>
        <w:rPr>
          <w:rFonts w:ascii="Arial" w:hAnsi="Arial" w:eastAsia="等线" w:cs="Arial"/>
          <w:sz w:val="22"/>
        </w:rPr>
        <w:t>、数据传输</w:t>
      </w:r>
      <w:r>
        <w:rPr>
          <w:rFonts w:hint="eastAsia" w:ascii="Arial" w:hAnsi="Arial" w:eastAsia="等线" w:cs="Arial"/>
          <w:sz w:val="22"/>
          <w:lang w:eastAsia="zh-CN"/>
        </w:rPr>
        <w:t>（</w:t>
      </w:r>
      <w:r>
        <w:rPr>
          <w:rFonts w:hint="eastAsia" w:ascii="Arial" w:hAnsi="Arial" w:eastAsia="等线" w:cs="Arial"/>
          <w:sz w:val="22"/>
          <w:lang w:val="en-US" w:eastAsia="zh-CN"/>
        </w:rPr>
        <w:t>指定服务器及协议）</w:t>
      </w:r>
      <w:r>
        <w:rPr>
          <w:rFonts w:ascii="Arial" w:hAnsi="Arial" w:eastAsia="等线" w:cs="Arial"/>
          <w:sz w:val="22"/>
        </w:rPr>
        <w:t>、售后服务等全部技术准则，为项目设备供货提供统一技术依据。</w:t>
      </w:r>
    </w:p>
    <w:p w14:paraId="6F0C24B1">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bookmarkStart w:id="3" w:name="heading_3"/>
      <w:r>
        <w:rPr>
          <w:rFonts w:ascii="Arial" w:hAnsi="Arial" w:eastAsia="等线" w:cs="Arial"/>
          <w:b/>
          <w:sz w:val="30"/>
        </w:rPr>
        <w:t>1.3 适用范围</w:t>
      </w:r>
      <w:bookmarkEnd w:id="3"/>
    </w:p>
    <w:p w14:paraId="1E7EC7E6">
      <w:pPr>
        <w:keepNext w:val="0"/>
        <w:keepLines w:val="0"/>
        <w:pageBreakBefore w:val="0"/>
        <w:kinsoku/>
        <w:wordWrap/>
        <w:overflowPunct/>
        <w:topLinePunct w:val="0"/>
        <w:autoSpaceDE/>
        <w:autoSpaceDN/>
        <w:bidi w:val="0"/>
        <w:adjustRightInd/>
        <w:snapToGrid/>
        <w:spacing w:line="288" w:lineRule="auto"/>
        <w:ind w:left="0" w:firstLine="440" w:firstLineChars="200"/>
        <w:jc w:val="left"/>
        <w:textAlignment w:val="auto"/>
      </w:pPr>
      <w:r>
        <w:rPr>
          <w:rFonts w:ascii="Arial" w:hAnsi="Arial" w:eastAsia="等线" w:cs="Arial"/>
          <w:sz w:val="22"/>
        </w:rPr>
        <w:t>本规范书涵盖项目所用全部监测设备的技术参数、性能指标、</w:t>
      </w:r>
      <w:r>
        <w:rPr>
          <w:rFonts w:hint="eastAsia" w:ascii="Arial" w:hAnsi="Arial" w:eastAsia="等线" w:cs="Arial"/>
          <w:sz w:val="22"/>
          <w:lang w:val="en-US" w:eastAsia="zh-CN"/>
        </w:rPr>
        <w:t>自行</w:t>
      </w:r>
      <w:r>
        <w:rPr>
          <w:rFonts w:ascii="Arial" w:hAnsi="Arial" w:eastAsia="等线" w:cs="Arial"/>
          <w:sz w:val="22"/>
        </w:rPr>
        <w:t>安装要求、</w:t>
      </w:r>
      <w:r>
        <w:rPr>
          <w:rFonts w:hint="eastAsia" w:ascii="Arial" w:hAnsi="Arial" w:eastAsia="等线" w:cs="Arial"/>
          <w:sz w:val="22"/>
          <w:lang w:val="en-US" w:eastAsia="zh-CN"/>
        </w:rPr>
        <w:t>现场</w:t>
      </w:r>
      <w:r>
        <w:rPr>
          <w:rFonts w:ascii="Arial" w:hAnsi="Arial" w:eastAsia="等线" w:cs="Arial"/>
          <w:sz w:val="22"/>
        </w:rPr>
        <w:t>供电条件、系统功能</w:t>
      </w:r>
      <w:r>
        <w:rPr>
          <w:rFonts w:hint="eastAsia" w:ascii="Arial" w:hAnsi="Arial" w:eastAsia="等线" w:cs="Arial"/>
          <w:sz w:val="22"/>
          <w:lang w:val="en-US" w:eastAsia="zh-CN"/>
        </w:rPr>
        <w:t>等</w:t>
      </w:r>
      <w:r>
        <w:rPr>
          <w:rFonts w:ascii="Arial" w:hAnsi="Arial" w:eastAsia="等线" w:cs="Arial"/>
          <w:sz w:val="22"/>
        </w:rPr>
        <w:t>要求，适用于四座电站水位监测系统的设备采购、生产制造、</w:t>
      </w:r>
      <w:r>
        <w:rPr>
          <w:rFonts w:hint="eastAsia" w:ascii="Arial" w:hAnsi="Arial" w:eastAsia="等线" w:cs="Arial"/>
          <w:sz w:val="22"/>
          <w:lang w:val="en-US" w:eastAsia="zh-CN"/>
        </w:rPr>
        <w:t>自行</w:t>
      </w:r>
      <w:r>
        <w:rPr>
          <w:rFonts w:ascii="Arial" w:hAnsi="Arial" w:eastAsia="等线" w:cs="Arial"/>
          <w:sz w:val="22"/>
        </w:rPr>
        <w:t>安装、调试</w:t>
      </w:r>
      <w:r>
        <w:rPr>
          <w:rFonts w:hint="eastAsia" w:ascii="Arial" w:hAnsi="Arial" w:eastAsia="等线" w:cs="Arial"/>
          <w:sz w:val="22"/>
          <w:lang w:eastAsia="zh-CN"/>
        </w:rPr>
        <w:t>（</w:t>
      </w:r>
      <w:r>
        <w:rPr>
          <w:rFonts w:hint="eastAsia" w:ascii="Arial" w:hAnsi="Arial" w:eastAsia="等线" w:cs="Arial"/>
          <w:sz w:val="22"/>
          <w:lang w:val="en-US" w:eastAsia="zh-CN"/>
        </w:rPr>
        <w:t>供货商提供全程技术支持）</w:t>
      </w:r>
      <w:r>
        <w:rPr>
          <w:rFonts w:ascii="Arial" w:hAnsi="Arial" w:eastAsia="等线" w:cs="Arial"/>
          <w:sz w:val="22"/>
        </w:rPr>
        <w:t>全流程工作。</w:t>
      </w:r>
    </w:p>
    <w:p w14:paraId="23F8D76E">
      <w:pPr>
        <w:keepNext w:val="0"/>
        <w:keepLines w:val="0"/>
        <w:pageBreakBefore w:val="0"/>
        <w:kinsoku/>
        <w:wordWrap/>
        <w:overflowPunct/>
        <w:topLinePunct w:val="0"/>
        <w:autoSpaceDE/>
        <w:autoSpaceDN/>
        <w:bidi w:val="0"/>
        <w:adjustRightInd/>
        <w:snapToGrid/>
        <w:spacing w:line="288" w:lineRule="auto"/>
        <w:ind w:left="0"/>
        <w:jc w:val="left"/>
        <w:textAlignment w:val="auto"/>
        <w:outlineLvl w:val="1"/>
      </w:pPr>
      <w:bookmarkStart w:id="4" w:name="heading_4"/>
      <w:r>
        <w:rPr>
          <w:rFonts w:ascii="Arial" w:hAnsi="Arial" w:eastAsia="等线" w:cs="Arial"/>
          <w:b/>
          <w:sz w:val="32"/>
        </w:rPr>
        <w:t>2 系统总体技术要求</w:t>
      </w:r>
      <w:bookmarkEnd w:id="4"/>
    </w:p>
    <w:p w14:paraId="5EB3E47C">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bookmarkStart w:id="5" w:name="heading_5"/>
      <w:r>
        <w:rPr>
          <w:rFonts w:ascii="Arial" w:hAnsi="Arial" w:eastAsia="等线" w:cs="Arial"/>
          <w:b/>
          <w:sz w:val="30"/>
        </w:rPr>
        <w:t>2.1 系统功能要求</w:t>
      </w:r>
      <w:bookmarkEnd w:id="5"/>
    </w:p>
    <w:p w14:paraId="6BC2C08B">
      <w:pPr>
        <w:keepNext w:val="0"/>
        <w:keepLines w:val="0"/>
        <w:pageBreakBefore w:val="0"/>
        <w:kinsoku/>
        <w:wordWrap/>
        <w:overflowPunct/>
        <w:topLinePunct w:val="0"/>
        <w:autoSpaceDE/>
        <w:autoSpaceDN/>
        <w:bidi w:val="0"/>
        <w:adjustRightInd/>
        <w:snapToGrid/>
        <w:spacing w:line="288" w:lineRule="auto"/>
        <w:ind w:left="0" w:firstLine="440" w:firstLineChars="200"/>
        <w:jc w:val="left"/>
        <w:textAlignment w:val="auto"/>
      </w:pPr>
      <w:r>
        <w:rPr>
          <w:rFonts w:ascii="Arial" w:hAnsi="Arial" w:eastAsia="等线" w:cs="Arial"/>
          <w:sz w:val="22"/>
        </w:rPr>
        <w:t>本水位监测系统需实现全自动智能化监测，核心功能包含多维度数据采集、本地数据存储、4G</w:t>
      </w:r>
      <w:r>
        <w:rPr>
          <w:rFonts w:hint="eastAsia" w:ascii="Arial" w:hAnsi="Arial" w:eastAsia="等线" w:cs="Arial"/>
          <w:sz w:val="22"/>
          <w:lang w:eastAsia="zh-CN"/>
        </w:rPr>
        <w:t>（</w:t>
      </w:r>
      <w:r>
        <w:rPr>
          <w:rFonts w:hint="eastAsia" w:ascii="Arial" w:hAnsi="Arial" w:eastAsia="等线" w:cs="Arial"/>
          <w:sz w:val="22"/>
          <w:lang w:val="en-US" w:eastAsia="zh-CN"/>
        </w:rPr>
        <w:t>隔离透传）/以太网（内网）</w:t>
      </w:r>
      <w:r>
        <w:rPr>
          <w:rFonts w:ascii="Arial" w:hAnsi="Arial" w:eastAsia="等线" w:cs="Arial"/>
          <w:sz w:val="22"/>
        </w:rPr>
        <w:t>远程传输、中控室实时数据显示、超限</w:t>
      </w:r>
      <w:r>
        <w:rPr>
          <w:rFonts w:hint="eastAsia" w:ascii="Arial" w:hAnsi="Arial" w:eastAsia="等线" w:cs="Arial"/>
          <w:sz w:val="22"/>
          <w:lang w:val="en-US" w:eastAsia="zh-CN"/>
        </w:rPr>
        <w:t>触发</w:t>
      </w:r>
      <w:r>
        <w:rPr>
          <w:rFonts w:ascii="Arial" w:hAnsi="Arial" w:eastAsia="等线" w:cs="Arial"/>
          <w:sz w:val="22"/>
        </w:rPr>
        <w:t>声光报警，数据传输稳定、显示精准、运行可靠，可24小时不间断工作。具体功能要求如下：</w:t>
      </w:r>
    </w:p>
    <w:p w14:paraId="0C90AF6A">
      <w:pPr>
        <w:keepNext w:val="0"/>
        <w:keepLines w:val="0"/>
        <w:pageBreakBefore w:val="0"/>
        <w:numPr>
          <w:ilvl w:val="0"/>
          <w:numId w:val="1"/>
        </w:numPr>
        <w:kinsoku/>
        <w:wordWrap/>
        <w:overflowPunct/>
        <w:topLinePunct w:val="0"/>
        <w:autoSpaceDE/>
        <w:autoSpaceDN/>
        <w:bidi w:val="0"/>
        <w:adjustRightInd/>
        <w:snapToGrid/>
        <w:spacing w:line="288" w:lineRule="auto"/>
        <w:ind w:left="0" w:leftChars="0" w:firstLine="440" w:firstLineChars="0"/>
        <w:jc w:val="left"/>
        <w:textAlignment w:val="auto"/>
      </w:pPr>
      <w:r>
        <w:rPr>
          <w:rFonts w:ascii="Arial" w:hAnsi="Arial" w:eastAsia="等线" w:cs="Arial"/>
          <w:sz w:val="22"/>
        </w:rPr>
        <w:t>数据采集：支持水位数据实时采集，采集数据精度高、响应速度快；</w:t>
      </w:r>
    </w:p>
    <w:p w14:paraId="2B98B009">
      <w:pPr>
        <w:keepNext w:val="0"/>
        <w:keepLines w:val="0"/>
        <w:pageBreakBefore w:val="0"/>
        <w:numPr>
          <w:ilvl w:val="0"/>
          <w:numId w:val="2"/>
        </w:numPr>
        <w:kinsoku/>
        <w:wordWrap/>
        <w:overflowPunct/>
        <w:topLinePunct w:val="0"/>
        <w:autoSpaceDE/>
        <w:autoSpaceDN/>
        <w:bidi w:val="0"/>
        <w:adjustRightInd/>
        <w:snapToGrid/>
        <w:spacing w:line="288" w:lineRule="auto"/>
        <w:ind w:left="0" w:leftChars="0" w:firstLine="440" w:firstLineChars="0"/>
        <w:jc w:val="left"/>
        <w:textAlignment w:val="auto"/>
        <w:rPr>
          <w:rFonts w:ascii="Arial" w:hAnsi="Arial" w:eastAsia="等线" w:cs="Arial"/>
          <w:sz w:val="22"/>
        </w:rPr>
      </w:pPr>
      <w:r>
        <w:rPr>
          <w:rFonts w:ascii="Arial" w:hAnsi="Arial" w:eastAsia="等线" w:cs="Arial"/>
          <w:sz w:val="22"/>
        </w:rPr>
        <w:t>数据传输：现场采集数据可通过4G</w:t>
      </w:r>
      <w:r>
        <w:rPr>
          <w:rFonts w:hint="eastAsia" w:ascii="Arial" w:hAnsi="Arial" w:eastAsia="等线" w:cs="Arial"/>
          <w:sz w:val="22"/>
          <w:lang w:eastAsia="zh-CN"/>
        </w:rPr>
        <w:t>（</w:t>
      </w:r>
      <w:r>
        <w:rPr>
          <w:rFonts w:hint="eastAsia" w:ascii="Arial" w:hAnsi="Arial" w:eastAsia="等线" w:cs="Arial"/>
          <w:sz w:val="22"/>
          <w:lang w:val="en-US" w:eastAsia="zh-CN"/>
        </w:rPr>
        <w:t>隔离透传）/以太网（内网）</w:t>
      </w:r>
      <w:r>
        <w:rPr>
          <w:rFonts w:ascii="Arial" w:hAnsi="Arial" w:eastAsia="等线" w:cs="Arial"/>
          <w:sz w:val="22"/>
        </w:rPr>
        <w:t>网络直接传输至后台服务器，传输过程稳定、</w:t>
      </w:r>
      <w:r>
        <w:rPr>
          <w:rFonts w:hint="eastAsia" w:ascii="Arial" w:hAnsi="Arial" w:eastAsia="等线" w:cs="Arial"/>
          <w:sz w:val="22"/>
          <w:lang w:val="en-US" w:eastAsia="zh-CN"/>
        </w:rPr>
        <w:t>丢包率≤0.1%</w:t>
      </w:r>
      <w:r>
        <w:rPr>
          <w:rFonts w:ascii="Arial" w:hAnsi="Arial" w:eastAsia="等线" w:cs="Arial"/>
          <w:sz w:val="22"/>
        </w:rPr>
        <w:t>，数据准确率</w:t>
      </w:r>
      <w:r>
        <w:rPr>
          <w:rFonts w:hint="eastAsia" w:ascii="Arial" w:hAnsi="Arial" w:eastAsia="等线" w:cs="Arial"/>
          <w:sz w:val="22"/>
          <w:lang w:val="en-US" w:eastAsia="zh-CN"/>
        </w:rPr>
        <w:t>不低于99%</w:t>
      </w:r>
      <w:r>
        <w:rPr>
          <w:rFonts w:ascii="Arial" w:hAnsi="Arial" w:eastAsia="等线" w:cs="Arial"/>
          <w:sz w:val="22"/>
        </w:rPr>
        <w:t>；</w:t>
      </w:r>
    </w:p>
    <w:p w14:paraId="25FEBEE4">
      <w:pPr>
        <w:keepNext w:val="0"/>
        <w:keepLines w:val="0"/>
        <w:pageBreakBefore w:val="0"/>
        <w:numPr>
          <w:ilvl w:val="0"/>
          <w:numId w:val="3"/>
        </w:numPr>
        <w:kinsoku/>
        <w:wordWrap/>
        <w:overflowPunct/>
        <w:topLinePunct w:val="0"/>
        <w:autoSpaceDE/>
        <w:autoSpaceDN/>
        <w:bidi w:val="0"/>
        <w:adjustRightInd/>
        <w:snapToGrid/>
        <w:spacing w:line="288" w:lineRule="auto"/>
        <w:ind w:left="0" w:leftChars="0" w:firstLine="440" w:firstLineChars="0"/>
        <w:jc w:val="left"/>
        <w:textAlignment w:val="auto"/>
      </w:pPr>
      <w:r>
        <w:rPr>
          <w:rFonts w:ascii="Arial" w:hAnsi="Arial" w:eastAsia="等线" w:cs="Arial"/>
          <w:sz w:val="22"/>
        </w:rPr>
        <w:t>本地显示：中控室配套显示屏实时展示电站海拔水位数据，画面稳定、拍照无闪屏，可实时查看现场监测数据；</w:t>
      </w:r>
    </w:p>
    <w:p w14:paraId="61578078">
      <w:pPr>
        <w:keepNext w:val="0"/>
        <w:keepLines w:val="0"/>
        <w:pageBreakBefore w:val="0"/>
        <w:numPr>
          <w:ilvl w:val="0"/>
          <w:numId w:val="4"/>
        </w:numPr>
        <w:kinsoku/>
        <w:wordWrap/>
        <w:overflowPunct/>
        <w:topLinePunct w:val="0"/>
        <w:autoSpaceDE/>
        <w:autoSpaceDN/>
        <w:bidi w:val="0"/>
        <w:adjustRightInd/>
        <w:snapToGrid/>
        <w:spacing w:line="288" w:lineRule="auto"/>
        <w:ind w:left="0" w:leftChars="0" w:firstLine="440" w:firstLineChars="0"/>
        <w:jc w:val="left"/>
        <w:textAlignment w:val="auto"/>
      </w:pPr>
      <w:r>
        <w:rPr>
          <w:rFonts w:ascii="Arial" w:hAnsi="Arial" w:eastAsia="等线" w:cs="Arial"/>
          <w:sz w:val="22"/>
        </w:rPr>
        <w:t>预警报警：配套声光报警器，可根据水位</w:t>
      </w:r>
      <w:r>
        <w:rPr>
          <w:rFonts w:hint="eastAsia" w:ascii="Arial" w:hAnsi="Arial" w:eastAsia="等线" w:cs="Arial"/>
          <w:sz w:val="22"/>
          <w:lang w:val="en-US" w:eastAsia="zh-CN"/>
        </w:rPr>
        <w:t>预设值</w:t>
      </w:r>
      <w:r>
        <w:rPr>
          <w:rFonts w:ascii="Arial" w:hAnsi="Arial" w:eastAsia="等线" w:cs="Arial"/>
          <w:sz w:val="22"/>
        </w:rPr>
        <w:t>实现声光预警提示，辅助现场</w:t>
      </w:r>
      <w:r>
        <w:rPr>
          <w:rFonts w:hint="eastAsia" w:ascii="Arial" w:hAnsi="Arial" w:eastAsia="等线" w:cs="Arial"/>
          <w:sz w:val="22"/>
          <w:lang w:val="en-US" w:eastAsia="zh-CN"/>
        </w:rPr>
        <w:t>运行</w:t>
      </w:r>
      <w:r>
        <w:rPr>
          <w:rFonts w:ascii="Arial" w:hAnsi="Arial" w:eastAsia="等线" w:cs="Arial"/>
          <w:sz w:val="22"/>
        </w:rPr>
        <w:t>管控；</w:t>
      </w:r>
    </w:p>
    <w:p w14:paraId="1B614185">
      <w:pPr>
        <w:keepNext w:val="0"/>
        <w:keepLines w:val="0"/>
        <w:pageBreakBefore w:val="0"/>
        <w:numPr>
          <w:ilvl w:val="0"/>
          <w:numId w:val="5"/>
        </w:numPr>
        <w:kinsoku/>
        <w:wordWrap/>
        <w:overflowPunct/>
        <w:topLinePunct w:val="0"/>
        <w:autoSpaceDE/>
        <w:autoSpaceDN/>
        <w:bidi w:val="0"/>
        <w:adjustRightInd/>
        <w:snapToGrid/>
        <w:spacing w:line="288" w:lineRule="auto"/>
        <w:ind w:left="0" w:leftChars="0" w:firstLine="380" w:firstLineChars="0"/>
        <w:jc w:val="left"/>
        <w:textAlignment w:val="auto"/>
      </w:pPr>
      <w:r>
        <w:rPr>
          <w:rFonts w:ascii="Arial" w:hAnsi="Arial" w:eastAsia="等线" w:cs="Arial"/>
          <w:sz w:val="22"/>
        </w:rPr>
        <w:t>数据存储：设备本地具备大容量存储能力，可长期留存监测数据，便于后期数据追溯与分析。</w:t>
      </w:r>
    </w:p>
    <w:p w14:paraId="3FE01582">
      <w:pPr>
        <w:pStyle w:val="2"/>
        <w:keepNext w:val="0"/>
        <w:keepLines w:val="0"/>
        <w:pageBreakBefore w:val="0"/>
        <w:widowControl/>
        <w:numPr>
          <w:ilvl w:val="0"/>
          <w:numId w:val="5"/>
        </w:numPr>
        <w:suppressLineNumbers w:val="0"/>
        <w:kinsoku/>
        <w:wordWrap/>
        <w:overflowPunct/>
        <w:topLinePunct w:val="0"/>
        <w:autoSpaceDE/>
        <w:autoSpaceDN/>
        <w:bidi w:val="0"/>
        <w:adjustRightInd/>
        <w:snapToGrid/>
        <w:spacing w:beforeAutospacing="0" w:afterAutospacing="0"/>
        <w:ind w:left="0" w:leftChars="0" w:right="0" w:firstLine="380" w:firstLineChars="0"/>
        <w:textAlignment w:val="auto"/>
      </w:pPr>
      <w:r>
        <w:rPr>
          <w:rFonts w:hint="eastAsia" w:ascii="Segoe UI" w:hAnsi="Segoe UI" w:eastAsia="宋体" w:cs="Segoe UI"/>
          <w:i w:val="0"/>
          <w:iCs w:val="0"/>
          <w:caps w:val="0"/>
          <w:color w:val="0F1115"/>
          <w:spacing w:val="0"/>
          <w:sz w:val="19"/>
          <w:szCs w:val="19"/>
          <w:shd w:val="clear" w:fill="FFFFFF"/>
          <w:lang w:val="en-US" w:eastAsia="zh-CN"/>
        </w:rPr>
        <w:t xml:space="preserve"> </w:t>
      </w:r>
      <w:r>
        <w:rPr>
          <w:rFonts w:hint="default" w:ascii="Arial" w:hAnsi="Arial" w:eastAsia="等线" w:cs="Arial"/>
          <w:sz w:val="22"/>
          <w:szCs w:val="22"/>
        </w:rPr>
        <w:t>故障自诊断：系统具备设备在线状态监测与故障报警功能，支持断线、断电、无数据等异常状态自动识别。</w:t>
      </w:r>
    </w:p>
    <w:p w14:paraId="28D72139">
      <w:pPr>
        <w:keepNext w:val="0"/>
        <w:keepLines w:val="0"/>
        <w:pageBreakBefore w:val="0"/>
        <w:numPr>
          <w:ilvl w:val="0"/>
          <w:numId w:val="0"/>
        </w:numPr>
        <w:kinsoku/>
        <w:wordWrap/>
        <w:overflowPunct/>
        <w:topLinePunct w:val="0"/>
        <w:autoSpaceDE/>
        <w:autoSpaceDN/>
        <w:bidi w:val="0"/>
        <w:adjustRightInd/>
        <w:snapToGrid/>
        <w:spacing w:line="288" w:lineRule="auto"/>
        <w:jc w:val="left"/>
        <w:textAlignment w:val="auto"/>
      </w:pPr>
    </w:p>
    <w:p w14:paraId="7521498D">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bookmarkStart w:id="6" w:name="heading_6"/>
      <w:r>
        <w:rPr>
          <w:rFonts w:ascii="Arial" w:hAnsi="Arial" w:eastAsia="等线" w:cs="Arial"/>
          <w:b/>
          <w:sz w:val="30"/>
        </w:rPr>
        <w:t>2.2 系统运行环境要求</w:t>
      </w:r>
      <w:bookmarkEnd w:id="6"/>
    </w:p>
    <w:p w14:paraId="453F4E5B">
      <w:pPr>
        <w:keepNext w:val="0"/>
        <w:keepLines w:val="0"/>
        <w:pageBreakBefore w:val="0"/>
        <w:kinsoku/>
        <w:wordWrap/>
        <w:overflowPunct/>
        <w:topLinePunct w:val="0"/>
        <w:autoSpaceDE/>
        <w:autoSpaceDN/>
        <w:bidi w:val="0"/>
        <w:adjustRightInd/>
        <w:snapToGrid/>
        <w:spacing w:line="288" w:lineRule="auto"/>
        <w:ind w:left="0" w:firstLine="440" w:firstLineChars="200"/>
        <w:jc w:val="left"/>
        <w:textAlignment w:val="auto"/>
      </w:pPr>
      <w:r>
        <w:rPr>
          <w:rFonts w:ascii="Arial" w:hAnsi="Arial" w:eastAsia="等线" w:cs="Arial"/>
          <w:sz w:val="22"/>
        </w:rPr>
        <w:t>系统设备适配户外及电站机房工况环境，核心采集终端防护等级达到IP67，可适应户外风雨、潮湿等复杂环境，设备运行稳定，耐高低温、抗干扰能力强，可长期不间断连续运行。</w:t>
      </w:r>
    </w:p>
    <w:p w14:paraId="5C8998E8">
      <w:pPr>
        <w:keepNext w:val="0"/>
        <w:keepLines w:val="0"/>
        <w:pageBreakBefore w:val="0"/>
        <w:kinsoku/>
        <w:wordWrap/>
        <w:overflowPunct/>
        <w:topLinePunct w:val="0"/>
        <w:autoSpaceDE/>
        <w:autoSpaceDN/>
        <w:bidi w:val="0"/>
        <w:adjustRightInd/>
        <w:snapToGrid/>
        <w:spacing w:line="288" w:lineRule="auto"/>
        <w:ind w:left="0"/>
        <w:jc w:val="left"/>
        <w:textAlignment w:val="auto"/>
        <w:outlineLvl w:val="1"/>
      </w:pPr>
      <w:bookmarkStart w:id="7" w:name="heading_7"/>
      <w:r>
        <w:rPr>
          <w:rFonts w:ascii="Arial" w:hAnsi="Arial" w:eastAsia="等线" w:cs="Arial"/>
          <w:b/>
          <w:sz w:val="32"/>
        </w:rPr>
        <w:t>3 核心设备技术参数规范</w:t>
      </w:r>
      <w:bookmarkEnd w:id="7"/>
    </w:p>
    <w:p w14:paraId="3B642624">
      <w:pPr>
        <w:keepNext w:val="0"/>
        <w:keepLines w:val="0"/>
        <w:pageBreakBefore w:val="0"/>
        <w:kinsoku/>
        <w:wordWrap/>
        <w:overflowPunct/>
        <w:topLinePunct w:val="0"/>
        <w:autoSpaceDE/>
        <w:autoSpaceDN/>
        <w:bidi w:val="0"/>
        <w:adjustRightInd/>
        <w:snapToGrid/>
        <w:spacing w:line="288" w:lineRule="auto"/>
        <w:ind w:left="0" w:firstLine="440" w:firstLineChars="200"/>
        <w:jc w:val="left"/>
        <w:textAlignment w:val="auto"/>
      </w:pPr>
      <w:r>
        <w:rPr>
          <w:rFonts w:ascii="Arial" w:hAnsi="Arial" w:eastAsia="等线" w:cs="Arial"/>
          <w:sz w:val="22"/>
        </w:rPr>
        <w:t>本项目四座电站所用核心设备技术参数统一标准化，仅线缆长度存在差异，各设备具体技术参数、配置及功能要求如下：</w:t>
      </w:r>
    </w:p>
    <w:p w14:paraId="1605C048">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bookmarkStart w:id="8" w:name="heading_8"/>
      <w:r>
        <w:rPr>
          <w:rFonts w:ascii="Arial" w:hAnsi="Arial" w:eastAsia="等线" w:cs="Arial"/>
          <w:b/>
          <w:sz w:val="30"/>
        </w:rPr>
        <w:t>3.1 数据采集、发送终端（RTU）</w:t>
      </w:r>
      <w:bookmarkEnd w:id="8"/>
    </w:p>
    <w:p w14:paraId="4EB0781D">
      <w:pPr>
        <w:keepNext w:val="0"/>
        <w:keepLines w:val="0"/>
        <w:pageBreakBefore w:val="0"/>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为本系统核心采集传输设备，单电站配置1台，具体参数要求：</w:t>
      </w:r>
    </w:p>
    <w:p w14:paraId="3BC02A0F">
      <w:pPr>
        <w:keepNext w:val="0"/>
        <w:keepLines w:val="0"/>
        <w:pageBreakBefore w:val="0"/>
        <w:numPr>
          <w:ilvl w:val="0"/>
          <w:numId w:val="6"/>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采集功能：支持</w:t>
      </w:r>
      <w:r>
        <w:rPr>
          <w:rFonts w:hint="eastAsia" w:ascii="Arial" w:hAnsi="Arial" w:eastAsia="等线" w:cs="Arial"/>
          <w:sz w:val="22"/>
          <w:lang w:val="en-US" w:eastAsia="zh-CN"/>
        </w:rPr>
        <w:t>一路或多路</w:t>
      </w:r>
      <w:r>
        <w:rPr>
          <w:rFonts w:ascii="Arial" w:hAnsi="Arial" w:eastAsia="等线" w:cs="Arial"/>
          <w:sz w:val="22"/>
        </w:rPr>
        <w:t>水位数据实时采集</w:t>
      </w:r>
      <w:r>
        <w:rPr>
          <w:rFonts w:hint="eastAsia" w:ascii="Arial" w:hAnsi="Arial" w:eastAsia="等线" w:cs="Arial"/>
          <w:sz w:val="22"/>
          <w:lang w:val="en-US" w:eastAsia="zh-CN"/>
        </w:rPr>
        <w:t>并通过</w:t>
      </w:r>
      <w:r>
        <w:rPr>
          <w:rFonts w:ascii="Arial" w:hAnsi="Arial" w:eastAsia="等线" w:cs="Arial"/>
          <w:sz w:val="22"/>
        </w:rPr>
        <w:t>4G</w:t>
      </w:r>
      <w:r>
        <w:rPr>
          <w:rFonts w:hint="eastAsia" w:ascii="Arial" w:hAnsi="Arial" w:eastAsia="等线" w:cs="Arial"/>
          <w:sz w:val="22"/>
          <w:lang w:eastAsia="zh-CN"/>
        </w:rPr>
        <w:t>（</w:t>
      </w:r>
      <w:r>
        <w:rPr>
          <w:rFonts w:hint="eastAsia" w:ascii="Arial" w:hAnsi="Arial" w:eastAsia="等线" w:cs="Arial"/>
          <w:sz w:val="22"/>
          <w:lang w:val="en-US" w:eastAsia="zh-CN"/>
        </w:rPr>
        <w:t>隔离透传）/以太网（内网）上传至指定服务器</w:t>
      </w:r>
      <w:r>
        <w:rPr>
          <w:rFonts w:ascii="Arial" w:hAnsi="Arial" w:eastAsia="等线" w:cs="Arial"/>
          <w:sz w:val="22"/>
        </w:rPr>
        <w:t>；</w:t>
      </w:r>
    </w:p>
    <w:p w14:paraId="0B23AFA7">
      <w:pPr>
        <w:keepNext w:val="0"/>
        <w:keepLines w:val="0"/>
        <w:pageBreakBefore w:val="0"/>
        <w:numPr>
          <w:ilvl w:val="0"/>
          <w:numId w:val="7"/>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存储性能：本地存储容量≥16GB，可长期存储历史监测数据；</w:t>
      </w:r>
    </w:p>
    <w:p w14:paraId="3674193B">
      <w:pPr>
        <w:keepNext w:val="0"/>
        <w:keepLines w:val="0"/>
        <w:pageBreakBefore w:val="0"/>
        <w:numPr>
          <w:ilvl w:val="0"/>
          <w:numId w:val="8"/>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传输方式：</w:t>
      </w:r>
      <w:r>
        <w:rPr>
          <w:rFonts w:hint="eastAsia" w:ascii="Arial" w:hAnsi="Arial" w:eastAsia="等线" w:cs="Arial"/>
          <w:sz w:val="22"/>
          <w:lang w:val="en-US" w:eastAsia="zh-CN"/>
        </w:rPr>
        <w:t>支持</w:t>
      </w:r>
      <w:r>
        <w:rPr>
          <w:rFonts w:ascii="Arial" w:hAnsi="Arial" w:eastAsia="等线" w:cs="Arial"/>
          <w:sz w:val="22"/>
        </w:rPr>
        <w:t>4G</w:t>
      </w:r>
      <w:r>
        <w:rPr>
          <w:rFonts w:hint="eastAsia" w:ascii="Arial" w:hAnsi="Arial" w:eastAsia="等线" w:cs="Arial"/>
          <w:sz w:val="22"/>
          <w:lang w:eastAsia="zh-CN"/>
        </w:rPr>
        <w:t>（</w:t>
      </w:r>
      <w:r>
        <w:rPr>
          <w:rFonts w:hint="eastAsia" w:ascii="Arial" w:hAnsi="Arial" w:eastAsia="等线" w:cs="Arial"/>
          <w:sz w:val="22"/>
          <w:lang w:val="en-US" w:eastAsia="zh-CN"/>
        </w:rPr>
        <w:t>隔离透传）/以太网（内网）</w:t>
      </w:r>
      <w:r>
        <w:rPr>
          <w:rFonts w:ascii="Arial" w:hAnsi="Arial" w:eastAsia="等线" w:cs="Arial"/>
          <w:sz w:val="22"/>
        </w:rPr>
        <w:t>，可稳定上传数据至后台服务器；</w:t>
      </w:r>
    </w:p>
    <w:p w14:paraId="4A96395D">
      <w:pPr>
        <w:keepNext w:val="0"/>
        <w:keepLines w:val="0"/>
        <w:pageBreakBefore w:val="0"/>
        <w:numPr>
          <w:ilvl w:val="0"/>
          <w:numId w:val="9"/>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防护等级：IP67高级别防护，防尘、防水、防潮，适配户外安装使用；</w:t>
      </w:r>
    </w:p>
    <w:p w14:paraId="4C888015">
      <w:pPr>
        <w:keepNext w:val="0"/>
        <w:keepLines w:val="0"/>
        <w:pageBreakBefore w:val="0"/>
        <w:numPr>
          <w:ilvl w:val="0"/>
          <w:numId w:val="10"/>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运行性能：低功耗、高稳定性，支持24小时不间断运行，数据采集、传输无卡顿、无遗漏。</w:t>
      </w:r>
    </w:p>
    <w:p w14:paraId="67394750">
      <w:pPr>
        <w:keepNext w:val="0"/>
        <w:keepLines w:val="0"/>
        <w:pageBreakBefore w:val="0"/>
        <w:numPr>
          <w:ilvl w:val="0"/>
          <w:numId w:val="10"/>
        </w:numPr>
        <w:kinsoku/>
        <w:wordWrap/>
        <w:overflowPunct/>
        <w:topLinePunct w:val="0"/>
        <w:autoSpaceDE/>
        <w:autoSpaceDN/>
        <w:bidi w:val="0"/>
        <w:adjustRightInd/>
        <w:snapToGrid/>
        <w:spacing w:line="288" w:lineRule="auto"/>
        <w:ind w:left="0"/>
        <w:jc w:val="left"/>
        <w:textAlignment w:val="auto"/>
        <w:rPr>
          <w:rFonts w:hint="eastAsia" w:ascii="Arial" w:hAnsi="Arial" w:eastAsia="等线" w:cs="Arial"/>
          <w:sz w:val="22"/>
          <w:lang w:val="en-US" w:eastAsia="zh-CN"/>
        </w:rPr>
      </w:pPr>
      <w:r>
        <w:rPr>
          <w:rFonts w:hint="eastAsia" w:ascii="Arial" w:hAnsi="Arial" w:eastAsia="等线" w:cs="Arial"/>
          <w:sz w:val="22"/>
          <w:lang w:val="en-US" w:eastAsia="zh-CN"/>
        </w:rPr>
        <w:t>要求：</w:t>
      </w:r>
    </w:p>
    <w:p w14:paraId="78D84499">
      <w:pPr>
        <w:keepNext w:val="0"/>
        <w:keepLines w:val="0"/>
        <w:pageBreakBefore w:val="0"/>
        <w:numPr>
          <w:ilvl w:val="0"/>
          <w:numId w:val="0"/>
        </w:numPr>
        <w:kinsoku/>
        <w:wordWrap/>
        <w:overflowPunct/>
        <w:topLinePunct w:val="0"/>
        <w:autoSpaceDE/>
        <w:autoSpaceDN/>
        <w:bidi w:val="0"/>
        <w:adjustRightInd/>
        <w:snapToGrid/>
        <w:spacing w:line="288" w:lineRule="auto"/>
        <w:ind w:firstLine="440" w:firstLineChars="200"/>
        <w:jc w:val="left"/>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1、设备需要入选《全国水利系统招标产品重点采购目录》（提供目录复印件加盖原厂商公章）</w:t>
      </w:r>
    </w:p>
    <w:p w14:paraId="14E9EF46">
      <w:pPr>
        <w:keepNext w:val="0"/>
        <w:keepLines w:val="0"/>
        <w:pageBreakBefore w:val="0"/>
        <w:numPr>
          <w:ilvl w:val="0"/>
          <w:numId w:val="0"/>
        </w:numPr>
        <w:kinsoku/>
        <w:wordWrap/>
        <w:overflowPunct/>
        <w:topLinePunct w:val="0"/>
        <w:autoSpaceDE/>
        <w:autoSpaceDN/>
        <w:bidi w:val="0"/>
        <w:adjustRightInd/>
        <w:snapToGrid/>
        <w:spacing w:line="288" w:lineRule="auto"/>
        <w:ind w:firstLine="440" w:firstLineChars="200"/>
        <w:jc w:val="left"/>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2、设备通过SL/T 427-2021《水资源监测数据传输规约》规约符合性测试。具备水利部水文仪器及岩土工程仪器质量监督检验测试中心出具的检测报告，需提供复印件加盖原厂商公章。</w:t>
      </w:r>
    </w:p>
    <w:p w14:paraId="1843FCCD">
      <w:pPr>
        <w:keepNext w:val="0"/>
        <w:keepLines w:val="0"/>
        <w:pageBreakBefore w:val="0"/>
        <w:numPr>
          <w:ilvl w:val="0"/>
          <w:numId w:val="0"/>
        </w:numPr>
        <w:kinsoku/>
        <w:wordWrap/>
        <w:overflowPunct/>
        <w:topLinePunct w:val="0"/>
        <w:autoSpaceDE/>
        <w:autoSpaceDN/>
        <w:bidi w:val="0"/>
        <w:adjustRightInd/>
        <w:snapToGrid/>
        <w:spacing w:line="288" w:lineRule="auto"/>
        <w:ind w:firstLine="440" w:firstLineChars="200"/>
        <w:jc w:val="left"/>
        <w:textAlignment w:val="auto"/>
        <w:rPr>
          <w:rFonts w:hint="eastAsia" w:ascii="Arial" w:hAnsi="Arial" w:eastAsia="等线" w:cs="Arial"/>
          <w:sz w:val="22"/>
          <w:lang w:val="en-US" w:eastAsia="zh-CN"/>
        </w:rPr>
      </w:pPr>
      <w:r>
        <w:rPr>
          <w:rFonts w:hint="eastAsia" w:ascii="Arial" w:hAnsi="Arial" w:eastAsia="等线" w:cs="Arial"/>
          <w:sz w:val="22"/>
          <w:lang w:val="en-US" w:eastAsia="zh-CN"/>
        </w:rPr>
        <w:t>3、设备功耗低，静态值守电流≤0.78mA。</w:t>
      </w:r>
    </w:p>
    <w:p w14:paraId="2C308B57">
      <w:pPr>
        <w:keepNext w:val="0"/>
        <w:keepLines w:val="0"/>
        <w:pageBreakBefore w:val="0"/>
        <w:numPr>
          <w:ilvl w:val="0"/>
          <w:numId w:val="0"/>
        </w:numPr>
        <w:kinsoku/>
        <w:wordWrap/>
        <w:overflowPunct/>
        <w:topLinePunct w:val="0"/>
        <w:autoSpaceDE/>
        <w:autoSpaceDN/>
        <w:bidi w:val="0"/>
        <w:adjustRightInd/>
        <w:snapToGrid/>
        <w:spacing w:line="288" w:lineRule="auto"/>
        <w:ind w:firstLine="440" w:firstLineChars="200"/>
        <w:jc w:val="left"/>
        <w:textAlignment w:val="auto"/>
        <w:rPr>
          <w:rFonts w:hint="eastAsia" w:ascii="Arial" w:hAnsi="Arial" w:eastAsia="等线" w:cs="Arial"/>
          <w:sz w:val="22"/>
          <w:lang w:val="en-US" w:eastAsia="zh-CN"/>
        </w:rPr>
      </w:pPr>
      <w:r>
        <w:rPr>
          <w:rFonts w:hint="eastAsia" w:ascii="Arial" w:hAnsi="Arial" w:eastAsia="等线" w:cs="Arial"/>
          <w:sz w:val="22"/>
          <w:lang w:val="en-US" w:eastAsia="zh-CN"/>
        </w:rPr>
        <w:t>4、设备通过盐雾试验，检测依据：GB/T 2423.17-2024.试验时长：48h，需提供国家认可的，具有相关检测资质的第三方专业检测机构出具带有CMA，CNAS标识的检测报告证明，报告扫描上网可查。需提供复印件并加盖原厂商公章，原件备查。</w:t>
      </w:r>
    </w:p>
    <w:p w14:paraId="1BFF7E0E">
      <w:pPr>
        <w:keepNext w:val="0"/>
        <w:keepLines w:val="0"/>
        <w:pageBreakBefore w:val="0"/>
        <w:numPr>
          <w:ilvl w:val="0"/>
          <w:numId w:val="0"/>
        </w:numPr>
        <w:kinsoku/>
        <w:wordWrap/>
        <w:overflowPunct/>
        <w:topLinePunct w:val="0"/>
        <w:autoSpaceDE/>
        <w:autoSpaceDN/>
        <w:bidi w:val="0"/>
        <w:adjustRightInd/>
        <w:snapToGrid/>
        <w:spacing w:line="288" w:lineRule="auto"/>
        <w:ind w:firstLine="440" w:firstLineChars="200"/>
        <w:jc w:val="left"/>
        <w:textAlignment w:val="auto"/>
        <w:rPr>
          <w:rFonts w:hint="eastAsia" w:ascii="Arial" w:hAnsi="Arial" w:eastAsia="等线" w:cs="Arial"/>
          <w:sz w:val="22"/>
          <w:lang w:val="en-US" w:eastAsia="zh-CN"/>
        </w:rPr>
      </w:pPr>
      <w:r>
        <w:rPr>
          <w:rFonts w:hint="eastAsia" w:ascii="Arial" w:hAnsi="Arial" w:eastAsia="等线" w:cs="Arial"/>
          <w:sz w:val="22"/>
          <w:lang w:val="en-US" w:eastAsia="zh-CN"/>
        </w:rPr>
        <w:t>5、设备拥有自主知识产权，终端嵌入式软件软件著作权证明、避免使用过程中出现侵权问题。</w:t>
      </w:r>
    </w:p>
    <w:p w14:paraId="53362602">
      <w:pPr>
        <w:keepNext w:val="0"/>
        <w:keepLines w:val="0"/>
        <w:pageBreakBefore w:val="0"/>
        <w:numPr>
          <w:ilvl w:val="0"/>
          <w:numId w:val="0"/>
        </w:numPr>
        <w:kinsoku/>
        <w:wordWrap/>
        <w:overflowPunct/>
        <w:topLinePunct w:val="0"/>
        <w:autoSpaceDE/>
        <w:autoSpaceDN/>
        <w:bidi w:val="0"/>
        <w:adjustRightInd/>
        <w:snapToGrid/>
        <w:spacing w:line="288" w:lineRule="auto"/>
        <w:ind w:firstLine="440" w:firstLineChars="200"/>
        <w:jc w:val="left"/>
        <w:textAlignment w:val="auto"/>
        <w:rPr>
          <w:rFonts w:hint="eastAsia" w:ascii="Arial" w:hAnsi="Arial" w:eastAsia="等线" w:cs="Arial"/>
          <w:sz w:val="22"/>
          <w:u w:val="single"/>
          <w:lang w:val="en-US" w:eastAsia="zh-CN"/>
        </w:rPr>
      </w:pPr>
      <w:r>
        <w:rPr>
          <w:rFonts w:hint="eastAsia" w:ascii="Arial" w:hAnsi="Arial" w:eastAsia="等线" w:cs="Arial"/>
          <w:sz w:val="22"/>
          <w:u w:val="single"/>
          <w:lang w:val="en-US" w:eastAsia="zh-CN"/>
        </w:rPr>
        <w:t>6、设备生产厂家具有ISO9001质量管理体系认证证书，ISO14001环境管理体系认证证书，ISO45001职业健康安全管理体系认证证书。</w:t>
      </w:r>
    </w:p>
    <w:p w14:paraId="6B218C97">
      <w:pPr>
        <w:keepNext w:val="0"/>
        <w:keepLines w:val="0"/>
        <w:pageBreakBefore w:val="0"/>
        <w:numPr>
          <w:ilvl w:val="0"/>
          <w:numId w:val="0"/>
        </w:numPr>
        <w:kinsoku/>
        <w:wordWrap/>
        <w:overflowPunct/>
        <w:topLinePunct w:val="0"/>
        <w:autoSpaceDE/>
        <w:autoSpaceDN/>
        <w:bidi w:val="0"/>
        <w:adjustRightInd/>
        <w:snapToGrid/>
        <w:spacing w:line="288" w:lineRule="auto"/>
        <w:ind w:firstLine="440" w:firstLineChars="200"/>
        <w:jc w:val="left"/>
        <w:textAlignment w:val="auto"/>
        <w:rPr>
          <w:rFonts w:hint="default" w:ascii="Arial" w:hAnsi="Arial" w:eastAsia="等线" w:cs="Arial"/>
          <w:sz w:val="22"/>
          <w:lang w:val="en-US" w:eastAsia="zh-CN"/>
        </w:rPr>
      </w:pPr>
      <w:r>
        <w:rPr>
          <w:rFonts w:hint="eastAsia" w:ascii="Arial" w:hAnsi="Arial" w:eastAsia="等线" w:cs="Arial"/>
          <w:sz w:val="22"/>
          <w:lang w:val="en-US" w:eastAsia="zh-CN"/>
        </w:rPr>
        <w:t>7</w:t>
      </w:r>
      <w:r>
        <w:rPr>
          <w:rFonts w:hint="eastAsia" w:ascii="Arial" w:hAnsi="Arial" w:eastAsia="等线" w:cs="Arial"/>
          <w:b/>
          <w:bCs/>
          <w:sz w:val="22"/>
          <w:u w:val="single"/>
          <w:lang w:val="en-US" w:eastAsia="zh-CN"/>
        </w:rPr>
        <w:t>、设备实时采集水位，采集水位数据实时传送到黔能公司自建的小水电透明化管控系统平台，产生的数据接口费用全部由乙方承担，甲方协助乙方解决技术对接中遇到的技术问题。</w:t>
      </w:r>
    </w:p>
    <w:p w14:paraId="2B86D722">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bookmarkStart w:id="9" w:name="heading_9"/>
      <w:r>
        <w:rPr>
          <w:rFonts w:ascii="Arial" w:hAnsi="Arial" w:eastAsia="等线" w:cs="Arial"/>
          <w:b/>
          <w:sz w:val="30"/>
        </w:rPr>
        <w:t>3.2 雷达水位计</w:t>
      </w:r>
      <w:bookmarkEnd w:id="9"/>
    </w:p>
    <w:p w14:paraId="66834B9F">
      <w:pPr>
        <w:keepNext w:val="0"/>
        <w:keepLines w:val="0"/>
        <w:pageBreakBefore w:val="0"/>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单电站配置1台，为水位精准采集核心设备，参数要求：</w:t>
      </w:r>
    </w:p>
    <w:p w14:paraId="685D6ADB">
      <w:pPr>
        <w:keepNext w:val="0"/>
        <w:keepLines w:val="0"/>
        <w:pageBreakBefore w:val="0"/>
        <w:numPr>
          <w:ilvl w:val="0"/>
          <w:numId w:val="11"/>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探测原理：采用高精度毫米波雷达探测技术，测量精度高、抗干扰能力强，不受雾气、雨水、粉尘环境影响；</w:t>
      </w:r>
    </w:p>
    <w:p w14:paraId="0AE33F90">
      <w:pPr>
        <w:keepNext w:val="0"/>
        <w:keepLines w:val="0"/>
        <w:pageBreakBefore w:val="0"/>
        <w:numPr>
          <w:ilvl w:val="0"/>
          <w:numId w:val="12"/>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测量量程：0-40米，满足电站各类水位工况监测需求；</w:t>
      </w:r>
    </w:p>
    <w:p w14:paraId="4CD8439C">
      <w:pPr>
        <w:keepNext w:val="0"/>
        <w:keepLines w:val="0"/>
        <w:pageBreakBefore w:val="0"/>
        <w:numPr>
          <w:ilvl w:val="0"/>
          <w:numId w:val="13"/>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通讯方式：支持485标准通讯，可稳定对接采集终端及显示设备；</w:t>
      </w:r>
    </w:p>
    <w:p w14:paraId="182BB1C7">
      <w:pPr>
        <w:keepNext w:val="0"/>
        <w:keepLines w:val="0"/>
        <w:pageBreakBefore w:val="0"/>
        <w:numPr>
          <w:ilvl w:val="0"/>
          <w:numId w:val="14"/>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运行特性：响应速度快、测量误差小，长期运行稳定性强。</w:t>
      </w:r>
    </w:p>
    <w:p w14:paraId="617F521C">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bookmarkStart w:id="10" w:name="heading_10"/>
      <w:r>
        <w:rPr>
          <w:rFonts w:ascii="Arial" w:hAnsi="Arial" w:eastAsia="等线" w:cs="Arial"/>
          <w:b/>
          <w:sz w:val="30"/>
        </w:rPr>
        <w:t>3.3 雷达水位计支架</w:t>
      </w:r>
      <w:bookmarkEnd w:id="10"/>
    </w:p>
    <w:p w14:paraId="54D13CC6">
      <w:pPr>
        <w:keepNext w:val="0"/>
        <w:keepLines w:val="0"/>
        <w:pageBreakBefore w:val="0"/>
        <w:kinsoku/>
        <w:wordWrap/>
        <w:overflowPunct/>
        <w:topLinePunct w:val="0"/>
        <w:autoSpaceDE/>
        <w:autoSpaceDN/>
        <w:bidi w:val="0"/>
        <w:adjustRightInd/>
        <w:snapToGrid/>
        <w:spacing w:line="288" w:lineRule="auto"/>
        <w:ind w:left="0" w:firstLine="440" w:firstLineChars="200"/>
        <w:jc w:val="left"/>
        <w:textAlignment w:val="auto"/>
      </w:pPr>
      <w:r>
        <w:rPr>
          <w:rFonts w:ascii="Arial" w:hAnsi="Arial" w:eastAsia="等线" w:cs="Arial"/>
          <w:sz w:val="22"/>
        </w:rPr>
        <w:t>单电站配置1套，为设备配套定制支架，适配雷达水位计安装尺寸，材质坚固耐用，抗风、防锈、耐腐蚀，可稳定固定水位计，保障设备安装角度精准、运行无晃动，适配电站户外安装场景。</w:t>
      </w:r>
    </w:p>
    <w:p w14:paraId="233D2F4C">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bookmarkStart w:id="11" w:name="heading_11"/>
      <w:r>
        <w:rPr>
          <w:rFonts w:ascii="Arial" w:hAnsi="Arial" w:eastAsia="等线" w:cs="Arial"/>
          <w:b/>
          <w:sz w:val="30"/>
        </w:rPr>
        <w:t>3.4 485LED5位显示屏</w:t>
      </w:r>
      <w:bookmarkEnd w:id="11"/>
    </w:p>
    <w:p w14:paraId="262C60AA">
      <w:pPr>
        <w:keepNext w:val="0"/>
        <w:keepLines w:val="0"/>
        <w:pageBreakBefore w:val="0"/>
        <w:kinsoku/>
        <w:wordWrap/>
        <w:overflowPunct/>
        <w:topLinePunct w:val="0"/>
        <w:autoSpaceDE/>
        <w:autoSpaceDN/>
        <w:bidi w:val="0"/>
        <w:adjustRightInd/>
        <w:snapToGrid/>
        <w:spacing w:line="288" w:lineRule="auto"/>
        <w:ind w:left="0"/>
        <w:jc w:val="left"/>
        <w:textAlignment w:val="auto"/>
      </w:pPr>
      <w:bookmarkStart w:id="12" w:name="heading_12"/>
      <w:r>
        <w:rPr>
          <w:rFonts w:ascii="Arial" w:hAnsi="Arial" w:eastAsia="等线" w:cs="Arial"/>
          <w:sz w:val="22"/>
        </w:rPr>
        <w:t>单电站配置1台，用于中控室本地数据实时显示，参数及性能要求：</w:t>
      </w:r>
    </w:p>
    <w:p w14:paraId="172C8A43">
      <w:pPr>
        <w:keepNext w:val="0"/>
        <w:keepLines w:val="0"/>
        <w:pageBreakBefore w:val="0"/>
        <w:numPr>
          <w:ilvl w:val="0"/>
          <w:numId w:val="15"/>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显示功能：支持电站海拔水位数据实时显示，5位高清数码展示，数据直观清晰</w:t>
      </w:r>
      <w:r>
        <w:rPr>
          <w:rFonts w:hint="eastAsia" w:ascii="Arial" w:hAnsi="Arial" w:eastAsia="等线" w:cs="Arial"/>
          <w:sz w:val="22"/>
          <w:lang w:eastAsia="zh-CN"/>
        </w:rPr>
        <w:t>、</w:t>
      </w:r>
      <w:r>
        <w:rPr>
          <w:rFonts w:hint="eastAsia" w:ascii="Arial" w:hAnsi="Arial" w:eastAsia="等线" w:cs="Arial"/>
          <w:sz w:val="22"/>
          <w:lang w:val="en-US" w:eastAsia="zh-CN"/>
        </w:rPr>
        <w:t>支持数据二次运算</w:t>
      </w:r>
      <w:r>
        <w:rPr>
          <w:rFonts w:ascii="Arial" w:hAnsi="Arial" w:eastAsia="等线" w:cs="Arial"/>
          <w:sz w:val="22"/>
        </w:rPr>
        <w:t>；</w:t>
      </w:r>
    </w:p>
    <w:p w14:paraId="3C8AF19E">
      <w:pPr>
        <w:keepNext w:val="0"/>
        <w:keepLines w:val="0"/>
        <w:pageBreakBefore w:val="0"/>
        <w:numPr>
          <w:ilvl w:val="0"/>
          <w:numId w:val="16"/>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通讯适配：支持485信号</w:t>
      </w:r>
      <w:r>
        <w:rPr>
          <w:rFonts w:hint="eastAsia" w:ascii="Arial" w:hAnsi="Arial" w:eastAsia="等线" w:cs="Arial"/>
          <w:sz w:val="22"/>
          <w:lang w:val="en-US" w:eastAsia="zh-CN"/>
        </w:rPr>
        <w:t>输入、</w:t>
      </w:r>
      <w:r>
        <w:rPr>
          <w:rFonts w:ascii="Arial" w:hAnsi="Arial" w:eastAsia="等线" w:cs="Arial"/>
          <w:sz w:val="22"/>
        </w:rPr>
        <w:t>输出</w:t>
      </w:r>
      <w:r>
        <w:rPr>
          <w:rFonts w:hint="eastAsia" w:ascii="Arial" w:hAnsi="Arial" w:eastAsia="等线" w:cs="Arial"/>
          <w:sz w:val="22"/>
          <w:lang w:val="en-US" w:eastAsia="zh-CN"/>
        </w:rPr>
        <w:t>至少各一路</w:t>
      </w:r>
      <w:r>
        <w:rPr>
          <w:rFonts w:ascii="Arial" w:hAnsi="Arial" w:eastAsia="等线" w:cs="Arial"/>
          <w:sz w:val="22"/>
        </w:rPr>
        <w:t>，可与采集终端精准对接，数据同步无延迟</w:t>
      </w:r>
      <w:r>
        <w:rPr>
          <w:rFonts w:hint="eastAsia" w:ascii="Arial" w:hAnsi="Arial" w:eastAsia="等线" w:cs="Arial"/>
          <w:sz w:val="22"/>
          <w:lang w:eastAsia="zh-CN"/>
        </w:rPr>
        <w:t>、</w:t>
      </w:r>
      <w:r>
        <w:rPr>
          <w:rFonts w:hint="eastAsia" w:ascii="Arial" w:hAnsi="Arial" w:eastAsia="等线" w:cs="Arial"/>
          <w:sz w:val="22"/>
          <w:lang w:val="en-US" w:eastAsia="zh-CN"/>
        </w:rPr>
        <w:t>可直接触发声光报警器</w:t>
      </w:r>
      <w:r>
        <w:rPr>
          <w:rFonts w:ascii="Arial" w:hAnsi="Arial" w:eastAsia="等线" w:cs="Arial"/>
          <w:sz w:val="22"/>
        </w:rPr>
        <w:t>；</w:t>
      </w:r>
    </w:p>
    <w:p w14:paraId="731CD3D3">
      <w:pPr>
        <w:keepNext w:val="0"/>
        <w:keepLines w:val="0"/>
        <w:pageBreakBefore w:val="0"/>
        <w:numPr>
          <w:ilvl w:val="0"/>
          <w:numId w:val="17"/>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设备性能：高稳定性运行，画面无闪烁，拍照无闪屏，适配长期不间断显示；</w:t>
      </w:r>
    </w:p>
    <w:p w14:paraId="232BFFEE">
      <w:pPr>
        <w:keepNext w:val="0"/>
        <w:keepLines w:val="0"/>
        <w:pageBreakBefore w:val="0"/>
        <w:numPr>
          <w:ilvl w:val="0"/>
          <w:numId w:val="18"/>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外壳配置：</w:t>
      </w:r>
      <w:r>
        <w:rPr>
          <w:rFonts w:hint="eastAsia" w:ascii="Arial" w:hAnsi="Arial" w:eastAsia="等线" w:cs="Arial"/>
          <w:sz w:val="22"/>
          <w:lang w:val="en-US" w:eastAsia="zh-CN"/>
        </w:rPr>
        <w:t>定制外壳，</w:t>
      </w:r>
      <w:r>
        <w:rPr>
          <w:rFonts w:ascii="Arial" w:hAnsi="Arial" w:eastAsia="等线" w:cs="Arial"/>
          <w:sz w:val="22"/>
        </w:rPr>
        <w:t>结构坚固、防尘耐磨。</w:t>
      </w:r>
    </w:p>
    <w:p w14:paraId="110EA27E">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r>
        <w:rPr>
          <w:rFonts w:ascii="Arial" w:hAnsi="Arial" w:eastAsia="等线" w:cs="Arial"/>
          <w:b/>
          <w:sz w:val="30"/>
        </w:rPr>
        <w:t>3.5 声光报警器</w:t>
      </w:r>
      <w:bookmarkEnd w:id="12"/>
    </w:p>
    <w:p w14:paraId="0D7B22F7">
      <w:pPr>
        <w:keepNext w:val="0"/>
        <w:keepLines w:val="0"/>
        <w:pageBreakBefore w:val="0"/>
        <w:kinsoku/>
        <w:wordWrap/>
        <w:overflowPunct/>
        <w:topLinePunct w:val="0"/>
        <w:autoSpaceDE/>
        <w:autoSpaceDN/>
        <w:bidi w:val="0"/>
        <w:adjustRightInd/>
        <w:snapToGrid/>
        <w:spacing w:line="288" w:lineRule="auto"/>
        <w:ind w:left="0" w:firstLine="440" w:firstLineChars="200"/>
        <w:jc w:val="left"/>
        <w:textAlignment w:val="auto"/>
      </w:pPr>
      <w:r>
        <w:rPr>
          <w:rFonts w:ascii="Arial" w:hAnsi="Arial" w:eastAsia="等线" w:cs="Arial"/>
          <w:sz w:val="22"/>
        </w:rPr>
        <w:t>单电站配置1台，配套系统预警功能，设备运行稳定，触发响应灵敏，水位异常时可同步发出声音、灯光预警信号，警示效果清晰，满足现场安全预警需求。</w:t>
      </w:r>
    </w:p>
    <w:p w14:paraId="2D2A0C53">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bookmarkStart w:id="13" w:name="heading_13"/>
      <w:r>
        <w:rPr>
          <w:rFonts w:ascii="Arial" w:hAnsi="Arial" w:eastAsia="等线" w:cs="Arial"/>
          <w:b/>
          <w:sz w:val="30"/>
        </w:rPr>
        <w:t>3.6 定制防水箱</w:t>
      </w:r>
      <w:bookmarkEnd w:id="13"/>
    </w:p>
    <w:p w14:paraId="4377A6D0">
      <w:pPr>
        <w:keepNext w:val="0"/>
        <w:keepLines w:val="0"/>
        <w:pageBreakBefore w:val="0"/>
        <w:kinsoku/>
        <w:wordWrap/>
        <w:overflowPunct/>
        <w:topLinePunct w:val="0"/>
        <w:autoSpaceDE/>
        <w:autoSpaceDN/>
        <w:bidi w:val="0"/>
        <w:adjustRightInd/>
        <w:snapToGrid/>
        <w:spacing w:line="288" w:lineRule="auto"/>
        <w:ind w:left="0" w:firstLine="440" w:firstLineChars="200"/>
        <w:jc w:val="left"/>
        <w:textAlignment w:val="auto"/>
      </w:pPr>
      <w:r>
        <w:rPr>
          <w:rFonts w:ascii="Arial" w:hAnsi="Arial" w:eastAsia="等线" w:cs="Arial"/>
          <w:sz w:val="22"/>
        </w:rPr>
        <w:t>单电站配置1套，为系统设备专用防护箱体，定制化尺寸适配设备安装，具备良好的防水、防尘、防潮、防漏电性能，可有效保护箱内线路及配套设备，所有防水箱出厂前完成整体装配</w:t>
      </w:r>
      <w:r>
        <w:rPr>
          <w:rFonts w:hint="eastAsia" w:ascii="Arial" w:hAnsi="Arial" w:eastAsia="等线" w:cs="Arial"/>
          <w:sz w:val="22"/>
          <w:lang w:eastAsia="zh-CN"/>
        </w:rPr>
        <w:t>，</w:t>
      </w:r>
      <w:r>
        <w:rPr>
          <w:rFonts w:hint="eastAsia" w:ascii="Arial" w:hAnsi="Arial" w:eastAsia="等线" w:cs="Arial"/>
          <w:sz w:val="22"/>
          <w:lang w:val="en-US" w:eastAsia="zh-CN"/>
        </w:rPr>
        <w:t>主要使用在室外需要给雷达提供信号中转及电源供电</w:t>
      </w:r>
      <w:r>
        <w:rPr>
          <w:rFonts w:ascii="Arial" w:hAnsi="Arial" w:eastAsia="等线" w:cs="Arial"/>
          <w:sz w:val="22"/>
        </w:rPr>
        <w:t>，直接交付业主使用。</w:t>
      </w:r>
    </w:p>
    <w:p w14:paraId="4F19EEED">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bookmarkStart w:id="14" w:name="heading_14"/>
      <w:r>
        <w:rPr>
          <w:rFonts w:ascii="Arial" w:hAnsi="Arial" w:eastAsia="等线" w:cs="Arial"/>
          <w:b/>
          <w:sz w:val="30"/>
        </w:rPr>
        <w:t>3.7 485屏蔽线</w:t>
      </w:r>
      <w:bookmarkEnd w:id="14"/>
    </w:p>
    <w:p w14:paraId="5A2FFC90">
      <w:pPr>
        <w:keepNext w:val="0"/>
        <w:keepLines w:val="0"/>
        <w:pageBreakBefore w:val="0"/>
        <w:kinsoku/>
        <w:wordWrap/>
        <w:overflowPunct/>
        <w:topLinePunct w:val="0"/>
        <w:autoSpaceDE/>
        <w:autoSpaceDN/>
        <w:bidi w:val="0"/>
        <w:adjustRightInd/>
        <w:snapToGrid/>
        <w:spacing w:line="288" w:lineRule="auto"/>
        <w:ind w:left="0" w:firstLine="440" w:firstLineChars="200"/>
        <w:jc w:val="left"/>
        <w:textAlignment w:val="auto"/>
      </w:pPr>
      <w:r>
        <w:rPr>
          <w:rFonts w:ascii="Arial" w:hAnsi="Arial" w:eastAsia="等线" w:cs="Arial"/>
          <w:sz w:val="22"/>
        </w:rPr>
        <w:t>采用2*1.0屏蔽双绞线，具备信号屏蔽、抗干扰、传输稳定的特点，保障485通讯信号无损传输。各电站敷设规格：龙塘电站、甘金桥电站、贺家滩电站敷设长度200米/站；九道拐电站敷设长度300米/站。线缆耐磨、耐老化，适配户外架空、埋地等敷设场景。</w:t>
      </w:r>
    </w:p>
    <w:p w14:paraId="54C8DE47">
      <w:pPr>
        <w:keepNext w:val="0"/>
        <w:keepLines w:val="0"/>
        <w:pageBreakBefore w:val="0"/>
        <w:kinsoku/>
        <w:wordWrap/>
        <w:overflowPunct/>
        <w:topLinePunct w:val="0"/>
        <w:autoSpaceDE/>
        <w:autoSpaceDN/>
        <w:bidi w:val="0"/>
        <w:adjustRightInd/>
        <w:snapToGrid/>
        <w:spacing w:line="288" w:lineRule="auto"/>
        <w:ind w:left="0"/>
        <w:jc w:val="left"/>
        <w:textAlignment w:val="auto"/>
        <w:outlineLvl w:val="1"/>
      </w:pPr>
      <w:bookmarkStart w:id="15" w:name="heading_15"/>
      <w:r>
        <w:rPr>
          <w:rFonts w:ascii="Arial" w:hAnsi="Arial" w:eastAsia="等线" w:cs="Arial"/>
          <w:b/>
          <w:sz w:val="32"/>
        </w:rPr>
        <w:t>4 现场供电及安装要求</w:t>
      </w:r>
      <w:bookmarkEnd w:id="15"/>
    </w:p>
    <w:p w14:paraId="7BB0D397">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pPr>
      <w:bookmarkStart w:id="16" w:name="heading_16"/>
      <w:r>
        <w:rPr>
          <w:rFonts w:ascii="Arial" w:hAnsi="Arial" w:eastAsia="等线" w:cs="Arial"/>
          <w:b/>
          <w:sz w:val="30"/>
        </w:rPr>
        <w:t>4.1 供电电源要求</w:t>
      </w:r>
      <w:bookmarkEnd w:id="16"/>
    </w:p>
    <w:p w14:paraId="0B4BA2EC">
      <w:pPr>
        <w:keepNext w:val="0"/>
        <w:keepLines w:val="0"/>
        <w:pageBreakBefore w:val="0"/>
        <w:kinsoku/>
        <w:wordWrap/>
        <w:overflowPunct/>
        <w:topLinePunct w:val="0"/>
        <w:autoSpaceDE/>
        <w:autoSpaceDN/>
        <w:bidi w:val="0"/>
        <w:adjustRightInd/>
        <w:snapToGrid/>
        <w:spacing w:line="288" w:lineRule="auto"/>
        <w:ind w:left="0" w:firstLine="440" w:firstLineChars="200"/>
        <w:jc w:val="left"/>
        <w:textAlignment w:val="auto"/>
      </w:pPr>
      <w:r>
        <w:rPr>
          <w:rFonts w:ascii="Arial" w:hAnsi="Arial" w:eastAsia="等线" w:cs="Arial"/>
          <w:sz w:val="22"/>
        </w:rPr>
        <w:t>项目现场需提前配置匹配供电电源，保障系统设备正常稳定运行，具体供电标准如下：</w:t>
      </w:r>
    </w:p>
    <w:p w14:paraId="492332CD">
      <w:pPr>
        <w:keepNext w:val="0"/>
        <w:keepLines w:val="0"/>
        <w:pageBreakBefore w:val="0"/>
        <w:numPr>
          <w:ilvl w:val="0"/>
          <w:numId w:val="19"/>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中控室显示屏</w:t>
      </w:r>
      <w:r>
        <w:rPr>
          <w:rFonts w:hint="eastAsia" w:ascii="Arial" w:hAnsi="Arial" w:eastAsia="等线" w:cs="Arial"/>
          <w:sz w:val="22"/>
          <w:lang w:eastAsia="zh-CN"/>
        </w:rPr>
        <w:t>、</w:t>
      </w:r>
      <w:r>
        <w:rPr>
          <w:rFonts w:hint="eastAsia" w:ascii="Arial" w:hAnsi="Arial" w:eastAsia="等线" w:cs="Arial"/>
          <w:sz w:val="22"/>
          <w:lang w:val="en-US" w:eastAsia="zh-CN"/>
        </w:rPr>
        <w:t>声光报警器</w:t>
      </w:r>
      <w:r>
        <w:rPr>
          <w:rFonts w:ascii="Arial" w:hAnsi="Arial" w:eastAsia="等线" w:cs="Arial"/>
          <w:sz w:val="22"/>
        </w:rPr>
        <w:t>、数据采集发送终端（RTU）：</w:t>
      </w:r>
      <w:r>
        <w:rPr>
          <w:rFonts w:hint="eastAsia" w:ascii="Arial" w:hAnsi="Arial" w:eastAsia="等线" w:cs="Arial"/>
          <w:sz w:val="22"/>
          <w:lang w:val="en-US" w:eastAsia="zh-CN"/>
        </w:rPr>
        <w:t>电站</w:t>
      </w:r>
      <w:r>
        <w:rPr>
          <w:rFonts w:ascii="Arial" w:hAnsi="Arial" w:eastAsia="等线" w:cs="Arial"/>
          <w:sz w:val="22"/>
        </w:rPr>
        <w:t>需提供DC</w:t>
      </w:r>
      <w:r>
        <w:rPr>
          <w:rFonts w:hint="eastAsia" w:ascii="Arial" w:hAnsi="Arial" w:eastAsia="等线" w:cs="Arial"/>
          <w:sz w:val="22"/>
          <w:lang w:val="en-US" w:eastAsia="zh-CN"/>
        </w:rPr>
        <w:t>12</w:t>
      </w:r>
      <w:r>
        <w:rPr>
          <w:rFonts w:ascii="Arial" w:hAnsi="Arial" w:eastAsia="等线" w:cs="Arial"/>
          <w:sz w:val="22"/>
        </w:rPr>
        <w:t>V直流电源；</w:t>
      </w:r>
    </w:p>
    <w:p w14:paraId="0D7CDE8B">
      <w:pPr>
        <w:keepNext w:val="0"/>
        <w:keepLines w:val="0"/>
        <w:pageBreakBefore w:val="0"/>
        <w:numPr>
          <w:ilvl w:val="0"/>
          <w:numId w:val="20"/>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雷达水位计：</w:t>
      </w:r>
      <w:r>
        <w:rPr>
          <w:rFonts w:hint="eastAsia" w:ascii="Arial" w:hAnsi="Arial" w:eastAsia="等线" w:cs="Arial"/>
          <w:sz w:val="22"/>
          <w:lang w:val="en-US" w:eastAsia="zh-CN"/>
        </w:rPr>
        <w:t>电站</w:t>
      </w:r>
      <w:r>
        <w:rPr>
          <w:rFonts w:ascii="Arial" w:hAnsi="Arial" w:eastAsia="等线" w:cs="Arial"/>
          <w:sz w:val="22"/>
        </w:rPr>
        <w:t>需提供DC12V直流电源；</w:t>
      </w:r>
    </w:p>
    <w:p w14:paraId="12896256">
      <w:pPr>
        <w:keepNext w:val="0"/>
        <w:keepLines w:val="0"/>
        <w:pageBreakBefore w:val="0"/>
        <w:numPr>
          <w:ilvl w:val="0"/>
          <w:numId w:val="21"/>
        </w:numPr>
        <w:kinsoku/>
        <w:wordWrap/>
        <w:overflowPunct/>
        <w:topLinePunct w:val="0"/>
        <w:autoSpaceDE/>
        <w:autoSpaceDN/>
        <w:bidi w:val="0"/>
        <w:adjustRightInd/>
        <w:snapToGrid/>
        <w:spacing w:line="288" w:lineRule="auto"/>
        <w:ind w:left="0"/>
        <w:jc w:val="left"/>
        <w:textAlignment w:val="auto"/>
      </w:pPr>
      <w:r>
        <w:rPr>
          <w:rFonts w:ascii="Arial" w:hAnsi="Arial" w:eastAsia="等线" w:cs="Arial"/>
          <w:sz w:val="22"/>
        </w:rPr>
        <w:t>系统整体配套：需提供220V交流基础供电电源，保障整套系统持续运行。</w:t>
      </w:r>
    </w:p>
    <w:p w14:paraId="644A83CA">
      <w:pPr>
        <w:keepNext w:val="0"/>
        <w:keepLines w:val="0"/>
        <w:pageBreakBefore w:val="0"/>
        <w:kinsoku/>
        <w:wordWrap/>
        <w:overflowPunct/>
        <w:topLinePunct w:val="0"/>
        <w:autoSpaceDE/>
        <w:autoSpaceDN/>
        <w:bidi w:val="0"/>
        <w:adjustRightInd/>
        <w:snapToGrid/>
        <w:spacing w:line="288" w:lineRule="auto"/>
        <w:ind w:left="0"/>
        <w:jc w:val="left"/>
        <w:textAlignment w:val="auto"/>
        <w:outlineLvl w:val="2"/>
        <w:rPr>
          <w:rFonts w:ascii="Arial" w:hAnsi="Arial" w:eastAsia="等线" w:cs="Arial"/>
          <w:b/>
          <w:sz w:val="30"/>
        </w:rPr>
      </w:pPr>
      <w:bookmarkStart w:id="17" w:name="heading_17"/>
      <w:r>
        <w:rPr>
          <w:rFonts w:ascii="Arial" w:hAnsi="Arial" w:eastAsia="等线" w:cs="Arial"/>
          <w:b/>
          <w:sz w:val="30"/>
        </w:rPr>
        <w:t>4.2 安装施工要求</w:t>
      </w:r>
      <w:bookmarkEnd w:id="17"/>
    </w:p>
    <w:p w14:paraId="4478FDAD">
      <w:pPr>
        <w:keepNext w:val="0"/>
        <w:keepLines w:val="0"/>
        <w:pageBreakBefore w:val="0"/>
        <w:kinsoku/>
        <w:wordWrap/>
        <w:overflowPunct/>
        <w:topLinePunct w:val="0"/>
        <w:autoSpaceDE/>
        <w:autoSpaceDN/>
        <w:bidi w:val="0"/>
        <w:adjustRightInd/>
        <w:snapToGrid/>
        <w:spacing w:line="288" w:lineRule="auto"/>
        <w:ind w:left="0" w:firstLine="480" w:firstLineChars="200"/>
        <w:jc w:val="left"/>
        <w:textAlignment w:val="auto"/>
        <w:outlineLvl w:val="2"/>
        <w:rPr>
          <w:rFonts w:hint="default" w:ascii="Arial" w:hAnsi="Arial" w:eastAsia="等线" w:cs="Arial"/>
          <w:b/>
          <w:sz w:val="24"/>
          <w:szCs w:val="24"/>
          <w:lang w:val="en-US" w:eastAsia="zh-CN"/>
        </w:rPr>
      </w:pPr>
      <w:r>
        <w:rPr>
          <w:rFonts w:hint="eastAsia" w:ascii="Arial" w:hAnsi="Arial" w:eastAsia="等线" w:cs="Arial"/>
          <w:b/>
          <w:sz w:val="24"/>
          <w:szCs w:val="24"/>
          <w:lang w:val="en-US" w:eastAsia="zh-CN"/>
        </w:rPr>
        <w:t>安装施工由发包方自行完成，供应商全程配合远程安装调试技术支持，具体要求如下：</w:t>
      </w:r>
    </w:p>
    <w:p w14:paraId="131112B6">
      <w:pPr>
        <w:keepNext w:val="0"/>
        <w:keepLines w:val="0"/>
        <w:pageBreakBefore w:val="0"/>
        <w:numPr>
          <w:ilvl w:val="0"/>
          <w:numId w:val="0"/>
        </w:numPr>
        <w:kinsoku/>
        <w:wordWrap/>
        <w:overflowPunct/>
        <w:topLinePunct w:val="0"/>
        <w:autoSpaceDE/>
        <w:autoSpaceDN/>
        <w:bidi w:val="0"/>
        <w:adjustRightInd/>
        <w:snapToGrid/>
        <w:spacing w:line="288" w:lineRule="auto"/>
        <w:ind w:firstLine="440" w:firstLineChars="200"/>
        <w:jc w:val="left"/>
        <w:textAlignment w:val="auto"/>
      </w:pPr>
      <w:r>
        <w:rPr>
          <w:rFonts w:hint="eastAsia" w:ascii="Arial" w:hAnsi="Arial" w:eastAsia="等线" w:cs="Arial"/>
          <w:sz w:val="22"/>
          <w:lang w:val="en-US" w:eastAsia="zh-CN"/>
        </w:rPr>
        <w:t>1.</w:t>
      </w:r>
      <w:r>
        <w:rPr>
          <w:rFonts w:ascii="Arial" w:hAnsi="Arial" w:eastAsia="等线" w:cs="Arial"/>
          <w:sz w:val="22"/>
        </w:rPr>
        <w:t>所有户外设备需固定牢固，支架安装水平、垂直精度达标，无松动、倾斜现象，适配户外恶劣环境；</w:t>
      </w:r>
    </w:p>
    <w:p w14:paraId="7E7596F2">
      <w:pPr>
        <w:keepNext w:val="0"/>
        <w:keepLines w:val="0"/>
        <w:pageBreakBefore w:val="0"/>
        <w:numPr>
          <w:ilvl w:val="0"/>
          <w:numId w:val="0"/>
        </w:numPr>
        <w:kinsoku/>
        <w:wordWrap/>
        <w:overflowPunct/>
        <w:topLinePunct w:val="0"/>
        <w:autoSpaceDE/>
        <w:autoSpaceDN/>
        <w:bidi w:val="0"/>
        <w:adjustRightInd/>
        <w:snapToGrid/>
        <w:spacing w:line="288" w:lineRule="auto"/>
        <w:ind w:firstLine="440" w:firstLineChars="200"/>
        <w:jc w:val="left"/>
        <w:textAlignment w:val="auto"/>
      </w:pPr>
      <w:r>
        <w:rPr>
          <w:rFonts w:hint="eastAsia" w:ascii="Arial" w:hAnsi="Arial" w:eastAsia="等线" w:cs="Arial"/>
          <w:sz w:val="22"/>
          <w:lang w:val="en-US" w:eastAsia="zh-CN"/>
        </w:rPr>
        <w:t>2.</w:t>
      </w:r>
      <w:r>
        <w:rPr>
          <w:rFonts w:ascii="Arial" w:hAnsi="Arial" w:eastAsia="等线" w:cs="Arial"/>
          <w:sz w:val="22"/>
        </w:rPr>
        <w:t>线缆敷设整齐规范，屏蔽线做好防护处理，避免拉扯、磨损，接头防水、绝缘处理到位</w:t>
      </w:r>
      <w:r>
        <w:rPr>
          <w:rFonts w:hint="eastAsia" w:ascii="Arial" w:hAnsi="Arial" w:eastAsia="等线" w:cs="Arial"/>
          <w:sz w:val="22"/>
          <w:lang w:eastAsia="zh-CN"/>
        </w:rPr>
        <w:t>、</w:t>
      </w:r>
      <w:r>
        <w:rPr>
          <w:rFonts w:hint="eastAsia" w:ascii="Arial" w:hAnsi="Arial" w:eastAsia="等线" w:cs="Arial"/>
          <w:sz w:val="22"/>
          <w:lang w:val="en-US" w:eastAsia="zh-CN"/>
        </w:rPr>
        <w:t>避开强干扰设备及线路</w:t>
      </w:r>
      <w:r>
        <w:rPr>
          <w:rFonts w:ascii="Arial" w:hAnsi="Arial" w:eastAsia="等线" w:cs="Arial"/>
          <w:sz w:val="22"/>
        </w:rPr>
        <w:t>杜绝信号干扰及安全隐患；</w:t>
      </w:r>
    </w:p>
    <w:p w14:paraId="20EF4CF2">
      <w:pPr>
        <w:keepNext w:val="0"/>
        <w:keepLines w:val="0"/>
        <w:pageBreakBefore w:val="0"/>
        <w:numPr>
          <w:ilvl w:val="0"/>
          <w:numId w:val="0"/>
        </w:numPr>
        <w:kinsoku/>
        <w:wordWrap/>
        <w:overflowPunct/>
        <w:topLinePunct w:val="0"/>
        <w:autoSpaceDE/>
        <w:autoSpaceDN/>
        <w:bidi w:val="0"/>
        <w:adjustRightInd/>
        <w:snapToGrid/>
        <w:spacing w:line="288" w:lineRule="auto"/>
        <w:ind w:firstLine="440" w:firstLineChars="200"/>
        <w:jc w:val="left"/>
        <w:textAlignment w:val="auto"/>
      </w:pPr>
      <w:r>
        <w:rPr>
          <w:rFonts w:hint="eastAsia" w:ascii="Arial" w:hAnsi="Arial" w:eastAsia="等线" w:cs="Arial"/>
          <w:sz w:val="22"/>
          <w:lang w:val="en-US" w:eastAsia="zh-CN"/>
        </w:rPr>
        <w:t>3.</w:t>
      </w:r>
      <w:r>
        <w:rPr>
          <w:rFonts w:ascii="Arial" w:hAnsi="Arial" w:eastAsia="等线" w:cs="Arial"/>
          <w:sz w:val="22"/>
        </w:rPr>
        <w:t>中控室</w:t>
      </w:r>
      <w:r>
        <w:rPr>
          <w:rFonts w:hint="eastAsia" w:ascii="Arial" w:hAnsi="Arial" w:eastAsia="等线" w:cs="Arial"/>
          <w:sz w:val="22"/>
          <w:lang w:val="en-US" w:eastAsia="zh-CN"/>
        </w:rPr>
        <w:t>主机安装位置根据现场实际情况而定，建议安装于操作台内部（采用4G无线的需要考虑信号强度调整安装位置），如果中控室信号不佳则需要安装在有信号的位置，同时调整线路走线方式，</w:t>
      </w:r>
      <w:r>
        <w:rPr>
          <w:rFonts w:ascii="Arial" w:hAnsi="Arial" w:eastAsia="等线" w:cs="Arial"/>
          <w:sz w:val="22"/>
        </w:rPr>
        <w:t>显示屏安装位置视野开阔，便于运维人员实时查看监测数据。</w:t>
      </w:r>
    </w:p>
    <w:p w14:paraId="3CAA152B">
      <w:pPr>
        <w:pStyle w:val="2"/>
        <w:keepNext w:val="0"/>
        <w:keepLines w:val="0"/>
        <w:pageBreakBefore w:val="0"/>
        <w:widowControl/>
        <w:numPr>
          <w:ilvl w:val="0"/>
          <w:numId w:val="22"/>
        </w:numPr>
        <w:suppressLineNumbers w:val="0"/>
        <w:kinsoku/>
        <w:wordWrap/>
        <w:overflowPunct/>
        <w:topLinePunct w:val="0"/>
        <w:autoSpaceDE/>
        <w:autoSpaceDN/>
        <w:bidi w:val="0"/>
        <w:adjustRightInd/>
        <w:snapToGrid/>
        <w:spacing w:beforeAutospacing="0" w:afterAutospacing="0"/>
        <w:ind w:left="0" w:leftChars="0" w:right="0" w:firstLine="380" w:firstLineChars="200"/>
        <w:textAlignment w:val="auto"/>
        <w:rPr>
          <w:color w:val="000000" w:themeColor="text1"/>
          <w14:textFill>
            <w14:solidFill>
              <w14:schemeClr w14:val="tx1"/>
            </w14:solidFill>
          </w14:textFill>
        </w:rPr>
      </w:pPr>
      <w:r>
        <w:rPr>
          <w:rFonts w:hint="default" w:ascii="Segoe UI" w:hAnsi="Segoe UI" w:eastAsia="Segoe UI" w:cs="Segoe UI"/>
          <w:b/>
          <w:bCs/>
          <w:i w:val="0"/>
          <w:iCs w:val="0"/>
          <w:caps w:val="0"/>
          <w:color w:val="000000" w:themeColor="text1"/>
          <w:spacing w:val="0"/>
          <w:sz w:val="19"/>
          <w:szCs w:val="19"/>
          <w:shd w:val="clear" w:fill="FFFFFF"/>
          <w14:textFill>
            <w14:solidFill>
              <w14:schemeClr w14:val="tx1"/>
            </w14:solidFill>
          </w14:textFill>
        </w:rPr>
        <w:t>防雷与接地要求</w:t>
      </w:r>
      <w:r>
        <w:rPr>
          <w:rFonts w:hint="default" w:ascii="Segoe UI" w:hAnsi="Segoe UI" w:eastAsia="Segoe UI" w:cs="Segoe UI"/>
          <w:i w:val="0"/>
          <w:iCs w:val="0"/>
          <w:caps w:val="0"/>
          <w:color w:val="000000" w:themeColor="text1"/>
          <w:spacing w:val="0"/>
          <w:sz w:val="19"/>
          <w:szCs w:val="19"/>
          <w:shd w:val="clear" w:fill="FFFFFF"/>
          <w14:textFill>
            <w14:solidFill>
              <w14:schemeClr w14:val="tx1"/>
            </w14:solidFill>
          </w14:textFill>
        </w:rPr>
        <w:t>：户外设备（RTU、雷达水位计、支架、防水箱）应设置防雷接地，接地电阻≤10Ω，设备金属外壳与接地排可靠连接；</w:t>
      </w:r>
    </w:p>
    <w:p w14:paraId="36CF146C">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ind w:leftChars="0" w:right="0" w:rightChars="0" w:firstLine="480" w:firstLineChars="200"/>
        <w:textAlignment w:val="auto"/>
        <w:rPr>
          <w:color w:val="000000" w:themeColor="text1"/>
          <w14:textFill>
            <w14:solidFill>
              <w14:schemeClr w14:val="tx1"/>
            </w14:solidFill>
          </w14:textFill>
        </w:rPr>
      </w:pPr>
    </w:p>
    <w:p w14:paraId="75781DA7">
      <w:pPr>
        <w:pStyle w:val="2"/>
        <w:keepNext w:val="0"/>
        <w:keepLines w:val="0"/>
        <w:pageBreakBefore w:val="0"/>
        <w:widowControl/>
        <w:numPr>
          <w:ilvl w:val="0"/>
          <w:numId w:val="22"/>
        </w:numPr>
        <w:suppressLineNumbers w:val="0"/>
        <w:kinsoku/>
        <w:wordWrap/>
        <w:overflowPunct/>
        <w:topLinePunct w:val="0"/>
        <w:autoSpaceDE/>
        <w:autoSpaceDN/>
        <w:bidi w:val="0"/>
        <w:adjustRightInd/>
        <w:snapToGrid/>
        <w:spacing w:beforeAutospacing="0" w:afterAutospacing="0"/>
        <w:ind w:left="0" w:leftChars="0" w:right="0" w:firstLine="380" w:firstLineChars="200"/>
        <w:textAlignment w:val="auto"/>
        <w:rPr>
          <w:color w:val="000000" w:themeColor="text1"/>
          <w14:textFill>
            <w14:solidFill>
              <w14:schemeClr w14:val="tx1"/>
            </w14:solidFill>
          </w14:textFill>
        </w:rPr>
      </w:pPr>
      <w:r>
        <w:rPr>
          <w:rFonts w:hint="default" w:ascii="Segoe UI" w:hAnsi="Segoe UI" w:eastAsia="Segoe UI" w:cs="Segoe UI"/>
          <w:b/>
          <w:bCs/>
          <w:i w:val="0"/>
          <w:iCs w:val="0"/>
          <w:caps w:val="0"/>
          <w:color w:val="000000" w:themeColor="text1"/>
          <w:spacing w:val="0"/>
          <w:sz w:val="19"/>
          <w:szCs w:val="19"/>
          <w:shd w:val="clear" w:fill="FFFFFF"/>
          <w14:textFill>
            <w14:solidFill>
              <w14:schemeClr w14:val="tx1"/>
            </w14:solidFill>
          </w14:textFill>
        </w:rPr>
        <w:t>线缆敷设规范</w:t>
      </w:r>
      <w:r>
        <w:rPr>
          <w:rFonts w:hint="default" w:ascii="Segoe UI" w:hAnsi="Segoe UI" w:eastAsia="Segoe UI" w:cs="Segoe UI"/>
          <w:i w:val="0"/>
          <w:iCs w:val="0"/>
          <w:caps w:val="0"/>
          <w:color w:val="000000" w:themeColor="text1"/>
          <w:spacing w:val="0"/>
          <w:sz w:val="19"/>
          <w:szCs w:val="19"/>
          <w:shd w:val="clear" w:fill="FFFFFF"/>
          <w14:textFill>
            <w14:solidFill>
              <w14:schemeClr w14:val="tx1"/>
            </w14:solidFill>
          </w14:textFill>
        </w:rPr>
        <w:t>：485屏蔽线与220V电源线应分槽敷设，间距≥30cm，必要时应穿镀锌钢管或金属软管保护，接头处做防水密封处理。</w:t>
      </w:r>
    </w:p>
    <w:p w14:paraId="036679E1">
      <w:pPr>
        <w:keepNext w:val="0"/>
        <w:keepLines w:val="0"/>
        <w:pageBreakBefore w:val="0"/>
        <w:numPr>
          <w:ilvl w:val="0"/>
          <w:numId w:val="0"/>
        </w:numPr>
        <w:kinsoku/>
        <w:wordWrap/>
        <w:overflowPunct/>
        <w:topLinePunct w:val="0"/>
        <w:autoSpaceDE/>
        <w:autoSpaceDN/>
        <w:bidi w:val="0"/>
        <w:adjustRightInd/>
        <w:snapToGrid/>
        <w:spacing w:line="288" w:lineRule="auto"/>
        <w:jc w:val="left"/>
        <w:textAlignment w:val="auto"/>
      </w:pPr>
    </w:p>
    <w:p w14:paraId="61C9170F">
      <w:pPr>
        <w:keepNext w:val="0"/>
        <w:keepLines w:val="0"/>
        <w:pageBreakBefore w:val="0"/>
        <w:kinsoku/>
        <w:wordWrap/>
        <w:overflowPunct/>
        <w:topLinePunct w:val="0"/>
        <w:autoSpaceDE/>
        <w:autoSpaceDN/>
        <w:bidi w:val="0"/>
        <w:adjustRightInd/>
        <w:snapToGrid/>
        <w:spacing w:line="288" w:lineRule="auto"/>
        <w:ind w:left="0"/>
        <w:jc w:val="left"/>
        <w:textAlignment w:val="auto"/>
        <w:outlineLvl w:val="1"/>
      </w:pPr>
      <w:bookmarkStart w:id="18" w:name="heading_18"/>
      <w:r>
        <w:rPr>
          <w:rFonts w:ascii="Arial" w:hAnsi="Arial" w:eastAsia="等线" w:cs="Arial"/>
          <w:b/>
          <w:sz w:val="32"/>
        </w:rPr>
        <w:t>5 系统性能指标要求</w:t>
      </w:r>
      <w:bookmarkEnd w:id="18"/>
    </w:p>
    <w:p w14:paraId="72AB3D2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40" w:firstLineChars="200"/>
        <w:jc w:val="left"/>
        <w:textAlignment w:val="auto"/>
        <w:rPr>
          <w:rFonts w:hint="eastAsia" w:ascii="Arial" w:hAnsi="Arial" w:eastAsia="等线" w:cs="Arial"/>
          <w:color w:val="000000" w:themeColor="text1"/>
          <w:sz w:val="22"/>
          <w:szCs w:val="22"/>
          <w:lang w:val="en-US" w:eastAsia="zh-CN"/>
          <w14:textFill>
            <w14:solidFill>
              <w14:schemeClr w14:val="tx1"/>
            </w14:solidFill>
          </w14:textFill>
        </w:rPr>
      </w:pPr>
      <w:r>
        <w:rPr>
          <w:rFonts w:hint="eastAsia" w:ascii="Arial" w:hAnsi="Arial" w:eastAsia="等线" w:cs="Arial"/>
          <w:color w:val="000000" w:themeColor="text1"/>
          <w:sz w:val="22"/>
          <w:lang w:val="en-US" w:eastAsia="zh-CN"/>
          <w14:textFill>
            <w14:solidFill>
              <w14:schemeClr w14:val="tx1"/>
            </w14:solidFill>
          </w14:textFill>
        </w:rPr>
        <w:t xml:space="preserve">1.      </w:t>
      </w:r>
      <w:r>
        <w:rPr>
          <w:rFonts w:hint="default" w:ascii="Arial" w:hAnsi="Arial" w:eastAsia="等线" w:cs="Arial"/>
          <w:color w:val="000000" w:themeColor="text1"/>
          <w:sz w:val="22"/>
          <w:szCs w:val="22"/>
          <w14:textFill>
            <w14:solidFill>
              <w14:schemeClr w14:val="tx1"/>
            </w14:solidFill>
          </w14:textFill>
        </w:rPr>
        <w:t>数据稳定性：现场采集数据传输至服务器全程稳定，无数据丢失、乱码现象，传输丢包率≤0.1%，数据准确率≥99.9%；传输延迟：在正常网络条件下，数据从采集到服务器显示延迟≤2秒</w:t>
      </w:r>
      <w:r>
        <w:rPr>
          <w:rFonts w:hint="eastAsia" w:ascii="Arial" w:hAnsi="Arial" w:eastAsia="等线" w:cs="Arial"/>
          <w:color w:val="000000" w:themeColor="text1"/>
          <w:sz w:val="22"/>
          <w:szCs w:val="22"/>
          <w:lang w:eastAsia="zh-CN"/>
          <w14:textFill>
            <w14:solidFill>
              <w14:schemeClr w14:val="tx1"/>
            </w14:solidFill>
          </w14:textFill>
        </w:rPr>
        <w:t>；</w:t>
      </w:r>
    </w:p>
    <w:p w14:paraId="1778182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40" w:firstLineChars="200"/>
        <w:jc w:val="left"/>
        <w:textAlignment w:val="auto"/>
        <w:rPr>
          <w:color w:val="000000" w:themeColor="text1"/>
          <w14:textFill>
            <w14:solidFill>
              <w14:schemeClr w14:val="tx1"/>
            </w14:solidFill>
          </w14:textFill>
        </w:rPr>
      </w:pPr>
      <w:r>
        <w:rPr>
          <w:rFonts w:hint="eastAsia" w:ascii="Arial" w:hAnsi="Arial" w:eastAsia="等线" w:cs="Arial"/>
          <w:color w:val="000000" w:themeColor="text1"/>
          <w:sz w:val="22"/>
          <w:lang w:val="en-US" w:eastAsia="zh-CN"/>
          <w14:textFill>
            <w14:solidFill>
              <w14:schemeClr w14:val="tx1"/>
            </w14:solidFill>
          </w14:textFill>
        </w:rPr>
        <w:t>2</w:t>
      </w:r>
      <w:r>
        <w:rPr>
          <w:rFonts w:ascii="Arial" w:hAnsi="Arial" w:eastAsia="等线" w:cs="Arial"/>
          <w:color w:val="000000" w:themeColor="text1"/>
          <w:sz w:val="22"/>
          <w14:textFill>
            <w14:solidFill>
              <w14:schemeClr w14:val="tx1"/>
            </w14:solidFill>
          </w14:textFill>
        </w:rPr>
        <w:t>.</w:t>
      </w:r>
      <w:r>
        <w:rPr>
          <w:rFonts w:hint="eastAsia" w:ascii="Arial" w:hAnsi="Arial" w:eastAsia="等线" w:cs="Arial"/>
          <w:color w:val="000000" w:themeColor="text1"/>
          <w:sz w:val="22"/>
          <w:lang w:val="en-US" w:eastAsia="zh-CN"/>
          <w14:textFill>
            <w14:solidFill>
              <w14:schemeClr w14:val="tx1"/>
            </w14:solidFill>
          </w14:textFill>
        </w:rPr>
        <w:t xml:space="preserve">  </w:t>
      </w:r>
      <w:r>
        <w:rPr>
          <w:rFonts w:ascii="Arial" w:hAnsi="Arial" w:eastAsia="等线" w:cs="Arial"/>
          <w:color w:val="000000" w:themeColor="text1"/>
          <w:sz w:val="22"/>
          <w14:textFill>
            <w14:solidFill>
              <w14:schemeClr w14:val="tx1"/>
            </w14:solidFill>
          </w14:textFill>
        </w:rPr>
        <w:t>测量精度：雷达水位计测量误差符合行业标准，可精准反馈电站实时水位数据；</w:t>
      </w:r>
    </w:p>
    <w:p w14:paraId="5BF3917D">
      <w:pPr>
        <w:keepNext w:val="0"/>
        <w:keepLines w:val="0"/>
        <w:pageBreakBefore w:val="0"/>
        <w:widowControl w:val="0"/>
        <w:numPr>
          <w:ilvl w:val="0"/>
          <w:numId w:val="23"/>
        </w:numPr>
        <w:kinsoku/>
        <w:wordWrap/>
        <w:overflowPunct/>
        <w:topLinePunct w:val="0"/>
        <w:autoSpaceDE/>
        <w:autoSpaceDN/>
        <w:bidi w:val="0"/>
        <w:adjustRightInd/>
        <w:snapToGrid/>
        <w:spacing w:line="288" w:lineRule="auto"/>
        <w:ind w:left="0" w:leftChars="0" w:firstLine="440" w:firstLineChars="0"/>
        <w:jc w:val="left"/>
        <w:textAlignment w:val="auto"/>
        <w:rPr>
          <w:rFonts w:ascii="Arial" w:hAnsi="Arial" w:eastAsia="等线" w:cs="Arial"/>
          <w:color w:val="000000" w:themeColor="text1"/>
          <w:sz w:val="22"/>
          <w14:textFill>
            <w14:solidFill>
              <w14:schemeClr w14:val="tx1"/>
            </w14:solidFill>
          </w14:textFill>
        </w:rPr>
      </w:pPr>
      <w:r>
        <w:rPr>
          <w:rFonts w:ascii="Arial" w:hAnsi="Arial" w:eastAsia="等线" w:cs="Arial"/>
          <w:color w:val="000000" w:themeColor="text1"/>
          <w:sz w:val="22"/>
          <w14:textFill>
            <w14:solidFill>
              <w14:schemeClr w14:val="tx1"/>
            </w14:solidFill>
          </w14:textFill>
        </w:rPr>
        <w:t>运行可靠性：整套系统支持24小时不间断连续运行，设备故障率低，适配长期户外工况；</w:t>
      </w:r>
    </w:p>
    <w:p w14:paraId="576CCC64">
      <w:pPr>
        <w:keepNext w:val="0"/>
        <w:keepLines w:val="0"/>
        <w:pageBreakBefore w:val="0"/>
        <w:widowControl w:val="0"/>
        <w:numPr>
          <w:ilvl w:val="0"/>
          <w:numId w:val="23"/>
        </w:numPr>
        <w:kinsoku/>
        <w:wordWrap/>
        <w:overflowPunct/>
        <w:topLinePunct w:val="0"/>
        <w:autoSpaceDE/>
        <w:autoSpaceDN/>
        <w:bidi w:val="0"/>
        <w:adjustRightInd/>
        <w:snapToGrid/>
        <w:spacing w:line="288" w:lineRule="auto"/>
        <w:ind w:left="0" w:leftChars="0" w:firstLine="440" w:firstLineChars="0"/>
        <w:jc w:val="left"/>
        <w:textAlignment w:val="auto"/>
        <w:rPr>
          <w:rFonts w:ascii="Arial" w:hAnsi="Arial" w:eastAsia="等线" w:cs="Arial"/>
          <w:color w:val="000000" w:themeColor="text1"/>
          <w:sz w:val="22"/>
          <w14:textFill>
            <w14:solidFill>
              <w14:schemeClr w14:val="tx1"/>
            </w14:solidFill>
          </w14:textFill>
        </w:rPr>
      </w:pPr>
      <w:r>
        <w:rPr>
          <w:rFonts w:ascii="Arial" w:hAnsi="Arial" w:eastAsia="等线" w:cs="Arial"/>
          <w:color w:val="000000" w:themeColor="text1"/>
          <w:sz w:val="22"/>
          <w14:textFill>
            <w14:solidFill>
              <w14:schemeClr w14:val="tx1"/>
            </w14:solidFill>
          </w14:textFill>
        </w:rPr>
        <w:t>传输性能：4G无线传输响应迅速，可实时同步现场监测数据至后台服务器及中控室显示屏；</w:t>
      </w:r>
    </w:p>
    <w:p w14:paraId="7965886D">
      <w:pPr>
        <w:keepNext w:val="0"/>
        <w:keepLines w:val="0"/>
        <w:pageBreakBefore w:val="0"/>
        <w:widowControl w:val="0"/>
        <w:numPr>
          <w:ilvl w:val="0"/>
          <w:numId w:val="23"/>
        </w:numPr>
        <w:kinsoku/>
        <w:wordWrap/>
        <w:overflowPunct/>
        <w:topLinePunct w:val="0"/>
        <w:autoSpaceDE/>
        <w:autoSpaceDN/>
        <w:bidi w:val="0"/>
        <w:adjustRightInd/>
        <w:snapToGrid/>
        <w:spacing w:line="288" w:lineRule="auto"/>
        <w:ind w:left="0" w:leftChars="0" w:firstLine="440" w:firstLineChars="0"/>
        <w:jc w:val="left"/>
        <w:textAlignment w:val="auto"/>
        <w:rPr>
          <w:rFonts w:ascii="Arial" w:hAnsi="Arial" w:eastAsia="等线" w:cs="Arial"/>
          <w:color w:val="000000" w:themeColor="text1"/>
          <w:sz w:val="22"/>
          <w14:textFill>
            <w14:solidFill>
              <w14:schemeClr w14:val="tx1"/>
            </w14:solidFill>
          </w14:textFill>
        </w:rPr>
      </w:pPr>
      <w:r>
        <w:rPr>
          <w:rFonts w:ascii="Arial" w:hAnsi="Arial" w:eastAsia="等线" w:cs="Arial"/>
          <w:color w:val="000000" w:themeColor="text1"/>
          <w:sz w:val="22"/>
          <w14:textFill>
            <w14:solidFill>
              <w14:schemeClr w14:val="tx1"/>
            </w14:solidFill>
          </w14:textFill>
        </w:rPr>
        <w:t>环境适应性：核心设备防护等级达标，可适应风雨、潮湿、高低温等户外复杂环境。</w:t>
      </w:r>
    </w:p>
    <w:p w14:paraId="0BD7A331">
      <w:pPr>
        <w:keepNext w:val="0"/>
        <w:keepLines w:val="0"/>
        <w:pageBreakBefore w:val="0"/>
        <w:kinsoku/>
        <w:wordWrap/>
        <w:overflowPunct/>
        <w:topLinePunct w:val="0"/>
        <w:autoSpaceDE/>
        <w:autoSpaceDN/>
        <w:bidi w:val="0"/>
        <w:adjustRightInd/>
        <w:snapToGrid/>
        <w:spacing w:line="288" w:lineRule="auto"/>
        <w:ind w:left="0"/>
        <w:jc w:val="left"/>
        <w:textAlignment w:val="auto"/>
        <w:outlineLvl w:val="1"/>
      </w:pPr>
      <w:bookmarkStart w:id="19" w:name="heading_19"/>
      <w:r>
        <w:rPr>
          <w:rFonts w:ascii="Arial" w:hAnsi="Arial" w:eastAsia="等线" w:cs="Arial"/>
          <w:b/>
          <w:sz w:val="32"/>
        </w:rPr>
        <w:t>6 技术服务与运维要求</w:t>
      </w:r>
      <w:bookmarkEnd w:id="19"/>
    </w:p>
    <w:p w14:paraId="4D5952C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40" w:firstLineChars="200"/>
        <w:jc w:val="left"/>
        <w:textAlignment w:val="auto"/>
      </w:pPr>
      <w:r>
        <w:rPr>
          <w:rFonts w:hint="eastAsia" w:ascii="Arial" w:hAnsi="Arial" w:eastAsia="等线" w:cs="Arial"/>
          <w:sz w:val="22"/>
          <w:lang w:val="en-US" w:eastAsia="zh-CN"/>
        </w:rPr>
        <w:t>1.整体</w:t>
      </w:r>
      <w:r>
        <w:rPr>
          <w:rFonts w:ascii="Arial" w:hAnsi="Arial" w:eastAsia="等线" w:cs="Arial"/>
          <w:sz w:val="22"/>
        </w:rPr>
        <w:t>项目</w:t>
      </w:r>
      <w:r>
        <w:rPr>
          <w:rFonts w:hint="eastAsia" w:ascii="Arial" w:hAnsi="Arial" w:eastAsia="等线" w:cs="Arial"/>
          <w:sz w:val="22"/>
          <w:lang w:val="en-US" w:eastAsia="zh-CN"/>
        </w:rPr>
        <w:t>供应商</w:t>
      </w:r>
      <w:r>
        <w:rPr>
          <w:rFonts w:ascii="Arial" w:hAnsi="Arial" w:eastAsia="等线" w:cs="Arial"/>
          <w:sz w:val="22"/>
        </w:rPr>
        <w:t>提供全程远程技术支持，针对系统调试、设备故障、数据异常等问题及时响应、指导解决；</w:t>
      </w:r>
    </w:p>
    <w:p w14:paraId="6D288BE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40" w:firstLineChars="200"/>
        <w:jc w:val="left"/>
        <w:textAlignment w:val="auto"/>
      </w:pPr>
      <w:r>
        <w:rPr>
          <w:rFonts w:hint="eastAsia" w:ascii="Arial" w:hAnsi="Arial" w:eastAsia="等线" w:cs="Arial"/>
          <w:sz w:val="22"/>
          <w:lang w:val="en-US" w:eastAsia="zh-CN"/>
        </w:rPr>
        <w:t>2.</w:t>
      </w:r>
      <w:r>
        <w:rPr>
          <w:rFonts w:ascii="Arial" w:hAnsi="Arial" w:eastAsia="等线" w:cs="Arial"/>
          <w:sz w:val="22"/>
        </w:rPr>
        <w:t>系统具备可维护性，设备</w:t>
      </w:r>
      <w:r>
        <w:rPr>
          <w:rFonts w:hint="eastAsia" w:ascii="Arial" w:hAnsi="Arial" w:eastAsia="等线" w:cs="Arial"/>
          <w:sz w:val="22"/>
          <w:lang w:val="en-US" w:eastAsia="zh-CN"/>
        </w:rPr>
        <w:t>外部</w:t>
      </w:r>
      <w:r>
        <w:rPr>
          <w:rFonts w:ascii="Arial" w:hAnsi="Arial" w:eastAsia="等线" w:cs="Arial"/>
          <w:sz w:val="22"/>
        </w:rPr>
        <w:t>配件通用、线路规整，便于后期检修、更换及系统升级。</w:t>
      </w:r>
    </w:p>
    <w:p w14:paraId="189FD656">
      <w:pPr>
        <w:keepNext w:val="0"/>
        <w:keepLines w:val="0"/>
        <w:pageBreakBefore w:val="0"/>
        <w:kinsoku/>
        <w:wordWrap/>
        <w:overflowPunct/>
        <w:topLinePunct w:val="0"/>
        <w:autoSpaceDE/>
        <w:autoSpaceDN/>
        <w:bidi w:val="0"/>
        <w:adjustRightInd/>
        <w:snapToGrid/>
        <w:spacing w:line="288" w:lineRule="auto"/>
        <w:ind w:left="0"/>
        <w:jc w:val="left"/>
        <w:textAlignment w:val="auto"/>
        <w:outlineLvl w:val="1"/>
        <w:rPr>
          <w:rFonts w:hint="eastAsia" w:ascii="Arial" w:hAnsi="Arial" w:eastAsia="等线" w:cs="Arial"/>
          <w:b/>
          <w:sz w:val="32"/>
          <w:lang w:val="en-US" w:eastAsia="zh-CN"/>
        </w:rPr>
      </w:pPr>
      <w:r>
        <w:rPr>
          <w:rFonts w:hint="eastAsia" w:ascii="Arial" w:hAnsi="Arial" w:eastAsia="等线" w:cs="Arial"/>
          <w:b/>
          <w:sz w:val="32"/>
          <w:lang w:val="en-US" w:eastAsia="zh-CN"/>
        </w:rPr>
        <w:t>7</w:t>
      </w:r>
      <w:r>
        <w:rPr>
          <w:rFonts w:ascii="Arial" w:hAnsi="Arial" w:eastAsia="等线" w:cs="Arial"/>
          <w:b/>
          <w:sz w:val="32"/>
        </w:rPr>
        <w:t xml:space="preserve"> </w:t>
      </w:r>
      <w:r>
        <w:rPr>
          <w:rFonts w:hint="eastAsia" w:ascii="Arial" w:hAnsi="Arial" w:eastAsia="等线" w:cs="Arial"/>
          <w:b/>
          <w:sz w:val="32"/>
          <w:lang w:val="en-US" w:eastAsia="zh-CN"/>
        </w:rPr>
        <w:t>质量保证与售后服务</w:t>
      </w:r>
    </w:p>
    <w:p w14:paraId="1E6FFFA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20" w:firstLineChars="100"/>
        <w:jc w:val="left"/>
        <w:textAlignment w:val="auto"/>
        <w:rPr>
          <w:rFonts w:hint="default" w:ascii="Arial" w:hAnsi="Arial" w:eastAsia="等线" w:cs="Arial"/>
          <w:color w:val="000000" w:themeColor="text1"/>
          <w:sz w:val="22"/>
          <w14:textFill>
            <w14:solidFill>
              <w14:schemeClr w14:val="tx1"/>
            </w14:solidFill>
          </w14:textFill>
        </w:rPr>
      </w:pPr>
      <w:r>
        <w:rPr>
          <w:rFonts w:hint="eastAsia" w:ascii="Arial" w:hAnsi="Arial" w:eastAsia="等线" w:cs="Arial"/>
          <w:color w:val="000000" w:themeColor="text1"/>
          <w:sz w:val="22"/>
          <w:lang w:val="en-US" w:eastAsia="zh-CN"/>
          <w14:textFill>
            <w14:solidFill>
              <w14:schemeClr w14:val="tx1"/>
            </w14:solidFill>
          </w14:textFill>
        </w:rPr>
        <w:t>1.整</w:t>
      </w:r>
      <w:r>
        <w:rPr>
          <w:rFonts w:hint="default" w:ascii="Arial" w:hAnsi="Arial" w:eastAsia="等线" w:cs="Arial"/>
          <w:color w:val="000000" w:themeColor="text1"/>
          <w:sz w:val="22"/>
          <w14:textFill>
            <w14:solidFill>
              <w14:schemeClr w14:val="tx1"/>
            </w14:solidFill>
          </w14:textFill>
        </w:rPr>
        <w:t>质保期：整机设备质保期不少于</w:t>
      </w:r>
      <w:r>
        <w:rPr>
          <w:rFonts w:hint="eastAsia" w:ascii="Arial" w:hAnsi="Arial" w:eastAsia="等线" w:cs="Arial"/>
          <w:color w:val="000000" w:themeColor="text1"/>
          <w:sz w:val="22"/>
          <w:lang w:val="en-US" w:eastAsia="zh-CN"/>
          <w14:textFill>
            <w14:solidFill>
              <w14:schemeClr w14:val="tx1"/>
            </w14:solidFill>
          </w14:textFill>
        </w:rPr>
        <w:t>1</w:t>
      </w:r>
      <w:r>
        <w:rPr>
          <w:rFonts w:hint="default" w:ascii="Arial" w:hAnsi="Arial" w:eastAsia="等线" w:cs="Arial"/>
          <w:color w:val="000000" w:themeColor="text1"/>
          <w:sz w:val="22"/>
          <w14:textFill>
            <w14:solidFill>
              <w14:schemeClr w14:val="tx1"/>
            </w14:solidFill>
          </w14:textFill>
        </w:rPr>
        <w:t>年</w:t>
      </w:r>
      <w:bookmarkStart w:id="20" w:name="_GoBack"/>
      <w:bookmarkEnd w:id="20"/>
      <w:r>
        <w:rPr>
          <w:rFonts w:hint="default" w:ascii="Arial" w:hAnsi="Arial" w:eastAsia="等线" w:cs="Arial"/>
          <w:color w:val="000000" w:themeColor="text1"/>
          <w:sz w:val="22"/>
          <w14:textFill>
            <w14:solidFill>
              <w14:schemeClr w14:val="tx1"/>
            </w14:solidFill>
          </w14:textFill>
        </w:rPr>
        <w:t>，核心设备（RTU、雷达水位计）质保期不少于</w:t>
      </w:r>
      <w:r>
        <w:rPr>
          <w:rFonts w:hint="eastAsia" w:ascii="Arial" w:hAnsi="Arial" w:eastAsia="等线" w:cs="Arial"/>
          <w:color w:val="000000" w:themeColor="text1"/>
          <w:sz w:val="22"/>
          <w:lang w:val="en-US" w:eastAsia="zh-CN"/>
          <w14:textFill>
            <w14:solidFill>
              <w14:schemeClr w14:val="tx1"/>
            </w14:solidFill>
          </w14:textFill>
        </w:rPr>
        <w:t>1</w:t>
      </w:r>
      <w:r>
        <w:rPr>
          <w:rFonts w:hint="default" w:ascii="Arial" w:hAnsi="Arial" w:eastAsia="等线" w:cs="Arial"/>
          <w:color w:val="000000" w:themeColor="text1"/>
          <w:sz w:val="22"/>
          <w14:textFill>
            <w14:solidFill>
              <w14:schemeClr w14:val="tx1"/>
            </w14:solidFill>
          </w14:textFill>
        </w:rPr>
        <w:t>年，自</w:t>
      </w:r>
      <w:r>
        <w:rPr>
          <w:rFonts w:hint="eastAsia" w:ascii="Arial" w:hAnsi="Arial" w:eastAsia="等线" w:cs="Arial"/>
          <w:color w:val="000000" w:themeColor="text1"/>
          <w:sz w:val="22"/>
          <w:lang w:val="en-US" w:eastAsia="zh-CN"/>
          <w14:textFill>
            <w14:solidFill>
              <w14:schemeClr w14:val="tx1"/>
            </w14:solidFill>
          </w14:textFill>
        </w:rPr>
        <w:t>设备收货</w:t>
      </w:r>
      <w:r>
        <w:rPr>
          <w:rFonts w:hint="default" w:ascii="Arial" w:hAnsi="Arial" w:eastAsia="等线" w:cs="Arial"/>
          <w:color w:val="000000" w:themeColor="text1"/>
          <w:sz w:val="22"/>
          <w14:textFill>
            <w14:solidFill>
              <w14:schemeClr w14:val="tx1"/>
            </w14:solidFill>
          </w14:textFill>
        </w:rPr>
        <w:t>之日起计算；</w:t>
      </w:r>
    </w:p>
    <w:p w14:paraId="35BAB33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20" w:firstLineChars="100"/>
        <w:jc w:val="left"/>
        <w:textAlignment w:val="auto"/>
        <w:rPr>
          <w:rFonts w:hint="default" w:ascii="Arial" w:hAnsi="Arial" w:eastAsia="等线" w:cs="Arial"/>
          <w:color w:val="000000" w:themeColor="text1"/>
          <w:sz w:val="22"/>
          <w14:textFill>
            <w14:solidFill>
              <w14:schemeClr w14:val="tx1"/>
            </w14:solidFill>
          </w14:textFill>
        </w:rPr>
      </w:pPr>
      <w:r>
        <w:rPr>
          <w:rFonts w:hint="eastAsia" w:ascii="Arial" w:hAnsi="Arial" w:eastAsia="等线" w:cs="Arial"/>
          <w:color w:val="000000" w:themeColor="text1"/>
          <w:sz w:val="22"/>
          <w:lang w:val="en-US" w:eastAsia="zh-CN"/>
          <w14:textFill>
            <w14:solidFill>
              <w14:schemeClr w14:val="tx1"/>
            </w14:solidFill>
          </w14:textFill>
        </w:rPr>
        <w:t>2.</w:t>
      </w:r>
      <w:r>
        <w:rPr>
          <w:rFonts w:hint="default" w:ascii="Arial" w:hAnsi="Arial" w:eastAsia="等线" w:cs="Arial"/>
          <w:color w:val="000000" w:themeColor="text1"/>
          <w:sz w:val="22"/>
          <w14:textFill>
            <w14:solidFill>
              <w14:schemeClr w14:val="tx1"/>
            </w14:solidFill>
          </w14:textFill>
        </w:rPr>
        <w:t>售后服务响应：质保期内，供应商应在收到故障报修后2小时内响应，24小时内提出解决方案并远程协助处理。必要时，供应商应在</w:t>
      </w:r>
      <w:r>
        <w:rPr>
          <w:rFonts w:hint="eastAsia" w:ascii="Arial" w:hAnsi="Arial" w:eastAsia="等线" w:cs="Arial"/>
          <w:color w:val="000000" w:themeColor="text1"/>
          <w:sz w:val="22"/>
          <w:lang w:val="en-US" w:eastAsia="zh-CN"/>
          <w14:textFill>
            <w14:solidFill>
              <w14:schemeClr w14:val="tx1"/>
            </w14:solidFill>
          </w14:textFill>
        </w:rPr>
        <w:t>72</w:t>
      </w:r>
      <w:r>
        <w:rPr>
          <w:rFonts w:hint="default" w:ascii="Arial" w:hAnsi="Arial" w:eastAsia="等线" w:cs="Arial"/>
          <w:color w:val="000000" w:themeColor="text1"/>
          <w:sz w:val="22"/>
          <w14:textFill>
            <w14:solidFill>
              <w14:schemeClr w14:val="tx1"/>
            </w14:solidFill>
          </w14:textFill>
        </w:rPr>
        <w:t>小时内安排技术人员到现场处理；</w:t>
      </w:r>
    </w:p>
    <w:p w14:paraId="0670212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440" w:leftChars="0"/>
        <w:jc w:val="left"/>
        <w:textAlignment w:val="auto"/>
        <w:rPr>
          <w:rFonts w:ascii="Arial" w:hAnsi="Arial" w:eastAsia="等线" w:cs="Arial"/>
          <w:color w:val="000000" w:themeColor="text1"/>
          <w:sz w:val="22"/>
          <w14:textFill>
            <w14:solidFill>
              <w14:schemeClr w14:val="tx1"/>
            </w14:solidFill>
          </w14:textFill>
        </w:rPr>
      </w:pPr>
      <w:r>
        <w:rPr>
          <w:rFonts w:hint="eastAsia" w:ascii="Arial" w:hAnsi="Arial" w:eastAsia="等线" w:cs="Arial"/>
          <w:color w:val="000000" w:themeColor="text1"/>
          <w:sz w:val="22"/>
          <w:lang w:val="en-US" w:eastAsia="zh-CN"/>
          <w14:textFill>
            <w14:solidFill>
              <w14:schemeClr w14:val="tx1"/>
            </w14:solidFill>
          </w14:textFill>
        </w:rPr>
        <w:t>3.</w:t>
      </w:r>
      <w:r>
        <w:rPr>
          <w:rFonts w:hint="default" w:ascii="Arial" w:hAnsi="Arial" w:eastAsia="等线" w:cs="Arial"/>
          <w:color w:val="000000" w:themeColor="text1"/>
          <w:sz w:val="22"/>
          <w14:textFill>
            <w14:solidFill>
              <w14:schemeClr w14:val="tx1"/>
            </w14:solidFill>
          </w14:textFill>
        </w:rPr>
        <w:t>软件升级：质保期内免费提供终端嵌入式软件及配套工具的升级服务。</w:t>
      </w:r>
    </w:p>
    <w:p w14:paraId="2CF4527D">
      <w:pPr>
        <w:pStyle w:val="2"/>
        <w:keepNext w:val="0"/>
        <w:keepLines w:val="0"/>
        <w:widowControl/>
        <w:numPr>
          <w:ilvl w:val="0"/>
          <w:numId w:val="0"/>
        </w:numPr>
        <w:suppressLineNumbers w:val="0"/>
        <w:spacing w:before="0" w:beforeAutospacing="0" w:after="0" w:afterAutospacing="0"/>
        <w:ind w:leftChars="0" w:right="0" w:rightChars="0"/>
        <w:jc w:val="both"/>
        <w:rPr>
          <w:rFonts w:hint="default" w:ascii="Arial" w:hAnsi="Arial" w:eastAsia="等线" w:cs="Arial"/>
          <w:color w:val="FF0000"/>
          <w:sz w:val="22"/>
          <w:szCs w:val="22"/>
          <w:lang w:val="en-US" w:eastAsia="zh-CN"/>
        </w:rPr>
      </w:pPr>
    </w:p>
    <w:p w14:paraId="2C8C3087">
      <w:pPr>
        <w:spacing w:before="320" w:after="120" w:line="288" w:lineRule="auto"/>
        <w:ind w:left="0"/>
        <w:jc w:val="left"/>
        <w:outlineLvl w:val="1"/>
        <w:rPr>
          <w:rFonts w:hint="default" w:ascii="Arial" w:hAnsi="Arial" w:eastAsia="等线" w:cs="Arial"/>
          <w:b/>
          <w:sz w:val="32"/>
          <w:lang w:val="en-US" w:eastAsia="zh-CN"/>
        </w:rPr>
      </w:pPr>
    </w:p>
    <w:p w14:paraId="5EF16996">
      <w:pPr>
        <w:numPr>
          <w:ilvl w:val="0"/>
          <w:numId w:val="0"/>
        </w:numPr>
        <w:spacing w:before="120" w:after="120" w:line="288" w:lineRule="auto"/>
        <w:jc w:val="left"/>
      </w:pPr>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A8076"/>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15A0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singleLevel"/>
    <w:tmpl w:val="9239341B"/>
    <w:lvl w:ilvl="0" w:tentative="0">
      <w:start w:val="0"/>
      <w:numFmt w:val="bullet"/>
      <w:lvlText w:val="•"/>
      <w:lvlJc w:val="left"/>
      <w:rPr>
        <w:color w:val="3370FF"/>
      </w:rPr>
    </w:lvl>
  </w:abstractNum>
  <w:abstractNum w:abstractNumId="1">
    <w:nsid w:val="9C8AC8EF"/>
    <w:multiLevelType w:val="singleLevel"/>
    <w:tmpl w:val="9C8AC8EF"/>
    <w:lvl w:ilvl="0" w:tentative="0">
      <w:start w:val="0"/>
      <w:numFmt w:val="bullet"/>
      <w:lvlText w:val="•"/>
      <w:lvlJc w:val="left"/>
      <w:rPr>
        <w:color w:val="3370FF"/>
      </w:rPr>
    </w:lvl>
  </w:abstractNum>
  <w:abstractNum w:abstractNumId="2">
    <w:nsid w:val="B6560E9C"/>
    <w:multiLevelType w:val="singleLevel"/>
    <w:tmpl w:val="B6560E9C"/>
    <w:lvl w:ilvl="0" w:tentative="0">
      <w:start w:val="4"/>
      <w:numFmt w:val="decimal"/>
      <w:suff w:val="nothing"/>
      <w:lvlText w:val="%1."/>
      <w:lvlJc w:val="left"/>
      <w:pPr>
        <w:ind w:left="0" w:firstLine="440"/>
      </w:pPr>
      <w:rPr>
        <w:rFonts w:hint="default"/>
        <w:color w:val="000000" w:themeColor="text1"/>
        <w14:textFill>
          <w14:solidFill>
            <w14:schemeClr w14:val="tx1"/>
          </w14:solidFill>
        </w14:textFill>
      </w:rPr>
    </w:lvl>
  </w:abstractNum>
  <w:abstractNum w:abstractNumId="3">
    <w:nsid w:val="C3AF534B"/>
    <w:multiLevelType w:val="singleLevel"/>
    <w:tmpl w:val="C3AF534B"/>
    <w:lvl w:ilvl="0" w:tentative="0">
      <w:start w:val="3"/>
      <w:numFmt w:val="decimal"/>
      <w:suff w:val="nothing"/>
      <w:lvlText w:val="%1."/>
      <w:lvlJc w:val="left"/>
      <w:pPr>
        <w:ind w:left="0" w:firstLine="440"/>
      </w:pPr>
      <w:rPr>
        <w:rFonts w:hint="default"/>
        <w:color w:val="000000" w:themeColor="text1"/>
        <w14:textFill>
          <w14:solidFill>
            <w14:schemeClr w14:val="tx1"/>
          </w14:solidFill>
        </w14:textFill>
      </w:rPr>
    </w:lvl>
  </w:abstractNum>
  <w:abstractNum w:abstractNumId="4">
    <w:nsid w:val="C8879AEF"/>
    <w:multiLevelType w:val="singleLevel"/>
    <w:tmpl w:val="C8879AEF"/>
    <w:lvl w:ilvl="0" w:tentative="0">
      <w:start w:val="0"/>
      <w:numFmt w:val="bullet"/>
      <w:lvlText w:val="•"/>
      <w:lvlJc w:val="left"/>
      <w:rPr>
        <w:color w:val="3370FF"/>
      </w:rPr>
    </w:lvl>
  </w:abstractNum>
  <w:abstractNum w:abstractNumId="5">
    <w:nsid w:val="CCE9C7F7"/>
    <w:multiLevelType w:val="singleLevel"/>
    <w:tmpl w:val="CCE9C7F7"/>
    <w:lvl w:ilvl="0" w:tentative="0">
      <w:start w:val="4"/>
      <w:numFmt w:val="decimal"/>
      <w:suff w:val="nothing"/>
      <w:lvlText w:val="%1."/>
      <w:lvlJc w:val="left"/>
      <w:pPr>
        <w:ind w:left="0" w:firstLine="0"/>
      </w:pPr>
      <w:rPr>
        <w:rFonts w:hint="default"/>
        <w:color w:val="000000" w:themeColor="text1"/>
        <w14:textFill>
          <w14:solidFill>
            <w14:schemeClr w14:val="tx1"/>
          </w14:solidFill>
        </w14:textFill>
      </w:rPr>
    </w:lvl>
  </w:abstractNum>
  <w:abstractNum w:abstractNumId="6">
    <w:nsid w:val="D463522D"/>
    <w:multiLevelType w:val="singleLevel"/>
    <w:tmpl w:val="D463522D"/>
    <w:lvl w:ilvl="0" w:tentative="0">
      <w:start w:val="3"/>
      <w:numFmt w:val="decimal"/>
      <w:suff w:val="nothing"/>
      <w:lvlText w:val="%1."/>
      <w:lvlJc w:val="left"/>
      <w:pPr>
        <w:ind w:left="0" w:firstLine="440"/>
      </w:pPr>
      <w:rPr>
        <w:rFonts w:hint="default"/>
        <w:color w:val="000000" w:themeColor="text1"/>
        <w14:textFill>
          <w14:solidFill>
            <w14:schemeClr w14:val="tx1"/>
          </w14:solidFill>
        </w14:textFill>
      </w:rPr>
    </w:lvl>
  </w:abstractNum>
  <w:abstractNum w:abstractNumId="7">
    <w:nsid w:val="D7F9FE59"/>
    <w:multiLevelType w:val="singleLevel"/>
    <w:tmpl w:val="D7F9FE59"/>
    <w:lvl w:ilvl="0" w:tentative="0">
      <w:start w:val="0"/>
      <w:numFmt w:val="bullet"/>
      <w:lvlText w:val="•"/>
      <w:lvlJc w:val="left"/>
      <w:rPr>
        <w:color w:val="3370FF"/>
      </w:rPr>
    </w:lvl>
  </w:abstractNum>
  <w:abstractNum w:abstractNumId="8">
    <w:nsid w:val="DCBA6B53"/>
    <w:multiLevelType w:val="singleLevel"/>
    <w:tmpl w:val="DCBA6B53"/>
    <w:lvl w:ilvl="0" w:tentative="0">
      <w:start w:val="0"/>
      <w:numFmt w:val="bullet"/>
      <w:lvlText w:val="•"/>
      <w:lvlJc w:val="left"/>
      <w:rPr>
        <w:color w:val="3370FF"/>
      </w:rPr>
    </w:lvl>
  </w:abstractNum>
  <w:abstractNum w:abstractNumId="9">
    <w:nsid w:val="E5D59530"/>
    <w:multiLevelType w:val="singleLevel"/>
    <w:tmpl w:val="E5D59530"/>
    <w:lvl w:ilvl="0" w:tentative="0">
      <w:start w:val="2"/>
      <w:numFmt w:val="decimal"/>
      <w:suff w:val="nothing"/>
      <w:lvlText w:val="%1."/>
      <w:lvlJc w:val="left"/>
      <w:pPr>
        <w:ind w:left="0" w:firstLine="440"/>
      </w:pPr>
      <w:rPr>
        <w:rFonts w:hint="default"/>
        <w:color w:val="000000" w:themeColor="text1"/>
        <w14:textFill>
          <w14:solidFill>
            <w14:schemeClr w14:val="tx1"/>
          </w14:solidFill>
        </w14:textFill>
      </w:rPr>
    </w:lvl>
  </w:abstractNum>
  <w:abstractNum w:abstractNumId="10">
    <w:nsid w:val="F4B5D9F5"/>
    <w:multiLevelType w:val="singleLevel"/>
    <w:tmpl w:val="F4B5D9F5"/>
    <w:lvl w:ilvl="0" w:tentative="0">
      <w:start w:val="0"/>
      <w:numFmt w:val="bullet"/>
      <w:lvlText w:val="•"/>
      <w:lvlJc w:val="left"/>
      <w:rPr>
        <w:color w:val="3370FF"/>
      </w:rPr>
    </w:lvl>
  </w:abstractNum>
  <w:abstractNum w:abstractNumId="11">
    <w:nsid w:val="F7267596"/>
    <w:multiLevelType w:val="singleLevel"/>
    <w:tmpl w:val="F7267596"/>
    <w:lvl w:ilvl="0" w:tentative="0">
      <w:start w:val="5"/>
      <w:numFmt w:val="decimal"/>
      <w:suff w:val="nothing"/>
      <w:lvlText w:val="%1."/>
      <w:lvlJc w:val="left"/>
      <w:pPr>
        <w:ind w:left="0" w:firstLine="380"/>
      </w:pPr>
      <w:rPr>
        <w:rFonts w:hint="default"/>
        <w:color w:val="000000" w:themeColor="text1"/>
        <w14:textFill>
          <w14:solidFill>
            <w14:schemeClr w14:val="tx1"/>
          </w14:solidFill>
        </w14:textFill>
      </w:rPr>
    </w:lvl>
  </w:abstractNum>
  <w:abstractNum w:abstractNumId="12">
    <w:nsid w:val="0248C179"/>
    <w:multiLevelType w:val="singleLevel"/>
    <w:tmpl w:val="0248C179"/>
    <w:lvl w:ilvl="0" w:tentative="0">
      <w:start w:val="0"/>
      <w:numFmt w:val="bullet"/>
      <w:lvlText w:val="•"/>
      <w:lvlJc w:val="left"/>
      <w:rPr>
        <w:color w:val="3370FF"/>
      </w:rPr>
    </w:lvl>
  </w:abstractNum>
  <w:abstractNum w:abstractNumId="13">
    <w:nsid w:val="03D62ECE"/>
    <w:multiLevelType w:val="singleLevel"/>
    <w:tmpl w:val="03D62ECE"/>
    <w:lvl w:ilvl="0" w:tentative="0">
      <w:start w:val="0"/>
      <w:numFmt w:val="bullet"/>
      <w:lvlText w:val="•"/>
      <w:lvlJc w:val="left"/>
      <w:rPr>
        <w:color w:val="3370FF"/>
      </w:rPr>
    </w:lvl>
  </w:abstractNum>
  <w:abstractNum w:abstractNumId="14">
    <w:nsid w:val="2470EC97"/>
    <w:multiLevelType w:val="singleLevel"/>
    <w:tmpl w:val="2470EC97"/>
    <w:lvl w:ilvl="0" w:tentative="0">
      <w:start w:val="0"/>
      <w:numFmt w:val="bullet"/>
      <w:lvlText w:val="•"/>
      <w:lvlJc w:val="left"/>
      <w:rPr>
        <w:color w:val="3370FF"/>
      </w:rPr>
    </w:lvl>
  </w:abstractNum>
  <w:abstractNum w:abstractNumId="15">
    <w:nsid w:val="25B654F3"/>
    <w:multiLevelType w:val="singleLevel"/>
    <w:tmpl w:val="25B654F3"/>
    <w:lvl w:ilvl="0" w:tentative="0">
      <w:start w:val="0"/>
      <w:numFmt w:val="bullet"/>
      <w:lvlText w:val="•"/>
      <w:lvlJc w:val="left"/>
      <w:rPr>
        <w:color w:val="3370FF"/>
      </w:rPr>
    </w:lvl>
  </w:abstractNum>
  <w:abstractNum w:abstractNumId="16">
    <w:nsid w:val="2A8F537B"/>
    <w:multiLevelType w:val="singleLevel"/>
    <w:tmpl w:val="2A8F537B"/>
    <w:lvl w:ilvl="0" w:tentative="0">
      <w:start w:val="0"/>
      <w:numFmt w:val="bullet"/>
      <w:lvlText w:val="•"/>
      <w:lvlJc w:val="left"/>
      <w:rPr>
        <w:color w:val="3370FF"/>
      </w:rPr>
    </w:lvl>
  </w:abstractNum>
  <w:abstractNum w:abstractNumId="17">
    <w:nsid w:val="4C1BAE26"/>
    <w:multiLevelType w:val="singleLevel"/>
    <w:tmpl w:val="4C1BAE26"/>
    <w:lvl w:ilvl="0" w:tentative="0">
      <w:start w:val="0"/>
      <w:numFmt w:val="bullet"/>
      <w:lvlText w:val="•"/>
      <w:lvlJc w:val="left"/>
      <w:rPr>
        <w:color w:val="3370FF"/>
      </w:rPr>
    </w:lvl>
  </w:abstractNum>
  <w:abstractNum w:abstractNumId="18">
    <w:nsid w:val="4D4DC07F"/>
    <w:multiLevelType w:val="singleLevel"/>
    <w:tmpl w:val="4D4DC07F"/>
    <w:lvl w:ilvl="0" w:tentative="0">
      <w:start w:val="0"/>
      <w:numFmt w:val="bullet"/>
      <w:lvlText w:val="•"/>
      <w:lvlJc w:val="left"/>
      <w:rPr>
        <w:color w:val="3370FF"/>
      </w:rPr>
    </w:lvl>
  </w:abstractNum>
  <w:abstractNum w:abstractNumId="19">
    <w:nsid w:val="5A241D34"/>
    <w:multiLevelType w:val="singleLevel"/>
    <w:tmpl w:val="5A241D34"/>
    <w:lvl w:ilvl="0" w:tentative="0">
      <w:start w:val="0"/>
      <w:numFmt w:val="bullet"/>
      <w:lvlText w:val="•"/>
      <w:lvlJc w:val="left"/>
      <w:rPr>
        <w:color w:val="3370FF"/>
      </w:rPr>
    </w:lvl>
  </w:abstractNum>
  <w:abstractNum w:abstractNumId="20">
    <w:nsid w:val="5C134259"/>
    <w:multiLevelType w:val="singleLevel"/>
    <w:tmpl w:val="5C134259"/>
    <w:lvl w:ilvl="0" w:tentative="0">
      <w:start w:val="1"/>
      <w:numFmt w:val="decimal"/>
      <w:suff w:val="nothing"/>
      <w:lvlText w:val="%1."/>
      <w:lvlJc w:val="left"/>
      <w:pPr>
        <w:ind w:left="0" w:firstLine="440"/>
      </w:pPr>
      <w:rPr>
        <w:rFonts w:hint="default"/>
        <w:color w:val="000000" w:themeColor="text1"/>
        <w14:textFill>
          <w14:solidFill>
            <w14:schemeClr w14:val="tx1"/>
          </w14:solidFill>
        </w14:textFill>
      </w:rPr>
    </w:lvl>
  </w:abstractNum>
  <w:abstractNum w:abstractNumId="21">
    <w:nsid w:val="60382F6E"/>
    <w:multiLevelType w:val="singleLevel"/>
    <w:tmpl w:val="60382F6E"/>
    <w:lvl w:ilvl="0" w:tentative="0">
      <w:start w:val="0"/>
      <w:numFmt w:val="bullet"/>
      <w:lvlText w:val="•"/>
      <w:lvlJc w:val="left"/>
      <w:rPr>
        <w:color w:val="3370FF"/>
      </w:rPr>
    </w:lvl>
  </w:abstractNum>
  <w:abstractNum w:abstractNumId="22">
    <w:nsid w:val="72183CF9"/>
    <w:multiLevelType w:val="singleLevel"/>
    <w:tmpl w:val="72183CF9"/>
    <w:lvl w:ilvl="0" w:tentative="0">
      <w:start w:val="0"/>
      <w:numFmt w:val="bullet"/>
      <w:lvlText w:val="•"/>
      <w:lvlJc w:val="left"/>
      <w:rPr>
        <w:color w:val="3370FF"/>
      </w:rPr>
    </w:lvl>
  </w:abstractNum>
  <w:num w:numId="1">
    <w:abstractNumId w:val="20"/>
  </w:num>
  <w:num w:numId="2">
    <w:abstractNumId w:val="9"/>
  </w:num>
  <w:num w:numId="3">
    <w:abstractNumId w:val="6"/>
  </w:num>
  <w:num w:numId="4">
    <w:abstractNumId w:val="2"/>
  </w:num>
  <w:num w:numId="5">
    <w:abstractNumId w:val="11"/>
  </w:num>
  <w:num w:numId="6">
    <w:abstractNumId w:val="13"/>
  </w:num>
  <w:num w:numId="7">
    <w:abstractNumId w:val="15"/>
  </w:num>
  <w:num w:numId="8">
    <w:abstractNumId w:val="22"/>
  </w:num>
  <w:num w:numId="9">
    <w:abstractNumId w:val="12"/>
  </w:num>
  <w:num w:numId="10">
    <w:abstractNumId w:val="0"/>
  </w:num>
  <w:num w:numId="11">
    <w:abstractNumId w:val="16"/>
  </w:num>
  <w:num w:numId="12">
    <w:abstractNumId w:val="19"/>
  </w:num>
  <w:num w:numId="13">
    <w:abstractNumId w:val="4"/>
  </w:num>
  <w:num w:numId="14">
    <w:abstractNumId w:val="18"/>
  </w:num>
  <w:num w:numId="15">
    <w:abstractNumId w:val="10"/>
  </w:num>
  <w:num w:numId="16">
    <w:abstractNumId w:val="14"/>
  </w:num>
  <w:num w:numId="17">
    <w:abstractNumId w:val="8"/>
  </w:num>
  <w:num w:numId="18">
    <w:abstractNumId w:val="7"/>
  </w:num>
  <w:num w:numId="19">
    <w:abstractNumId w:val="1"/>
  </w:num>
  <w:num w:numId="20">
    <w:abstractNumId w:val="17"/>
  </w:num>
  <w:num w:numId="21">
    <w:abstractNumId w:val="21"/>
  </w:num>
  <w:num w:numId="22">
    <w:abstractNumId w:val="5"/>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835E53"/>
    <w:rsid w:val="13F0561C"/>
    <w:rsid w:val="44FB01DC"/>
    <w:rsid w:val="5EB43D8F"/>
    <w:rsid w:val="66EE4B4F"/>
    <w:rsid w:val="7C771CA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2860</Words>
  <Characters>3017</Characters>
  <TotalTime>31</TotalTime>
  <ScaleCrop>false</ScaleCrop>
  <LinksUpToDate>false</LinksUpToDate>
  <CharactersWithSpaces>3038</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2026-06-08T10:54:00Z</dcterms:created>
  <dc:creator>Apache POI</dc:creator>
  <cp:lastModifiedBy>戴利传</cp:lastModifiedBy>
  <dcterms:modified xsi:type="dcterms:W3CDTF">2026-06-10T12:43:05Z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{"Label":"1","ContentProducer":"001191110102MACQD9K64010000","ProduceID":"7648976140358978788","ReservedCode1":"","ContentPropagator":"","PropagateID":"","ReservedCode2":""}</vt:lpwstr>
  </property>
  <property fmtid="{D5CDD505-2E9C-101B-9397-08002B2CF9AE}" pid="3" name="KSOTemplateDocerSaveRecord">
    <vt:lpwstr>eyJoZGlkIjoiYzU5YmExMzAyM2ExYTdmZmRmY2YzOWU3NTE3Yzg2YjQiLCJ1c2VySWQiOiIyODMzMTk3MjkifQ==</vt:lpwstr>
  </property>
  <property fmtid="{D5CDD505-2E9C-101B-9397-08002B2CF9AE}" pid="4" name="KSOProductBuildVer">
    <vt:lpwstr>2052-12.1.0.26895</vt:lpwstr>
  </property>
  <property fmtid="{D5CDD505-2E9C-101B-9397-08002B2CF9AE}" pid="5" name="ICV">
    <vt:lpwstr>271CD2FA04294FAB9194B30001203617_13</vt:lpwstr>
  </property>
</Properties>
</file>