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p>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68390" cy="120586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）技术要求文件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4.95pt;width:485.7pt;mso-position-horizontal-relative:margin;z-index:251662336;mso-width-relative:page;mso-height-relative:page;" filled="f" stroked="f" coordsize="21600,21600" o:gfxdata="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h+LWt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）技术要求文件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8"/>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none"/>
          <w:u w:val="single"/>
          <w:lang w:val="zh-CN"/>
        </w:rPr>
      </w:pPr>
      <w:r>
        <w:rPr>
          <w:rFonts w:hint="eastAsia" w:ascii="黑体" w:hAnsi="黑体" w:eastAsia="黑体" w:cs="宋体"/>
          <w:b/>
          <w:color w:val="auto"/>
          <w:sz w:val="36"/>
          <w:szCs w:val="36"/>
          <w:highlight w:val="none"/>
          <w:u w:val="single"/>
          <w:lang w:val="zh-CN" w:eastAsia="zh-CN"/>
        </w:rPr>
        <w:t>超高压输电公司昆明局</w:t>
      </w:r>
      <w:r>
        <w:rPr>
          <w:rFonts w:hint="eastAsia" w:ascii="黑体" w:hAnsi="黑体" w:eastAsia="黑体" w:cs="宋体"/>
          <w:b/>
          <w:color w:val="auto"/>
          <w:sz w:val="36"/>
          <w:szCs w:val="36"/>
          <w:highlight w:val="none"/>
          <w:u w:val="single"/>
          <w:lang w:val="en-US" w:eastAsia="zh-CN"/>
        </w:rPr>
        <w:t>2026年</w:t>
      </w:r>
      <w:r>
        <w:rPr>
          <w:rFonts w:hint="eastAsia" w:ascii="黑体" w:hAnsi="黑体" w:eastAsia="黑体" w:cs="宋体"/>
          <w:b/>
          <w:color w:val="auto"/>
          <w:sz w:val="36"/>
          <w:szCs w:val="36"/>
          <w:highlight w:val="none"/>
          <w:u w:val="single"/>
          <w:lang w:val="zh-CN" w:eastAsia="zh-CN"/>
        </w:rPr>
        <w:t>便携式升降装置预防性试验零星</w:t>
      </w:r>
      <w:r>
        <w:rPr>
          <w:rFonts w:hint="eastAsia" w:ascii="黑体" w:hAnsi="黑体" w:eastAsia="黑体" w:cs="宋体"/>
          <w:b/>
          <w:color w:val="auto"/>
          <w:sz w:val="36"/>
          <w:szCs w:val="36"/>
          <w:highlight w:val="none"/>
          <w:u w:val="single"/>
          <w:lang w:val="zh-CN"/>
        </w:rPr>
        <w:t>采购项目</w:t>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eastAsia="zh-CN"/>
        </w:rPr>
        <w:t>昆明局现有</w:t>
      </w:r>
      <w:r>
        <w:rPr>
          <w:rFonts w:hint="eastAsia" w:ascii="宋体" w:hAnsi="宋体" w:cs="宋体"/>
          <w:color w:val="auto"/>
          <w:sz w:val="28"/>
          <w:szCs w:val="28"/>
          <w:highlight w:val="none"/>
          <w:lang w:val="en-US" w:eastAsia="zh-CN"/>
        </w:rPr>
        <w:t>4台便携式升降装置开展2026年度预防性试验</w:t>
      </w:r>
      <w:r>
        <w:rPr>
          <w:rFonts w:hint="eastAsia" w:ascii="宋体" w:hAnsi="宋体" w:eastAsia="宋体" w:cs="宋体"/>
          <w:color w:val="auto"/>
          <w:sz w:val="28"/>
          <w:szCs w:val="28"/>
          <w:highlight w:val="none"/>
        </w:rPr>
        <w:t>。</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sz w:val="28"/>
          <w:szCs w:val="28"/>
          <w:highlight w:val="none"/>
          <w:lang w:val="en-US" w:eastAsia="zh-CN"/>
        </w:rPr>
        <w:t>4台便携式升降装置预防性试验</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2.2服务期限：</w:t>
      </w:r>
      <w:r>
        <w:rPr>
          <w:rFonts w:hint="eastAsia" w:ascii="宋体" w:hAnsi="宋体" w:cs="宋体"/>
          <w:color w:val="auto"/>
          <w:sz w:val="28"/>
          <w:szCs w:val="28"/>
          <w:highlight w:val="none"/>
          <w:u w:val="single"/>
          <w:lang w:val="en-US" w:eastAsia="zh-CN"/>
        </w:rPr>
        <w:t>成交之日起60天内</w:t>
      </w:r>
      <w:r>
        <w:rPr>
          <w:rFonts w:hint="eastAsia" w:ascii="宋体" w:hAnsi="宋体" w:eastAsia="宋体" w:cs="宋体"/>
          <w:b w:val="0"/>
          <w:bCs/>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2.3项目服务地点：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中国（云南）自由贸易试验区昆明片区经开区出口加工区玉缘路21号</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2.4其他要求：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outlineLvl w:val="9"/>
        <w:rPr>
          <w:rFonts w:hint="eastAsia" w:ascii="宋体" w:hAnsi="宋体" w:cs="宋体"/>
          <w:color w:val="auto"/>
          <w:sz w:val="28"/>
          <w:szCs w:val="28"/>
          <w:highlight w:val="none"/>
          <w:u w:val="none"/>
          <w:lang w:val="en-US" w:eastAsia="zh-CN"/>
        </w:rPr>
      </w:pPr>
      <w:r>
        <w:rPr>
          <w:rFonts w:hint="eastAsia" w:ascii="宋体" w:hAnsi="宋体" w:cs="宋体"/>
          <w:color w:val="auto"/>
          <w:sz w:val="28"/>
          <w:szCs w:val="28"/>
          <w:highlight w:val="none"/>
          <w:u w:val="none"/>
          <w:lang w:val="en-US" w:eastAsia="zh-CN"/>
        </w:rPr>
        <w:t>1）预防性试验方法及项目：带电作业用便携式升降装置（DL/T 2652—2023）中规定的预防性试验，具体项目为：静负荷试验、动负荷试验、缓降及自锁试验、过载保护试验。</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u w:val="none"/>
          <w:lang w:val="en-US" w:eastAsia="zh-CN"/>
        </w:rPr>
        <w:t>2）预防性试验对象：便</w:t>
      </w:r>
      <w:r>
        <w:rPr>
          <w:rFonts w:hint="eastAsia" w:ascii="宋体" w:hAnsi="宋体" w:cs="宋体"/>
          <w:color w:val="auto"/>
          <w:sz w:val="28"/>
          <w:szCs w:val="28"/>
          <w:highlight w:val="none"/>
          <w:lang w:val="en-US" w:eastAsia="zh-CN"/>
        </w:rPr>
        <w:t>携式升降装置主机，数量4台。</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3）试验合格证有效期1年，报告出具单位须具有CNAS/CMA资质，报告中列写的检测项目须获得CNAS/CMA认可。</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2.5采购明细详见</w:t>
      </w:r>
      <w:r>
        <w:rPr>
          <w:rFonts w:hint="eastAsia" w:ascii="宋体" w:hAnsi="宋体" w:cs="宋体"/>
          <w:color w:val="auto"/>
          <w:sz w:val="28"/>
          <w:szCs w:val="28"/>
          <w:highlight w:val="none"/>
          <w:lang w:val="en-US" w:eastAsia="zh-CN"/>
        </w:rPr>
        <w:t>：无。</w:t>
      </w:r>
    </w:p>
    <w:bookmarkEnd w:id="0"/>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bookmarkStart w:id="3" w:name="_GoBack"/>
      <w:bookmarkEnd w:id="3"/>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spacing w:line="240" w:lineRule="auto"/>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24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86" w:type="dxa"/>
            <w:noWrap w:val="0"/>
            <w:vAlign w:val="center"/>
          </w:tcPr>
          <w:p>
            <w:pPr>
              <w:adjustRightInd w:val="0"/>
              <w:snapToGrid w:val="0"/>
              <w:spacing w:line="24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686" w:type="dxa"/>
            <w:noWrap w:val="0"/>
            <w:vAlign w:val="center"/>
          </w:tcPr>
          <w:p>
            <w:pPr>
              <w:adjustRightInd w:val="0"/>
              <w:snapToGrid w:val="0"/>
              <w:spacing w:line="240" w:lineRule="auto"/>
              <w:ind w:left="0" w:leftChars="0" w:firstLine="0" w:firstLineChars="0"/>
              <w:jc w:val="center"/>
              <w:rPr>
                <w:rFonts w:hint="default" w:ascii="宋体" w:hAnsi="宋体" w:cs="Times New Roman"/>
                <w:color w:val="auto"/>
                <w:kern w:val="2"/>
                <w:sz w:val="24"/>
                <w:szCs w:val="22"/>
                <w:highlight w:val="none"/>
                <w:vertAlign w:val="baseline"/>
                <w:lang w:val="en-US" w:eastAsia="zh-CN" w:bidi="ar-SA"/>
              </w:rPr>
            </w:pPr>
            <w:r>
              <w:rPr>
                <w:rFonts w:hint="eastAsia" w:ascii="宋体" w:hAnsi="宋体" w:cs="Times New Roman"/>
                <w:color w:val="auto"/>
                <w:sz w:val="24"/>
                <w:highlight w:val="none"/>
                <w:vertAlign w:val="baseline"/>
                <w:lang w:val="en-US" w:eastAsia="zh-CN"/>
              </w:rPr>
              <w:t>3.5</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b/>
                <w:bCs/>
                <w:color w:val="auto"/>
                <w:kern w:val="2"/>
                <w:sz w:val="24"/>
                <w:szCs w:val="22"/>
                <w:highlight w:val="none"/>
                <w:vertAlign w:val="baseline"/>
                <w:lang w:val="en-US" w:eastAsia="zh-CN" w:bidi="ar-SA"/>
              </w:rPr>
            </w:pPr>
            <w:r>
              <w:rPr>
                <w:rFonts w:hint="eastAsia" w:ascii="宋体" w:hAnsi="宋体" w:cs="Times New Roman"/>
                <w:color w:val="auto"/>
                <w:sz w:val="24"/>
                <w:highlight w:val="none"/>
                <w:vertAlign w:val="baseline"/>
              </w:rPr>
              <w:t>检测机构资质应在国家市场监督管理总局、CNAS官网可查，报告真实有效、无涂改伪造。若报告未同时具备双章、资质过期或内容虚假，视为乙方违约，甲方有权不予验收、拒付货款，并追究乙方违约责任。</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4.2.1卖方应严格执行国家现行法规、规章，行业的规范，确保提供的产品或服务符合相关规定。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4.2.3卖方应妥善作好买方所提供的文件资料的保存、回收及保密工作，不得泄漏、传播与监造设备有关的技术秘密和商业秘密。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4.2.4卖方完成本次投标活动视为接受并认可本采购文件所有条款。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4.2.5卖方所提供的产品或服务应不涉及知识产权纠纷，若出现任何知识产权问题，由卖方承担全部责任。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4.2.6其他要求</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 xml:space="preserve"> 卖方为执行本项目所发生的其他一切费用均已包含在总价中（包含运杂费、服务/产品费、税费等），若单价×数量之和与总价有差异，以单价×数量之和为准。 </w:t>
      </w:r>
    </w:p>
    <w:p>
      <w:pPr>
        <w:spacing w:line="360" w:lineRule="auto"/>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五、违约责任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eastAsia" w:ascii="宋体" w:hAnsi="宋体" w:cs="宋体"/>
          <w:color w:val="auto"/>
          <w:spacing w:val="-1"/>
          <w:szCs w:val="21"/>
          <w:highlight w:val="none"/>
          <w:lang w:val="en-US" w:eastAsia="zh-CN"/>
        </w:rPr>
      </w:pPr>
      <w:r>
        <w:rPr>
          <w:rFonts w:hint="eastAsia" w:ascii="宋体" w:hAnsi="宋体" w:eastAsia="宋体" w:cs="宋体"/>
          <w:color w:val="auto"/>
          <w:sz w:val="28"/>
          <w:szCs w:val="28"/>
          <w:highlight w:val="none"/>
          <w:lang w:val="en-US" w:eastAsia="zh-CN"/>
        </w:rPr>
        <w:t>5.3卖方与买方若存在纠纷，应友好协商解决，若存在诉讼，应在买方所在地提起诉讼或仲裁。</w:t>
      </w:r>
    </w:p>
    <w:p>
      <w:pPr>
        <w:adjustRightInd w:val="0"/>
        <w:snapToGrid w:val="0"/>
        <w:spacing w:before="156" w:line="360" w:lineRule="auto"/>
        <w:jc w:val="left"/>
        <w:outlineLvl w:val="0"/>
        <w:rPr>
          <w:rFonts w:hint="eastAsia" w:ascii="宋体" w:hAnsi="宋体" w:cs="宋体"/>
          <w:color w:val="auto"/>
          <w:spacing w:val="-1"/>
          <w:szCs w:val="21"/>
          <w:highlight w:val="none"/>
          <w:lang w:val="en-US" w:eastAsia="zh-CN"/>
        </w:rPr>
      </w:pPr>
      <w:r>
        <w:rPr>
          <w:rFonts w:hint="eastAsia"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3735"/>
        <w:gridCol w:w="2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700" w:type="dxa"/>
            <w:noWrap w:val="0"/>
            <w:vAlign w:val="center"/>
          </w:tcPr>
          <w:p>
            <w:pPr>
              <w:spacing w:line="24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pPr>
              <w:adjustRightInd w:val="0"/>
              <w:snapToGrid w:val="0"/>
              <w:spacing w:beforeLines="0" w:afterLines="0" w:line="24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075" w:type="dxa"/>
            <w:noWrap w:val="0"/>
            <w:vAlign w:val="center"/>
          </w:tcPr>
          <w:p>
            <w:pPr>
              <w:adjustRightInd w:val="0"/>
              <w:snapToGrid w:val="0"/>
              <w:spacing w:beforeLines="0" w:afterLines="0" w:line="240" w:lineRule="auto"/>
              <w:jc w:val="center"/>
              <w:rPr>
                <w:rFonts w:hint="eastAsia" w:ascii="宋体" w:hAnsi="宋体" w:eastAsia="宋体" w:cs="宋体"/>
                <w:b/>
                <w:bCs/>
                <w:color w:val="auto"/>
                <w:kern w:val="0"/>
                <w:sz w:val="18"/>
                <w:szCs w:val="20"/>
                <w:highlight w:val="none"/>
                <w:lang w:eastAsia="zh-CN"/>
              </w:rPr>
            </w:pPr>
            <w:r>
              <w:rPr>
                <w:rFonts w:hint="eastAsia" w:ascii="宋体" w:hAnsi="宋体" w:eastAsia="宋体"/>
                <w:b/>
                <w:color w:val="auto"/>
                <w:kern w:val="0"/>
                <w:sz w:val="18"/>
                <w:szCs w:val="21"/>
                <w:highlight w:val="none"/>
                <w:lang w:eastAsia="zh-CN"/>
              </w:rPr>
              <w:t>型号</w:t>
            </w:r>
          </w:p>
        </w:tc>
        <w:tc>
          <w:tcPr>
            <w:tcW w:w="3735" w:type="dxa"/>
            <w:noWrap w:val="0"/>
            <w:vAlign w:val="center"/>
          </w:tcPr>
          <w:p>
            <w:pPr>
              <w:adjustRightInd w:val="0"/>
              <w:snapToGrid w:val="0"/>
              <w:spacing w:beforeLines="0" w:afterLines="0" w:line="24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2732" w:type="dxa"/>
            <w:noWrap w:val="0"/>
            <w:vAlign w:val="center"/>
          </w:tcPr>
          <w:p>
            <w:pPr>
              <w:adjustRightInd w:val="0"/>
              <w:snapToGrid w:val="0"/>
              <w:spacing w:beforeLines="0" w:afterLines="0" w:line="24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700" w:type="dxa"/>
            <w:noWrap w:val="0"/>
            <w:vAlign w:val="center"/>
          </w:tcPr>
          <w:p>
            <w:pPr>
              <w:adjustRightInd w:val="0"/>
              <w:snapToGrid w:val="0"/>
              <w:spacing w:beforeLines="0" w:afterLines="0" w:line="240" w:lineRule="auto"/>
              <w:jc w:val="center"/>
              <w:rPr>
                <w:rFonts w:hint="eastAsia" w:ascii="宋体" w:hAnsi="宋体" w:cs="宋体"/>
                <w:b/>
                <w:bCs/>
                <w:color w:val="auto"/>
                <w:kern w:val="0"/>
                <w:sz w:val="18"/>
                <w:szCs w:val="20"/>
                <w:highlight w:val="none"/>
              </w:rPr>
            </w:pPr>
            <w:r>
              <w:rPr>
                <w:rFonts w:hint="default" w:ascii="宋体" w:hAnsi="宋体" w:eastAsia="宋体"/>
                <w:color w:val="auto"/>
                <w:kern w:val="0"/>
                <w:sz w:val="18"/>
                <w:szCs w:val="21"/>
                <w:highlight w:val="none"/>
              </w:rPr>
              <w:t>1</w:t>
            </w:r>
          </w:p>
        </w:tc>
        <w:tc>
          <w:tcPr>
            <w:tcW w:w="1987" w:type="dxa"/>
            <w:noWrap w:val="0"/>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cs="宋体"/>
                <w:b w:val="0"/>
                <w:bCs w:val="0"/>
                <w:color w:val="auto"/>
                <w:kern w:val="0"/>
                <w:sz w:val="18"/>
                <w:szCs w:val="18"/>
                <w:highlight w:val="none"/>
                <w:lang w:val="en-US" w:eastAsia="zh-CN"/>
              </w:rPr>
              <w:t>电动升降装置</w:t>
            </w:r>
          </w:p>
        </w:tc>
        <w:tc>
          <w:tcPr>
            <w:tcW w:w="1075" w:type="dxa"/>
            <w:noWrap w:val="0"/>
            <w:vAlign w:val="center"/>
          </w:tcPr>
          <w:p>
            <w:pPr>
              <w:adjustRightInd w:val="0"/>
              <w:snapToGrid w:val="0"/>
              <w:spacing w:beforeLines="0" w:afterLines="0" w:line="240" w:lineRule="auto"/>
              <w:jc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cs="宋体"/>
                <w:b/>
                <w:i w:val="0"/>
                <w:color w:val="auto"/>
                <w:kern w:val="0"/>
                <w:sz w:val="18"/>
                <w:szCs w:val="18"/>
                <w:highlight w:val="none"/>
                <w:u w:val="none"/>
                <w:lang w:val="en-US" w:eastAsia="zh-CN" w:bidi="ar"/>
              </w:rPr>
              <w:t>ACC</w:t>
            </w:r>
            <w:r>
              <w:rPr>
                <w:rFonts w:hint="eastAsia" w:ascii="宋体" w:hAnsi="宋体" w:eastAsia="宋体" w:cs="宋体"/>
                <w:b/>
                <w:i w:val="0"/>
                <w:color w:val="auto"/>
                <w:kern w:val="0"/>
                <w:sz w:val="18"/>
                <w:szCs w:val="18"/>
                <w:highlight w:val="none"/>
                <w:u w:val="none"/>
                <w:lang w:val="en-US" w:eastAsia="zh-CN" w:bidi="ar"/>
              </w:rPr>
              <w:t>Ⅱ</w:t>
            </w:r>
          </w:p>
        </w:tc>
        <w:tc>
          <w:tcPr>
            <w:tcW w:w="3735" w:type="dxa"/>
            <w:noWrap w:val="0"/>
            <w:vAlign w:val="center"/>
          </w:tcPr>
          <w:p>
            <w:pPr>
              <w:keepNext w:val="0"/>
              <w:keepLines w:val="0"/>
              <w:widowControl/>
              <w:suppressLineNumbers w:val="0"/>
              <w:spacing w:line="240" w:lineRule="auto"/>
              <w:jc w:val="center"/>
              <w:textAlignment w:val="center"/>
              <w:rPr>
                <w:rFonts w:hint="default" w:ascii="宋体" w:hAnsi="宋体" w:eastAsia="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w:t>
            </w:r>
            <w:r>
              <w:rPr>
                <w:rFonts w:hint="default" w:ascii="宋体" w:hAnsi="宋体" w:eastAsia="宋体" w:cs="宋体"/>
                <w:color w:val="auto"/>
                <w:kern w:val="2"/>
                <w:sz w:val="18"/>
                <w:szCs w:val="18"/>
                <w:highlight w:val="none"/>
                <w:lang w:val="en-US" w:eastAsia="zh-CN" w:bidi="ar-SA"/>
              </w:rPr>
              <w:drawing>
                <wp:inline distT="0" distB="0" distL="114300" distR="114300">
                  <wp:extent cx="1120140" cy="830580"/>
                  <wp:effectExtent l="0" t="0" r="3810" b="7620"/>
                  <wp:docPr id="5" name="图片 5" descr="clipbord_177615289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lipbord_1776152891746"/>
                          <pic:cNvPicPr>
                            <a:picLocks noChangeAspect="1"/>
                          </pic:cNvPicPr>
                        </pic:nvPicPr>
                        <pic:blipFill>
                          <a:blip r:embed="rId9"/>
                          <a:stretch>
                            <a:fillRect/>
                          </a:stretch>
                        </pic:blipFill>
                        <pic:spPr>
                          <a:xfrm>
                            <a:off x="0" y="0"/>
                            <a:ext cx="1120140" cy="830580"/>
                          </a:xfrm>
                          <a:prstGeom prst="rect">
                            <a:avLst/>
                          </a:prstGeom>
                        </pic:spPr>
                      </pic:pic>
                    </a:graphicData>
                  </a:graphic>
                </wp:inline>
              </w:drawing>
            </w:r>
          </w:p>
        </w:tc>
        <w:tc>
          <w:tcPr>
            <w:tcW w:w="2732" w:type="dxa"/>
            <w:noWrap w:val="0"/>
            <w:vAlign w:val="center"/>
          </w:tcPr>
          <w:p>
            <w:pPr>
              <w:adjustRightInd w:val="0"/>
              <w:snapToGrid w:val="0"/>
              <w:spacing w:line="240" w:lineRule="auto"/>
              <w:jc w:val="center"/>
              <w:rPr>
                <w:rFonts w:hint="default" w:ascii="宋体" w:hAnsi="宋体" w:eastAsia="宋体" w:cs="宋体"/>
                <w:b w:val="0"/>
                <w:bCs w:val="0"/>
                <w:color w:val="FF0000"/>
                <w:kern w:val="0"/>
                <w:sz w:val="18"/>
                <w:szCs w:val="18"/>
                <w:highlight w:val="none"/>
                <w:lang w:val="en-US" w:eastAsia="zh-CN" w:bidi="ar-SA"/>
              </w:rPr>
            </w:pPr>
            <w:r>
              <w:rPr>
                <w:rFonts w:hint="default" w:ascii="宋体" w:hAnsi="宋体" w:eastAsia="宋体" w:cs="宋体"/>
                <w:b w:val="0"/>
                <w:bCs w:val="0"/>
                <w:color w:val="FF0000"/>
                <w:kern w:val="0"/>
                <w:sz w:val="18"/>
                <w:szCs w:val="18"/>
                <w:highlight w:val="none"/>
                <w:lang w:val="en-US" w:eastAsia="zh-CN" w:bidi="ar-SA"/>
              </w:rPr>
              <w:drawing>
                <wp:inline distT="0" distB="0" distL="114300" distR="114300">
                  <wp:extent cx="1088390" cy="1226185"/>
                  <wp:effectExtent l="0" t="0" r="16510" b="12065"/>
                  <wp:docPr id="6" name="图片 6" descr="clipbord_1776153435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lipbord_1776153435800"/>
                          <pic:cNvPicPr>
                            <a:picLocks noChangeAspect="1"/>
                          </pic:cNvPicPr>
                        </pic:nvPicPr>
                        <pic:blipFill>
                          <a:blip r:embed="rId10"/>
                          <a:stretch>
                            <a:fillRect/>
                          </a:stretch>
                        </pic:blipFill>
                        <pic:spPr>
                          <a:xfrm>
                            <a:off x="0" y="0"/>
                            <a:ext cx="1088390" cy="1226185"/>
                          </a:xfrm>
                          <a:prstGeom prst="rect">
                            <a:avLst/>
                          </a:prstGeom>
                        </pic:spPr>
                      </pic:pic>
                    </a:graphicData>
                  </a:graphic>
                </wp:inline>
              </w:drawing>
            </w:r>
          </w:p>
        </w:tc>
      </w:tr>
    </w:tbl>
    <w:p>
      <w:pPr>
        <w:numPr>
          <w:ilvl w:val="0"/>
          <w:numId w:val="0"/>
        </w:numPr>
        <w:spacing w:line="360" w:lineRule="auto"/>
        <w:jc w:val="left"/>
        <w:outlineLvl w:val="9"/>
        <w:rPr>
          <w:rFonts w:hint="eastAsia" w:cs="Times New Roman"/>
          <w:b/>
          <w:color w:val="auto"/>
          <w:sz w:val="28"/>
          <w:szCs w:val="28"/>
          <w:highlight w:val="none"/>
          <w:lang w:val="en-US" w:eastAsia="zh-CN"/>
        </w:rPr>
      </w:pPr>
    </w:p>
    <w:p>
      <w:pPr>
        <w:adjustRightInd w:val="0"/>
        <w:snapToGrid w:val="0"/>
        <w:spacing w:before="156" w:line="360" w:lineRule="auto"/>
        <w:jc w:val="left"/>
        <w:outlineLvl w:val="0"/>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附件1：（报价表仅需打印以下页面即可）</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XXX公司</w:t>
      </w:r>
      <w:r>
        <w:rPr>
          <w:rFonts w:hint="eastAsia" w:ascii="宋体" w:hAnsi="宋体" w:eastAsia="宋体" w:cs="宋体"/>
          <w:b/>
          <w:bCs/>
          <w:color w:val="auto"/>
          <w:sz w:val="28"/>
          <w:szCs w:val="28"/>
          <w:highlight w:val="none"/>
        </w:rPr>
        <w:t>报价表</w:t>
      </w: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1050"/>
        <w:gridCol w:w="688"/>
        <w:gridCol w:w="872"/>
        <w:gridCol w:w="1125"/>
        <w:gridCol w:w="2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项目名称</w:t>
            </w:r>
          </w:p>
        </w:tc>
        <w:tc>
          <w:tcPr>
            <w:tcW w:w="1075" w:type="dxa"/>
            <w:noWrap w:val="0"/>
            <w:vAlign w:val="center"/>
          </w:tcPr>
          <w:p>
            <w:pPr>
              <w:adjustRightInd w:val="0"/>
              <w:snapToGrid w:val="0"/>
              <w:spacing w:beforeLines="0" w:afterLines="0" w:line="360" w:lineRule="auto"/>
              <w:jc w:val="center"/>
              <w:rPr>
                <w:rFonts w:hint="default" w:ascii="宋体" w:hAnsi="宋体" w:eastAsia="宋体"/>
                <w:b/>
                <w:color w:val="auto"/>
                <w:kern w:val="0"/>
                <w:sz w:val="18"/>
                <w:szCs w:val="21"/>
                <w:highlight w:val="none"/>
              </w:rPr>
            </w:pPr>
            <w:r>
              <w:rPr>
                <w:rFonts w:hint="default" w:ascii="宋体" w:hAnsi="宋体" w:eastAsia="宋体"/>
                <w:b/>
                <w:color w:val="auto"/>
                <w:kern w:val="0"/>
                <w:sz w:val="18"/>
                <w:szCs w:val="21"/>
                <w:highlight w:val="none"/>
              </w:rPr>
              <w:t>总价</w:t>
            </w:r>
          </w:p>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w:t>
            </w:r>
            <w:r>
              <w:rPr>
                <w:rFonts w:hint="eastAsia" w:ascii="宋体" w:hAnsi="宋体"/>
                <w:b/>
                <w:color w:val="auto"/>
                <w:kern w:val="0"/>
                <w:sz w:val="18"/>
                <w:szCs w:val="21"/>
                <w:highlight w:val="none"/>
                <w:lang w:val="en-US" w:eastAsia="zh-CN"/>
              </w:rPr>
              <w:t>含税</w:t>
            </w:r>
            <w:r>
              <w:rPr>
                <w:rFonts w:hint="default" w:ascii="宋体" w:hAnsi="宋体" w:eastAsia="宋体"/>
                <w:b/>
                <w:color w:val="auto"/>
                <w:kern w:val="0"/>
                <w:sz w:val="18"/>
                <w:szCs w:val="21"/>
                <w:highlight w:val="none"/>
              </w:rPr>
              <w:t>）</w:t>
            </w:r>
          </w:p>
        </w:tc>
        <w:tc>
          <w:tcPr>
            <w:tcW w:w="1050" w:type="dxa"/>
            <w:noWrap w:val="0"/>
            <w:vAlign w:val="center"/>
          </w:tcPr>
          <w:p>
            <w:pPr>
              <w:adjustRightInd w:val="0"/>
              <w:snapToGrid w:val="0"/>
              <w:spacing w:beforeLines="0" w:afterLines="0" w:line="360" w:lineRule="auto"/>
              <w:jc w:val="center"/>
              <w:rPr>
                <w:rFonts w:hint="eastAsia" w:ascii="宋体" w:hAnsi="宋体"/>
                <w:b/>
                <w:color w:val="auto"/>
                <w:kern w:val="0"/>
                <w:sz w:val="18"/>
                <w:szCs w:val="21"/>
                <w:highlight w:val="none"/>
                <w:lang w:val="en-US" w:eastAsia="zh-CN"/>
              </w:rPr>
            </w:pPr>
            <w:r>
              <w:rPr>
                <w:rFonts w:hint="eastAsia" w:ascii="宋体" w:hAnsi="宋体"/>
                <w:b/>
                <w:color w:val="auto"/>
                <w:kern w:val="0"/>
                <w:sz w:val="18"/>
                <w:szCs w:val="21"/>
                <w:highlight w:val="none"/>
                <w:lang w:val="en-US" w:eastAsia="zh-CN"/>
              </w:rPr>
              <w:t>总价</w:t>
            </w:r>
          </w:p>
          <w:p>
            <w:pPr>
              <w:adjustRightInd w:val="0"/>
              <w:snapToGrid w:val="0"/>
              <w:spacing w:beforeLines="0" w:afterLines="0" w:line="360" w:lineRule="auto"/>
              <w:jc w:val="center"/>
              <w:rPr>
                <w:rFonts w:hint="eastAsia" w:ascii="宋体" w:hAnsi="宋体" w:eastAsia="宋体"/>
                <w:b/>
                <w:color w:val="auto"/>
                <w:kern w:val="0"/>
                <w:sz w:val="18"/>
                <w:szCs w:val="21"/>
                <w:highlight w:val="none"/>
                <w:lang w:val="en-US" w:eastAsia="zh-CN"/>
              </w:rPr>
            </w:pPr>
            <w:r>
              <w:rPr>
                <w:rFonts w:hint="eastAsia" w:ascii="宋体" w:hAnsi="宋体"/>
                <w:b/>
                <w:color w:val="auto"/>
                <w:kern w:val="0"/>
                <w:sz w:val="18"/>
                <w:szCs w:val="21"/>
                <w:highlight w:val="none"/>
                <w:lang w:val="en-US" w:eastAsia="zh-CN"/>
              </w:rPr>
              <w:t>（不含税）</w:t>
            </w:r>
          </w:p>
        </w:tc>
        <w:tc>
          <w:tcPr>
            <w:tcW w:w="688"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cs="宋体"/>
                <w:b/>
                <w:bCs/>
                <w:color w:val="auto"/>
                <w:kern w:val="0"/>
                <w:sz w:val="18"/>
                <w:szCs w:val="20"/>
                <w:highlight w:val="none"/>
                <w:lang w:eastAsia="zh-CN"/>
              </w:rPr>
              <w:t>税率</w:t>
            </w:r>
          </w:p>
        </w:tc>
        <w:tc>
          <w:tcPr>
            <w:tcW w:w="872"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none"/>
                <w:lang w:eastAsia="zh-CN"/>
              </w:rPr>
            </w:pPr>
            <w:r>
              <w:rPr>
                <w:rFonts w:hint="eastAsia" w:ascii="宋体" w:hAnsi="宋体" w:cs="宋体"/>
                <w:b/>
                <w:bCs/>
                <w:color w:val="auto"/>
                <w:kern w:val="0"/>
                <w:sz w:val="18"/>
                <w:szCs w:val="20"/>
                <w:highlight w:val="none"/>
                <w:lang w:eastAsia="zh-CN"/>
              </w:rPr>
              <w:t>服务时间</w:t>
            </w:r>
          </w:p>
        </w:tc>
        <w:tc>
          <w:tcPr>
            <w:tcW w:w="1125"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服务</w:t>
            </w:r>
            <w:r>
              <w:rPr>
                <w:rFonts w:hint="default" w:ascii="宋体" w:hAnsi="宋体" w:eastAsia="宋体"/>
                <w:b/>
                <w:color w:val="auto"/>
                <w:kern w:val="0"/>
                <w:sz w:val="18"/>
                <w:szCs w:val="21"/>
                <w:highlight w:val="none"/>
              </w:rPr>
              <w:t>地址</w:t>
            </w:r>
          </w:p>
        </w:tc>
        <w:tc>
          <w:tcPr>
            <w:tcW w:w="2732"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none"/>
              </w:rPr>
            </w:pPr>
            <w:r>
              <w:rPr>
                <w:rFonts w:hint="default" w:ascii="宋体" w:hAnsi="宋体" w:eastAsia="宋体"/>
                <w:color w:val="auto"/>
                <w:kern w:val="0"/>
                <w:sz w:val="18"/>
                <w:szCs w:val="21"/>
                <w:highlight w:val="none"/>
              </w:rPr>
              <w:t>1</w:t>
            </w: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val="0"/>
                <w:bCs w:val="0"/>
                <w:color w:val="auto"/>
                <w:kern w:val="0"/>
                <w:sz w:val="18"/>
                <w:szCs w:val="18"/>
                <w:highlight w:val="none"/>
                <w:lang w:val="en-US" w:eastAsia="zh-CN"/>
              </w:rPr>
              <w:t>超高压输电公司昆明局2026年便携式升降装置预防性试验零星采购项目</w:t>
            </w:r>
          </w:p>
        </w:tc>
        <w:tc>
          <w:tcPr>
            <w:tcW w:w="1075" w:type="dxa"/>
            <w:noWrap w:val="0"/>
            <w:vAlign w:val="center"/>
          </w:tcPr>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val="0"/>
                <w:bCs w:val="0"/>
                <w:color w:val="auto"/>
                <w:kern w:val="0"/>
                <w:sz w:val="18"/>
                <w:szCs w:val="18"/>
                <w:highlight w:val="none"/>
                <w:u w:val="single"/>
                <w:lang w:val="en-US" w:eastAsia="zh-CN"/>
              </w:rPr>
              <w:t xml:space="preserve">       </w:t>
            </w:r>
            <w:r>
              <w:rPr>
                <w:rFonts w:hint="eastAsia" w:ascii="宋体" w:hAnsi="宋体" w:eastAsia="宋体" w:cs="宋体"/>
                <w:b w:val="0"/>
                <w:bCs w:val="0"/>
                <w:color w:val="auto"/>
                <w:kern w:val="0"/>
                <w:sz w:val="18"/>
                <w:szCs w:val="18"/>
                <w:highlight w:val="none"/>
                <w:lang w:val="en-US" w:eastAsia="zh-CN"/>
              </w:rPr>
              <w:t>元</w:t>
            </w:r>
          </w:p>
        </w:tc>
        <w:tc>
          <w:tcPr>
            <w:tcW w:w="1050" w:type="dxa"/>
            <w:noWrap w:val="0"/>
            <w:vAlign w:val="center"/>
          </w:tcPr>
          <w:p>
            <w:pPr>
              <w:adjustRightInd w:val="0"/>
              <w:snapToGrid w:val="0"/>
              <w:spacing w:beforeLines="0" w:afterLines="0" w:line="360" w:lineRule="auto"/>
              <w:jc w:val="center"/>
              <w:rPr>
                <w:rFonts w:hint="eastAsia" w:ascii="宋体" w:hAnsi="宋体" w:eastAsia="宋体" w:cs="宋体"/>
                <w:b w:val="0"/>
                <w:bCs w:val="0"/>
                <w:color w:val="auto"/>
                <w:kern w:val="0"/>
                <w:sz w:val="15"/>
                <w:szCs w:val="16"/>
                <w:highlight w:val="none"/>
                <w:lang w:val="en-US" w:eastAsia="zh-CN"/>
              </w:rPr>
            </w:pPr>
            <w:r>
              <w:rPr>
                <w:rFonts w:hint="eastAsia" w:ascii="宋体" w:hAnsi="宋体" w:eastAsia="宋体" w:cs="宋体"/>
                <w:b w:val="0"/>
                <w:bCs w:val="0"/>
                <w:color w:val="auto"/>
                <w:kern w:val="0"/>
                <w:sz w:val="18"/>
                <w:szCs w:val="18"/>
                <w:highlight w:val="none"/>
                <w:u w:val="single"/>
                <w:lang w:val="en-US" w:eastAsia="zh-CN"/>
              </w:rPr>
              <w:t xml:space="preserve">       </w:t>
            </w:r>
            <w:r>
              <w:rPr>
                <w:rFonts w:hint="eastAsia" w:ascii="宋体" w:hAnsi="宋体" w:eastAsia="宋体" w:cs="宋体"/>
                <w:b w:val="0"/>
                <w:bCs w:val="0"/>
                <w:color w:val="auto"/>
                <w:kern w:val="0"/>
                <w:sz w:val="18"/>
                <w:szCs w:val="18"/>
                <w:highlight w:val="none"/>
                <w:lang w:val="en-US" w:eastAsia="zh-CN"/>
              </w:rPr>
              <w:t>元</w:t>
            </w:r>
            <w:r>
              <w:rPr>
                <w:rFonts w:hint="eastAsia" w:ascii="宋体" w:hAnsi="宋体" w:eastAsia="宋体" w:cs="宋体"/>
                <w:b w:val="0"/>
                <w:bCs w:val="0"/>
                <w:color w:val="auto"/>
                <w:kern w:val="0"/>
                <w:sz w:val="15"/>
                <w:szCs w:val="16"/>
                <w:highlight w:val="none"/>
                <w:lang w:val="en-US" w:eastAsia="zh-CN"/>
              </w:rPr>
              <w:t>计算公式：</w:t>
            </w:r>
          </w:p>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val="0"/>
                <w:bCs w:val="0"/>
                <w:color w:val="auto"/>
                <w:kern w:val="0"/>
                <w:sz w:val="15"/>
                <w:szCs w:val="16"/>
                <w:highlight w:val="none"/>
                <w:lang w:val="en-US" w:eastAsia="zh-CN"/>
              </w:rPr>
              <w:t>含税总价/（1+税率）</w:t>
            </w:r>
          </w:p>
        </w:tc>
        <w:tc>
          <w:tcPr>
            <w:tcW w:w="688" w:type="dxa"/>
            <w:noWrap w:val="0"/>
            <w:vAlign w:val="center"/>
          </w:tcPr>
          <w:p>
            <w:pPr>
              <w:adjustRightInd w:val="0"/>
              <w:snapToGrid w:val="0"/>
              <w:spacing w:beforeLines="0" w:afterLines="0" w:line="360" w:lineRule="auto"/>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b w:val="0"/>
                <w:bCs w:val="0"/>
                <w:color w:val="auto"/>
                <w:kern w:val="0"/>
                <w:sz w:val="18"/>
                <w:szCs w:val="18"/>
                <w:highlight w:val="none"/>
                <w:u w:val="single"/>
                <w:lang w:val="en-US" w:eastAsia="zh-CN"/>
              </w:rPr>
              <w:t xml:space="preserve">    %</w:t>
            </w:r>
          </w:p>
        </w:tc>
        <w:tc>
          <w:tcPr>
            <w:tcW w:w="872" w:type="dxa"/>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highlight w:val="none"/>
                <w:lang w:val="en-US" w:eastAsia="zh-CN" w:bidi="ar-SA"/>
              </w:rPr>
            </w:pPr>
            <w:r>
              <w:rPr>
                <w:rFonts w:hint="eastAsia" w:ascii="宋体" w:hAnsi="宋体" w:cs="宋体"/>
                <w:color w:val="auto"/>
                <w:sz w:val="18"/>
                <w:szCs w:val="18"/>
                <w:highlight w:val="none"/>
                <w:lang w:val="en-US" w:eastAsia="zh-CN"/>
              </w:rPr>
              <w:t>成交之日起60天内</w:t>
            </w:r>
          </w:p>
        </w:tc>
        <w:tc>
          <w:tcPr>
            <w:tcW w:w="1125"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 xml:space="preserve"> </w:t>
            </w:r>
            <w:r>
              <w:rPr>
                <w:rFonts w:hint="eastAsia" w:ascii="宋体" w:hAnsi="宋体" w:cs="宋体"/>
                <w:b w:val="0"/>
                <w:bCs w:val="0"/>
                <w:color w:val="auto"/>
                <w:kern w:val="0"/>
                <w:sz w:val="18"/>
                <w:szCs w:val="18"/>
                <w:highlight w:val="none"/>
                <w:lang w:eastAsia="zh-CN"/>
              </w:rPr>
              <w:t>中国（云南）自由贸易试验区昆明片区经开区出口加工区玉缘路21号。</w:t>
            </w:r>
          </w:p>
        </w:tc>
        <w:tc>
          <w:tcPr>
            <w:tcW w:w="2732" w:type="dxa"/>
            <w:noWrap w:val="0"/>
            <w:vAlign w:val="center"/>
          </w:tcPr>
          <w:p>
            <w:pPr>
              <w:adjustRightInd w:val="0"/>
              <w:snapToGrid w:val="0"/>
              <w:spacing w:line="360" w:lineRule="auto"/>
              <w:jc w:val="both"/>
              <w:rPr>
                <w:rFonts w:hint="eastAsia" w:ascii="宋体" w:hAnsi="宋体" w:eastAsia="宋体" w:cs="宋体"/>
                <w:b w:val="0"/>
                <w:bCs w:val="0"/>
                <w:color w:val="FF0000"/>
                <w:kern w:val="0"/>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0229" w:type="dxa"/>
            <w:gridSpan w:val="8"/>
            <w:noWrap w:val="0"/>
            <w:vAlign w:val="center"/>
          </w:tcPr>
          <w:p>
            <w:pPr>
              <w:adjustRightInd w:val="0"/>
              <w:snapToGrid w:val="0"/>
              <w:spacing w:line="360" w:lineRule="auto"/>
              <w:jc w:val="center"/>
              <w:rPr>
                <w:rFonts w:hint="eastAsia" w:ascii="宋体" w:hAnsi="宋体" w:cs="宋体"/>
                <w:b/>
                <w:bCs/>
                <w:color w:val="auto"/>
                <w:kern w:val="0"/>
                <w:sz w:val="18"/>
                <w:szCs w:val="20"/>
                <w:highlight w:val="none"/>
              </w:rPr>
            </w:pPr>
            <w:r>
              <w:rPr>
                <w:rFonts w:hint="eastAsia" w:ascii="宋体" w:hAnsi="宋体" w:cs="宋体"/>
                <w:b/>
                <w:bCs/>
                <w:color w:val="auto"/>
                <w:kern w:val="0"/>
                <w:sz w:val="18"/>
                <w:szCs w:val="20"/>
                <w:highlight w:val="none"/>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00" w:type="dxa"/>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序号</w:t>
            </w:r>
          </w:p>
        </w:tc>
        <w:tc>
          <w:tcPr>
            <w:tcW w:w="1987" w:type="dxa"/>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采购内容</w:t>
            </w:r>
          </w:p>
        </w:tc>
        <w:tc>
          <w:tcPr>
            <w:tcW w:w="1075" w:type="dxa"/>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单位</w:t>
            </w:r>
          </w:p>
        </w:tc>
        <w:tc>
          <w:tcPr>
            <w:tcW w:w="1050" w:type="dxa"/>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数量</w:t>
            </w:r>
          </w:p>
        </w:tc>
        <w:tc>
          <w:tcPr>
            <w:tcW w:w="1560" w:type="dxa"/>
            <w:gridSpan w:val="2"/>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单价（元）</w:t>
            </w:r>
          </w:p>
        </w:tc>
        <w:tc>
          <w:tcPr>
            <w:tcW w:w="1125" w:type="dxa"/>
            <w:noWrap w:val="0"/>
            <w:vAlign w:val="center"/>
          </w:tcPr>
          <w:p>
            <w:pPr>
              <w:adjustRightInd w:val="0"/>
              <w:snapToGrid w:val="0"/>
              <w:spacing w:line="240" w:lineRule="auto"/>
              <w:jc w:val="center"/>
              <w:rPr>
                <w:rFonts w:hint="default"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小计价格（元）</w:t>
            </w:r>
          </w:p>
        </w:tc>
        <w:tc>
          <w:tcPr>
            <w:tcW w:w="2732" w:type="dxa"/>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00" w:type="dxa"/>
            <w:noWrap w:val="0"/>
            <w:vAlign w:val="center"/>
          </w:tcPr>
          <w:p>
            <w:pPr>
              <w:adjustRightInd w:val="0"/>
              <w:snapToGrid w:val="0"/>
              <w:spacing w:line="360" w:lineRule="auto"/>
              <w:jc w:val="center"/>
              <w:rPr>
                <w:rFonts w:hint="eastAsia" w:ascii="宋体" w:hAnsi="宋体" w:eastAsia="宋体" w:cs="宋体"/>
                <w:color w:val="auto"/>
                <w:kern w:val="0"/>
                <w:sz w:val="20"/>
                <w:szCs w:val="21"/>
                <w:highlight w:val="none"/>
                <w:lang w:val="en-US" w:eastAsia="zh-CN" w:bidi="ar-SA"/>
              </w:rPr>
            </w:pPr>
            <w:r>
              <w:rPr>
                <w:rFonts w:hint="eastAsia" w:ascii="宋体" w:hAnsi="宋体" w:cs="宋体"/>
                <w:color w:val="auto"/>
                <w:kern w:val="0"/>
                <w:sz w:val="20"/>
                <w:szCs w:val="21"/>
                <w:highlight w:val="none"/>
                <w:lang w:val="en-US" w:eastAsia="zh-CN"/>
              </w:rPr>
              <w:t>1</w:t>
            </w:r>
          </w:p>
        </w:tc>
        <w:tc>
          <w:tcPr>
            <w:tcW w:w="1987" w:type="dxa"/>
            <w:noWrap w:val="0"/>
            <w:vAlign w:val="center"/>
          </w:tcPr>
          <w:p>
            <w:pPr>
              <w:keepNext w:val="0"/>
              <w:keepLines w:val="0"/>
              <w:widowControl/>
              <w:suppressLineNumbers w:val="0"/>
              <w:jc w:val="center"/>
              <w:textAlignment w:val="center"/>
              <w:rPr>
                <w:rFonts w:hint="default"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便携式升降装置（主机）预防性试验</w:t>
            </w:r>
          </w:p>
        </w:tc>
        <w:tc>
          <w:tcPr>
            <w:tcW w:w="1075" w:type="dxa"/>
            <w:noWrap w:val="0"/>
            <w:vAlign w:val="center"/>
          </w:tcPr>
          <w:p>
            <w:pPr>
              <w:keepNext w:val="0"/>
              <w:keepLines w:val="0"/>
              <w:widowControl/>
              <w:suppressLineNumbers w:val="0"/>
              <w:jc w:val="center"/>
              <w:textAlignment w:val="center"/>
              <w:rPr>
                <w:rFonts w:hint="default"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台</w:t>
            </w:r>
          </w:p>
        </w:tc>
        <w:tc>
          <w:tcPr>
            <w:tcW w:w="1050" w:type="dxa"/>
            <w:noWrap w:val="0"/>
            <w:vAlign w:val="center"/>
          </w:tcPr>
          <w:p>
            <w:pPr>
              <w:keepNext w:val="0"/>
              <w:keepLines w:val="0"/>
              <w:widowControl/>
              <w:suppressLineNumbers w:val="0"/>
              <w:jc w:val="center"/>
              <w:textAlignment w:val="center"/>
              <w:rPr>
                <w:rFonts w:hint="default"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4</w:t>
            </w:r>
          </w:p>
        </w:tc>
        <w:tc>
          <w:tcPr>
            <w:tcW w:w="1560" w:type="dxa"/>
            <w:gridSpan w:val="2"/>
            <w:noWrap w:val="0"/>
            <w:vAlign w:val="center"/>
          </w:tcPr>
          <w:p>
            <w:pPr>
              <w:adjustRightInd w:val="0"/>
              <w:snapToGrid w:val="0"/>
              <w:spacing w:line="240" w:lineRule="auto"/>
              <w:jc w:val="center"/>
              <w:rPr>
                <w:rFonts w:hint="eastAsia" w:ascii="宋体" w:hAnsi="宋体" w:eastAsia="宋体" w:cs="宋体"/>
                <w:b w:val="0"/>
                <w:bCs w:val="0"/>
                <w:color w:val="auto"/>
                <w:kern w:val="0"/>
                <w:sz w:val="20"/>
                <w:szCs w:val="21"/>
                <w:highlight w:val="none"/>
                <w:lang w:val="en-US" w:eastAsia="zh-CN" w:bidi="ar-SA"/>
              </w:rPr>
            </w:pPr>
          </w:p>
        </w:tc>
        <w:tc>
          <w:tcPr>
            <w:tcW w:w="1125" w:type="dxa"/>
            <w:noWrap w:val="0"/>
            <w:vAlign w:val="center"/>
          </w:tcPr>
          <w:p>
            <w:pPr>
              <w:adjustRightInd w:val="0"/>
              <w:snapToGrid w:val="0"/>
              <w:spacing w:line="240" w:lineRule="auto"/>
              <w:jc w:val="center"/>
              <w:rPr>
                <w:rFonts w:hint="default" w:ascii="宋体" w:hAnsi="宋体" w:cs="宋体"/>
                <w:color w:val="auto"/>
                <w:kern w:val="0"/>
                <w:sz w:val="20"/>
                <w:szCs w:val="21"/>
                <w:highlight w:val="none"/>
                <w:lang w:val="en-US" w:eastAsia="zh-CN" w:bidi="ar-SA"/>
              </w:rPr>
            </w:pPr>
          </w:p>
        </w:tc>
        <w:tc>
          <w:tcPr>
            <w:tcW w:w="2732" w:type="dxa"/>
            <w:noWrap w:val="0"/>
            <w:vAlign w:val="center"/>
          </w:tcPr>
          <w:p>
            <w:pPr>
              <w:adjustRightInd w:val="0"/>
              <w:snapToGrid w:val="0"/>
              <w:spacing w:line="240" w:lineRule="auto"/>
              <w:jc w:val="left"/>
              <w:rPr>
                <w:rFonts w:hint="eastAsia" w:ascii="宋体" w:hAnsi="宋体" w:eastAsia="宋体" w:cs="宋体"/>
                <w:color w:val="auto"/>
                <w:kern w:val="0"/>
                <w:sz w:val="20"/>
                <w:szCs w:val="21"/>
                <w:highlight w:val="none"/>
                <w:lang w:val="en-US" w:eastAsia="zh-CN" w:bidi="ar-SA"/>
              </w:rPr>
            </w:pPr>
            <w:r>
              <w:rPr>
                <w:rFonts w:hint="eastAsia" w:ascii="宋体" w:hAnsi="宋体" w:eastAsia="宋体" w:cs="宋体"/>
                <w:b w:val="0"/>
                <w:bCs w:val="0"/>
                <w:color w:val="auto"/>
                <w:kern w:val="0"/>
                <w:sz w:val="18"/>
                <w:szCs w:val="18"/>
                <w:highlight w:val="none"/>
                <w:lang w:val="en-US" w:eastAsia="zh-CN"/>
              </w:rPr>
              <w:t>试验内容包含静负荷试验、动负荷试验、缓降及自锁试验、过载保护试验</w:t>
            </w:r>
            <w:r>
              <w:rPr>
                <w:rFonts w:hint="eastAsia" w:ascii="宋体" w:hAnsi="宋体" w:cs="宋体"/>
                <w:b w:val="0"/>
                <w:bCs w:val="0"/>
                <w:color w:val="auto"/>
                <w:kern w:val="0"/>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687" w:type="dxa"/>
            <w:gridSpan w:val="2"/>
            <w:noWrap w:val="0"/>
            <w:vAlign w:val="center"/>
          </w:tcPr>
          <w:p>
            <w:pPr>
              <w:adjustRightInd w:val="0"/>
              <w:snapToGrid w:val="0"/>
              <w:spacing w:line="360" w:lineRule="auto"/>
              <w:ind w:firstLine="803" w:firstLineChars="400"/>
              <w:jc w:val="both"/>
              <w:rPr>
                <w:rFonts w:hint="eastAsia" w:ascii="宋体" w:hAnsi="宋体" w:eastAsia="宋体" w:cs="宋体"/>
                <w:b/>
                <w:bCs/>
                <w:color w:val="auto"/>
                <w:kern w:val="0"/>
                <w:sz w:val="20"/>
                <w:szCs w:val="20"/>
                <w:highlight w:val="none"/>
                <w:lang w:val="en-US" w:eastAsia="zh-CN" w:bidi="ar"/>
              </w:rPr>
            </w:pPr>
            <w:r>
              <w:rPr>
                <w:rFonts w:hint="eastAsia" w:ascii="宋体" w:hAnsi="宋体" w:eastAsia="宋体" w:cs="宋体"/>
                <w:b/>
                <w:bCs/>
                <w:color w:val="auto"/>
                <w:kern w:val="0"/>
                <w:sz w:val="20"/>
                <w:szCs w:val="20"/>
                <w:highlight w:val="none"/>
                <w:lang w:val="en-US" w:eastAsia="zh-CN" w:bidi="ar"/>
              </w:rPr>
              <w:t>合计</w:t>
            </w:r>
          </w:p>
        </w:tc>
        <w:tc>
          <w:tcPr>
            <w:tcW w:w="1075" w:type="dxa"/>
            <w:noWrap w:val="0"/>
            <w:vAlign w:val="center"/>
          </w:tcPr>
          <w:p>
            <w:pPr>
              <w:adjustRightInd w:val="0"/>
              <w:snapToGrid w:val="0"/>
              <w:spacing w:line="360" w:lineRule="auto"/>
              <w:jc w:val="center"/>
              <w:rPr>
                <w:rFonts w:hint="eastAsia" w:ascii="宋体" w:hAnsi="宋体" w:cs="宋体"/>
                <w:color w:val="auto"/>
                <w:kern w:val="0"/>
                <w:sz w:val="18"/>
                <w:szCs w:val="20"/>
                <w:highlight w:val="none"/>
              </w:rPr>
            </w:pPr>
          </w:p>
        </w:tc>
        <w:tc>
          <w:tcPr>
            <w:tcW w:w="1050" w:type="dxa"/>
            <w:noWrap w:val="0"/>
            <w:vAlign w:val="center"/>
          </w:tcPr>
          <w:p>
            <w:pPr>
              <w:adjustRightInd w:val="0"/>
              <w:snapToGrid w:val="0"/>
              <w:spacing w:line="360" w:lineRule="auto"/>
              <w:jc w:val="center"/>
              <w:rPr>
                <w:rFonts w:hint="eastAsia" w:ascii="宋体" w:hAnsi="宋体" w:cs="宋体"/>
                <w:color w:val="auto"/>
                <w:kern w:val="0"/>
                <w:sz w:val="18"/>
                <w:szCs w:val="20"/>
                <w:highlight w:val="none"/>
              </w:rPr>
            </w:pPr>
          </w:p>
        </w:tc>
        <w:tc>
          <w:tcPr>
            <w:tcW w:w="1560" w:type="dxa"/>
            <w:gridSpan w:val="2"/>
            <w:noWrap w:val="0"/>
            <w:vAlign w:val="center"/>
          </w:tcPr>
          <w:p>
            <w:pPr>
              <w:adjustRightInd w:val="0"/>
              <w:snapToGrid w:val="0"/>
              <w:spacing w:line="360" w:lineRule="auto"/>
              <w:jc w:val="center"/>
              <w:rPr>
                <w:rFonts w:hint="eastAsia" w:ascii="宋体" w:hAnsi="宋体" w:cs="宋体"/>
                <w:color w:val="auto"/>
                <w:kern w:val="0"/>
                <w:sz w:val="18"/>
                <w:szCs w:val="20"/>
                <w:highlight w:val="none"/>
              </w:rPr>
            </w:pPr>
          </w:p>
        </w:tc>
        <w:tc>
          <w:tcPr>
            <w:tcW w:w="1125" w:type="dxa"/>
            <w:noWrap w:val="0"/>
            <w:vAlign w:val="center"/>
          </w:tcPr>
          <w:p>
            <w:pPr>
              <w:adjustRightInd w:val="0"/>
              <w:snapToGrid w:val="0"/>
              <w:spacing w:line="360" w:lineRule="auto"/>
              <w:jc w:val="center"/>
              <w:rPr>
                <w:rFonts w:hint="default" w:ascii="宋体" w:hAnsi="宋体" w:cs="宋体"/>
                <w:color w:val="auto"/>
                <w:kern w:val="0"/>
                <w:sz w:val="18"/>
                <w:szCs w:val="20"/>
                <w:highlight w:val="none"/>
                <w:lang w:val="en-US" w:eastAsia="zh-CN"/>
              </w:rPr>
            </w:pPr>
          </w:p>
        </w:tc>
        <w:tc>
          <w:tcPr>
            <w:tcW w:w="2732" w:type="dxa"/>
            <w:noWrap w:val="0"/>
            <w:vAlign w:val="center"/>
          </w:tcPr>
          <w:p>
            <w:pPr>
              <w:adjustRightInd w:val="0"/>
              <w:snapToGrid w:val="0"/>
              <w:spacing w:line="360" w:lineRule="auto"/>
              <w:jc w:val="center"/>
              <w:rPr>
                <w:rFonts w:hint="eastAsia" w:ascii="宋体" w:hAnsi="宋体" w:eastAsia="宋体" w:cs="宋体"/>
                <w:b w:val="0"/>
                <w:bCs w:val="0"/>
                <w:color w:val="auto"/>
                <w:kern w:val="0"/>
                <w:sz w:val="18"/>
                <w:szCs w:val="20"/>
                <w:highlight w:val="none"/>
                <w:lang w:val="en-US" w:eastAsia="zh-CN"/>
              </w:rPr>
            </w:pPr>
          </w:p>
        </w:tc>
      </w:tr>
    </w:tbl>
    <w:p>
      <w:pPr>
        <w:spacing w:line="360" w:lineRule="auto"/>
        <w:jc w:val="center"/>
        <w:rPr>
          <w:rFonts w:hint="eastAsia" w:ascii="宋体" w:hAnsi="宋体" w:cs="宋体"/>
          <w:color w:val="auto"/>
          <w:sz w:val="20"/>
          <w:szCs w:val="20"/>
          <w:highlight w:val="none"/>
          <w:lang w:val="en-US" w:eastAsia="zh-CN"/>
        </w:rPr>
      </w:pPr>
      <w:r>
        <w:rPr>
          <w:rFonts w:hint="eastAsia" w:ascii="宋体" w:hAnsi="宋体" w:cs="宋体"/>
          <w:color w:val="auto"/>
          <w:sz w:val="21"/>
          <w:szCs w:val="21"/>
          <w:highlight w:val="none"/>
          <w:lang w:val="en-US" w:eastAsia="zh-CN"/>
        </w:rPr>
        <w:t xml:space="preserve">         联系人：               联系电话：           </w:t>
      </w:r>
      <w:r>
        <w:rPr>
          <w:rFonts w:hint="eastAsia" w:ascii="宋体" w:hAnsi="宋体" w:cs="宋体"/>
          <w:color w:val="auto"/>
          <w:sz w:val="20"/>
          <w:szCs w:val="20"/>
          <w:highlight w:val="none"/>
          <w:lang w:val="en-US" w:eastAsia="zh-CN"/>
        </w:rPr>
        <w:t>(联系不上视为无效报价）</w:t>
      </w:r>
    </w:p>
    <w:p>
      <w:pPr>
        <w:spacing w:line="360" w:lineRule="auto"/>
        <w:jc w:val="center"/>
        <w:rPr>
          <w:rFonts w:hint="eastAsia" w:ascii="宋体" w:hAnsi="宋体" w:cs="宋体"/>
          <w:color w:val="auto"/>
          <w:sz w:val="20"/>
          <w:szCs w:val="20"/>
          <w:highlight w:val="none"/>
          <w:lang w:val="en-US" w:eastAsia="zh-CN"/>
        </w:rPr>
      </w:pPr>
    </w:p>
    <w:p>
      <w:pPr>
        <w:wordWrap/>
        <w:spacing w:line="360" w:lineRule="auto"/>
        <w:jc w:val="right"/>
        <w:rPr>
          <w:rFonts w:hint="default" w:ascii="宋体" w:hAnsi="宋体" w:eastAsia="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XX公司（盖章）</w:t>
      </w:r>
      <w:r>
        <w:rPr>
          <w:rFonts w:hint="eastAsia" w:ascii="宋体" w:hAnsi="宋体" w:cs="宋体"/>
          <w:color w:val="auto"/>
          <w:spacing w:val="-1"/>
          <w:szCs w:val="21"/>
          <w:highlight w:val="none"/>
        </w:rPr>
        <w:t>：</w:t>
      </w:r>
    </w:p>
    <w:p>
      <w:pPr>
        <w:wordWrap/>
        <w:spacing w:line="360" w:lineRule="auto"/>
        <w:jc w:val="right"/>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rPr>
        <w:t>年     月</w:t>
      </w:r>
      <w:r>
        <w:rPr>
          <w:rFonts w:hint="eastAsia" w:ascii="宋体" w:hAnsi="宋体" w:cs="宋体"/>
          <w:color w:val="auto"/>
          <w:spacing w:val="-1"/>
          <w:szCs w:val="21"/>
          <w:highlight w:val="none"/>
          <w:lang w:val="en-US" w:eastAsia="zh-CN"/>
        </w:rPr>
        <w:t xml:space="preserve">    日</w:t>
      </w:r>
    </w:p>
    <w:p>
      <w:pP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说明</w:t>
      </w:r>
      <w:r>
        <w:rPr>
          <w:rFonts w:hint="eastAsia" w:ascii="宋体" w:hAnsi="宋体" w:cs="宋体"/>
          <w:color w:val="auto"/>
          <w:szCs w:val="21"/>
          <w:highlight w:val="none"/>
        </w:rPr>
        <w:t>：</w:t>
      </w:r>
    </w:p>
    <w:p>
      <w:pPr>
        <w:spacing w:line="360" w:lineRule="auto"/>
        <w:rPr>
          <w:rFonts w:hint="eastAsia" w:ascii="宋体" w:hAnsi="宋体" w:cs="宋体"/>
          <w:color w:val="auto"/>
          <w:spacing w:val="-1"/>
          <w:szCs w:val="21"/>
          <w:highlight w:val="none"/>
        </w:rPr>
      </w:pPr>
      <w:r>
        <w:rPr>
          <w:rFonts w:hint="eastAsia" w:ascii="宋体" w:hAnsi="宋体" w:cs="宋体"/>
          <w:bCs/>
          <w:color w:val="auto"/>
          <w:spacing w:val="2"/>
          <w:szCs w:val="21"/>
          <w:highlight w:val="none"/>
          <w:lang w:val="en-US" w:eastAsia="zh-CN"/>
        </w:rPr>
        <w:t>1、</w:t>
      </w:r>
      <w:r>
        <w:rPr>
          <w:rFonts w:hint="eastAsia" w:ascii="宋体" w:hAnsi="宋体" w:cs="宋体"/>
          <w:bCs/>
          <w:color w:val="auto"/>
          <w:spacing w:val="2"/>
          <w:szCs w:val="21"/>
          <w:highlight w:val="none"/>
          <w:lang w:eastAsia="zh-CN"/>
        </w:rPr>
        <w:t>卖方</w:t>
      </w:r>
      <w:r>
        <w:rPr>
          <w:rFonts w:hint="eastAsia" w:ascii="宋体" w:hAnsi="宋体" w:cs="宋体"/>
          <w:color w:val="auto"/>
          <w:spacing w:val="-1"/>
          <w:szCs w:val="21"/>
          <w:highlight w:val="none"/>
        </w:rPr>
        <w:t>为执行本项目所发生的其他一切费用均已包含在总价中</w:t>
      </w:r>
      <w:r>
        <w:rPr>
          <w:rFonts w:hint="eastAsia" w:ascii="宋体" w:hAnsi="宋体" w:cs="宋体"/>
          <w:color w:val="auto"/>
          <w:spacing w:val="-1"/>
          <w:szCs w:val="21"/>
          <w:highlight w:val="none"/>
          <w:lang w:eastAsia="zh-CN"/>
        </w:rPr>
        <w:t>（</w:t>
      </w:r>
      <w:r>
        <w:rPr>
          <w:rFonts w:hint="eastAsia" w:ascii="宋体" w:hAnsi="宋体" w:cs="宋体"/>
          <w:color w:val="auto"/>
          <w:spacing w:val="-1"/>
          <w:szCs w:val="21"/>
          <w:highlight w:val="none"/>
          <w:lang w:val="en-US" w:eastAsia="zh-CN"/>
        </w:rPr>
        <w:t>包含</w:t>
      </w:r>
      <w:r>
        <w:rPr>
          <w:rFonts w:hint="eastAsia" w:ascii="宋体" w:hAnsi="宋体" w:cs="宋体"/>
          <w:color w:val="auto"/>
          <w:spacing w:val="-1"/>
          <w:szCs w:val="21"/>
          <w:highlight w:val="none"/>
        </w:rPr>
        <w:t>运杂费、服务</w:t>
      </w:r>
      <w:r>
        <w:rPr>
          <w:rFonts w:hint="eastAsia" w:ascii="宋体" w:hAnsi="宋体" w:cs="宋体"/>
          <w:color w:val="auto"/>
          <w:spacing w:val="-1"/>
          <w:szCs w:val="21"/>
          <w:highlight w:val="none"/>
          <w:lang w:val="en-US" w:eastAsia="zh-CN"/>
        </w:rPr>
        <w:t>/产品</w:t>
      </w:r>
      <w:r>
        <w:rPr>
          <w:rFonts w:hint="eastAsia" w:ascii="宋体" w:hAnsi="宋体" w:cs="宋体"/>
          <w:color w:val="auto"/>
          <w:spacing w:val="-1"/>
          <w:szCs w:val="21"/>
          <w:highlight w:val="none"/>
        </w:rPr>
        <w:t>费</w:t>
      </w:r>
      <w:r>
        <w:rPr>
          <w:rFonts w:hint="eastAsia" w:ascii="宋体" w:hAnsi="宋体" w:cs="宋体"/>
          <w:color w:val="auto"/>
          <w:spacing w:val="-1"/>
          <w:szCs w:val="21"/>
          <w:highlight w:val="none"/>
          <w:lang w:eastAsia="zh-CN"/>
        </w:rPr>
        <w:t>、税费</w:t>
      </w:r>
      <w:r>
        <w:rPr>
          <w:rFonts w:hint="eastAsia" w:ascii="宋体" w:hAnsi="宋体" w:cs="宋体"/>
          <w:color w:val="auto"/>
          <w:spacing w:val="-1"/>
          <w:szCs w:val="21"/>
          <w:highlight w:val="none"/>
          <w:lang w:val="en-US" w:eastAsia="zh-CN"/>
        </w:rPr>
        <w:t>等</w:t>
      </w:r>
      <w:r>
        <w:rPr>
          <w:rFonts w:hint="eastAsia" w:ascii="宋体" w:hAnsi="宋体" w:cs="宋体"/>
          <w:color w:val="auto"/>
          <w:spacing w:val="-1"/>
          <w:szCs w:val="21"/>
          <w:highlight w:val="none"/>
          <w:lang w:eastAsia="zh-CN"/>
        </w:rPr>
        <w:t>），若单价×数量之和</w:t>
      </w:r>
      <w:r>
        <w:rPr>
          <w:rFonts w:hint="eastAsia" w:ascii="宋体" w:hAnsi="宋体" w:cs="宋体"/>
          <w:color w:val="auto"/>
          <w:spacing w:val="-1"/>
          <w:szCs w:val="21"/>
          <w:highlight w:val="none"/>
          <w:lang w:val="en-US" w:eastAsia="zh-CN"/>
        </w:rPr>
        <w:t>与</w:t>
      </w:r>
      <w:r>
        <w:rPr>
          <w:rFonts w:hint="eastAsia" w:ascii="宋体" w:hAnsi="宋体" w:cs="宋体"/>
          <w:color w:val="auto"/>
          <w:spacing w:val="-1"/>
          <w:szCs w:val="21"/>
          <w:highlight w:val="none"/>
          <w:lang w:eastAsia="zh-CN"/>
        </w:rPr>
        <w:t>总价有差异，以单价×数量之和为准</w:t>
      </w:r>
      <w:r>
        <w:rPr>
          <w:rFonts w:hint="eastAsia" w:ascii="宋体" w:hAnsi="宋体" w:cs="宋体"/>
          <w:color w:val="auto"/>
          <w:spacing w:val="-1"/>
          <w:szCs w:val="21"/>
          <w:highlight w:val="none"/>
        </w:rPr>
        <w:t xml:space="preserve">。 </w:t>
      </w:r>
    </w:p>
    <w:p>
      <w:pPr>
        <w:spacing w:line="360" w:lineRule="auto"/>
        <w:rPr>
          <w:rFonts w:hint="eastAsia" w:cs="Times New Roman"/>
          <w:b/>
          <w:color w:val="auto"/>
          <w:sz w:val="28"/>
          <w:szCs w:val="28"/>
          <w:highlight w:val="none"/>
          <w:lang w:val="en-US" w:eastAsia="zh-CN"/>
        </w:rPr>
      </w:pPr>
      <w:r>
        <w:rPr>
          <w:rFonts w:hint="eastAsia" w:ascii="宋体" w:hAnsi="宋体" w:cs="宋体"/>
          <w:color w:val="auto"/>
          <w:spacing w:val="-1"/>
          <w:szCs w:val="21"/>
          <w:highlight w:val="none"/>
          <w:lang w:val="en-US" w:eastAsia="zh-CN"/>
        </w:rPr>
        <w:t>2</w:t>
      </w:r>
      <w:r>
        <w:rPr>
          <w:rFonts w:hint="eastAsia" w:ascii="宋体" w:hAnsi="宋体" w:cs="宋体"/>
          <w:color w:val="auto"/>
          <w:spacing w:val="-1"/>
          <w:szCs w:val="21"/>
          <w:highlight w:val="none"/>
        </w:rPr>
        <w:t xml:space="preserve">、发票应按照分项报价清单分项开具对应符合规定税率的全额增值税专用发票。 </w:t>
      </w:r>
    </w:p>
    <w:sectPr>
      <w:headerReference r:id="rId4" w:type="default"/>
      <w:footerReference r:id="rId5" w:type="default"/>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4</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4</w:t>
                    </w:r>
                    <w: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cgmQLTAAAABQEAAA8AAAAAAAAA&#10;AQAgAAAAIgAAAGRycy9kb3ducmV2LnhtbFBLAQIUABQAAAAIAIdO4kASPwbh3QEAALIDAAAOAAAA&#10;AAAAAAEAIAAAACIBAABkcnMvZTJvRG9jLnhtbFBLBQYAAAAABgAGAFkBAABx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2"/>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45657D"/>
    <w:rsid w:val="004C5E80"/>
    <w:rsid w:val="005306C8"/>
    <w:rsid w:val="00743E81"/>
    <w:rsid w:val="00790700"/>
    <w:rsid w:val="00A91657"/>
    <w:rsid w:val="00AC143E"/>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A86A3E"/>
    <w:rsid w:val="02B87B46"/>
    <w:rsid w:val="02C45CF6"/>
    <w:rsid w:val="02CB2C26"/>
    <w:rsid w:val="02CE29E4"/>
    <w:rsid w:val="02DA3B58"/>
    <w:rsid w:val="031B0815"/>
    <w:rsid w:val="03262BBA"/>
    <w:rsid w:val="03351A3E"/>
    <w:rsid w:val="0349617A"/>
    <w:rsid w:val="03511777"/>
    <w:rsid w:val="035B2DA6"/>
    <w:rsid w:val="036847D1"/>
    <w:rsid w:val="037E0A23"/>
    <w:rsid w:val="03815213"/>
    <w:rsid w:val="038209EC"/>
    <w:rsid w:val="03856240"/>
    <w:rsid w:val="038748DC"/>
    <w:rsid w:val="038D17BD"/>
    <w:rsid w:val="03A028E2"/>
    <w:rsid w:val="03B848BB"/>
    <w:rsid w:val="03F7331D"/>
    <w:rsid w:val="040B3598"/>
    <w:rsid w:val="043A06FC"/>
    <w:rsid w:val="044824B8"/>
    <w:rsid w:val="04854D49"/>
    <w:rsid w:val="048852EE"/>
    <w:rsid w:val="048A2679"/>
    <w:rsid w:val="04B73D4A"/>
    <w:rsid w:val="04D27E71"/>
    <w:rsid w:val="04E24DB6"/>
    <w:rsid w:val="04EE2300"/>
    <w:rsid w:val="05147F64"/>
    <w:rsid w:val="052103B0"/>
    <w:rsid w:val="05282A92"/>
    <w:rsid w:val="052A0005"/>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A3FC9"/>
    <w:rsid w:val="05BB75AA"/>
    <w:rsid w:val="05E108F2"/>
    <w:rsid w:val="05E438A3"/>
    <w:rsid w:val="05EB68D3"/>
    <w:rsid w:val="05F24B2A"/>
    <w:rsid w:val="06090CB8"/>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04DD0"/>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71BB3"/>
    <w:rsid w:val="082A084F"/>
    <w:rsid w:val="08344D1E"/>
    <w:rsid w:val="084B42C5"/>
    <w:rsid w:val="084E4ED5"/>
    <w:rsid w:val="0855690A"/>
    <w:rsid w:val="08584D0F"/>
    <w:rsid w:val="0860699A"/>
    <w:rsid w:val="08667F47"/>
    <w:rsid w:val="087137DB"/>
    <w:rsid w:val="08A33BB4"/>
    <w:rsid w:val="08A94117"/>
    <w:rsid w:val="08AD5F51"/>
    <w:rsid w:val="08BC08B5"/>
    <w:rsid w:val="08D66D28"/>
    <w:rsid w:val="08E14C97"/>
    <w:rsid w:val="08E93460"/>
    <w:rsid w:val="09021A29"/>
    <w:rsid w:val="090341B0"/>
    <w:rsid w:val="092A69D5"/>
    <w:rsid w:val="093B0271"/>
    <w:rsid w:val="093B57DC"/>
    <w:rsid w:val="093C3482"/>
    <w:rsid w:val="095729D0"/>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B7951"/>
    <w:rsid w:val="0B6C711D"/>
    <w:rsid w:val="0B7F40B4"/>
    <w:rsid w:val="0B8348EE"/>
    <w:rsid w:val="0BB909EB"/>
    <w:rsid w:val="0BC87409"/>
    <w:rsid w:val="0BD33980"/>
    <w:rsid w:val="0BD62A7D"/>
    <w:rsid w:val="0BE57AEE"/>
    <w:rsid w:val="0C1224C8"/>
    <w:rsid w:val="0C23558B"/>
    <w:rsid w:val="0C40504F"/>
    <w:rsid w:val="0C5B4095"/>
    <w:rsid w:val="0C6A35C6"/>
    <w:rsid w:val="0C7B6761"/>
    <w:rsid w:val="0C9E47DF"/>
    <w:rsid w:val="0CA92493"/>
    <w:rsid w:val="0CB414E2"/>
    <w:rsid w:val="0CBA1D90"/>
    <w:rsid w:val="0CE00519"/>
    <w:rsid w:val="0CF20212"/>
    <w:rsid w:val="0CF43D57"/>
    <w:rsid w:val="0CF66B41"/>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891C66"/>
    <w:rsid w:val="0EBA4D7B"/>
    <w:rsid w:val="0ECE1847"/>
    <w:rsid w:val="0ED06EA0"/>
    <w:rsid w:val="0ED21CC4"/>
    <w:rsid w:val="0ED26415"/>
    <w:rsid w:val="0EDF475F"/>
    <w:rsid w:val="0EE762F8"/>
    <w:rsid w:val="0EF73643"/>
    <w:rsid w:val="0EFC65D9"/>
    <w:rsid w:val="0F131D91"/>
    <w:rsid w:val="0F1B31AD"/>
    <w:rsid w:val="0F1D5631"/>
    <w:rsid w:val="0F223B6E"/>
    <w:rsid w:val="0F333741"/>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9F635A"/>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092260"/>
    <w:rsid w:val="150B1D6C"/>
    <w:rsid w:val="151B19F9"/>
    <w:rsid w:val="15254C2A"/>
    <w:rsid w:val="15256A13"/>
    <w:rsid w:val="15425C88"/>
    <w:rsid w:val="15630EB7"/>
    <w:rsid w:val="15721CAF"/>
    <w:rsid w:val="157E07BB"/>
    <w:rsid w:val="15973042"/>
    <w:rsid w:val="159C6665"/>
    <w:rsid w:val="15A037DD"/>
    <w:rsid w:val="15CA0A70"/>
    <w:rsid w:val="15D43BA5"/>
    <w:rsid w:val="15D73A44"/>
    <w:rsid w:val="15DB5671"/>
    <w:rsid w:val="15DE22FD"/>
    <w:rsid w:val="15DF2A73"/>
    <w:rsid w:val="15F64129"/>
    <w:rsid w:val="160403C5"/>
    <w:rsid w:val="16111428"/>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26578"/>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CD7B29"/>
    <w:rsid w:val="19D3255D"/>
    <w:rsid w:val="19D40BE2"/>
    <w:rsid w:val="19D86466"/>
    <w:rsid w:val="19F64C6A"/>
    <w:rsid w:val="19FC1230"/>
    <w:rsid w:val="1A2B7516"/>
    <w:rsid w:val="1A484105"/>
    <w:rsid w:val="1A8109E7"/>
    <w:rsid w:val="1A992054"/>
    <w:rsid w:val="1AA041A0"/>
    <w:rsid w:val="1AA66320"/>
    <w:rsid w:val="1AC87254"/>
    <w:rsid w:val="1ACA6F0E"/>
    <w:rsid w:val="1AE053B4"/>
    <w:rsid w:val="1AE67E26"/>
    <w:rsid w:val="1AE75380"/>
    <w:rsid w:val="1AEF2D92"/>
    <w:rsid w:val="1AF9502F"/>
    <w:rsid w:val="1AFE14D8"/>
    <w:rsid w:val="1AFF5FBC"/>
    <w:rsid w:val="1B000690"/>
    <w:rsid w:val="1B235307"/>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0E6215"/>
    <w:rsid w:val="1C1251FE"/>
    <w:rsid w:val="1C1605BF"/>
    <w:rsid w:val="1C265152"/>
    <w:rsid w:val="1C274AA7"/>
    <w:rsid w:val="1C32499B"/>
    <w:rsid w:val="1C47372B"/>
    <w:rsid w:val="1C564A30"/>
    <w:rsid w:val="1C5C130E"/>
    <w:rsid w:val="1C611DC4"/>
    <w:rsid w:val="1C636849"/>
    <w:rsid w:val="1C700667"/>
    <w:rsid w:val="1C711C06"/>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A18F1"/>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392E9F"/>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40AC2"/>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B129C3"/>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0643F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0B2D03"/>
    <w:rsid w:val="2B29773C"/>
    <w:rsid w:val="2B3A41B6"/>
    <w:rsid w:val="2B4A63F8"/>
    <w:rsid w:val="2B4D0396"/>
    <w:rsid w:val="2B5A0EDA"/>
    <w:rsid w:val="2B6270F5"/>
    <w:rsid w:val="2B94578C"/>
    <w:rsid w:val="2BCC724B"/>
    <w:rsid w:val="2BCE3B0C"/>
    <w:rsid w:val="2BD002D8"/>
    <w:rsid w:val="2BD50F68"/>
    <w:rsid w:val="2BE34CD1"/>
    <w:rsid w:val="2BE66D0E"/>
    <w:rsid w:val="2C0B7ACD"/>
    <w:rsid w:val="2C0E0521"/>
    <w:rsid w:val="2C1C37D9"/>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6055A"/>
    <w:rsid w:val="300F0367"/>
    <w:rsid w:val="30226FEB"/>
    <w:rsid w:val="30282043"/>
    <w:rsid w:val="302A5E34"/>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17CBC"/>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28158B"/>
    <w:rsid w:val="373905EC"/>
    <w:rsid w:val="37480099"/>
    <w:rsid w:val="375706D4"/>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786EB5"/>
    <w:rsid w:val="3A844862"/>
    <w:rsid w:val="3A944C38"/>
    <w:rsid w:val="3AA17367"/>
    <w:rsid w:val="3AC2557F"/>
    <w:rsid w:val="3AD467AB"/>
    <w:rsid w:val="3AEE7DEE"/>
    <w:rsid w:val="3B022035"/>
    <w:rsid w:val="3B0D31A1"/>
    <w:rsid w:val="3B2422FF"/>
    <w:rsid w:val="3B30014A"/>
    <w:rsid w:val="3B4C739D"/>
    <w:rsid w:val="3B6A46EB"/>
    <w:rsid w:val="3B7333E5"/>
    <w:rsid w:val="3B7540E8"/>
    <w:rsid w:val="3B777D29"/>
    <w:rsid w:val="3B8B3D3E"/>
    <w:rsid w:val="3B8E5E13"/>
    <w:rsid w:val="3BA76A1B"/>
    <w:rsid w:val="3BA94B25"/>
    <w:rsid w:val="3BB1015F"/>
    <w:rsid w:val="3BDC51B3"/>
    <w:rsid w:val="3BDE0449"/>
    <w:rsid w:val="3BE5119C"/>
    <w:rsid w:val="3C1C2743"/>
    <w:rsid w:val="3C1C6EF4"/>
    <w:rsid w:val="3C2F5C04"/>
    <w:rsid w:val="3C3138CA"/>
    <w:rsid w:val="3C3156FE"/>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8D45AF"/>
    <w:rsid w:val="3DC17B99"/>
    <w:rsid w:val="3DCC4D82"/>
    <w:rsid w:val="3DE510B5"/>
    <w:rsid w:val="3DE715C7"/>
    <w:rsid w:val="3DED3480"/>
    <w:rsid w:val="3DEF67E5"/>
    <w:rsid w:val="3E043F4F"/>
    <w:rsid w:val="3E046209"/>
    <w:rsid w:val="3E4949A1"/>
    <w:rsid w:val="3E501CDF"/>
    <w:rsid w:val="3E6C336E"/>
    <w:rsid w:val="3E9827B3"/>
    <w:rsid w:val="3EAB7DE0"/>
    <w:rsid w:val="3EB252DA"/>
    <w:rsid w:val="3EB42296"/>
    <w:rsid w:val="3EB80971"/>
    <w:rsid w:val="3EB91C7B"/>
    <w:rsid w:val="3EBC1583"/>
    <w:rsid w:val="3EBD55B8"/>
    <w:rsid w:val="3EC251E6"/>
    <w:rsid w:val="3EC36385"/>
    <w:rsid w:val="3EC468E3"/>
    <w:rsid w:val="3EC9292E"/>
    <w:rsid w:val="3ED72878"/>
    <w:rsid w:val="3EDC057E"/>
    <w:rsid w:val="3EF761CC"/>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BD0C14"/>
    <w:rsid w:val="41CA5C68"/>
    <w:rsid w:val="41DB145C"/>
    <w:rsid w:val="41DE667E"/>
    <w:rsid w:val="41F71EDB"/>
    <w:rsid w:val="41FD491F"/>
    <w:rsid w:val="42012231"/>
    <w:rsid w:val="420153BA"/>
    <w:rsid w:val="42463CF2"/>
    <w:rsid w:val="424E7592"/>
    <w:rsid w:val="42745D96"/>
    <w:rsid w:val="42812AB4"/>
    <w:rsid w:val="42A70B14"/>
    <w:rsid w:val="42B14241"/>
    <w:rsid w:val="42C51575"/>
    <w:rsid w:val="4307269F"/>
    <w:rsid w:val="43253A48"/>
    <w:rsid w:val="432B47C2"/>
    <w:rsid w:val="432C1F9E"/>
    <w:rsid w:val="434945A5"/>
    <w:rsid w:val="436D627C"/>
    <w:rsid w:val="437F587F"/>
    <w:rsid w:val="43862855"/>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382139"/>
    <w:rsid w:val="45562CC2"/>
    <w:rsid w:val="455A048A"/>
    <w:rsid w:val="455A0E6A"/>
    <w:rsid w:val="455D1172"/>
    <w:rsid w:val="45634776"/>
    <w:rsid w:val="45754DC9"/>
    <w:rsid w:val="457F49FC"/>
    <w:rsid w:val="45804376"/>
    <w:rsid w:val="4582358B"/>
    <w:rsid w:val="45A35445"/>
    <w:rsid w:val="45A53A63"/>
    <w:rsid w:val="45A67329"/>
    <w:rsid w:val="45B52DB7"/>
    <w:rsid w:val="45CE500A"/>
    <w:rsid w:val="45D9329E"/>
    <w:rsid w:val="45F90108"/>
    <w:rsid w:val="464211EB"/>
    <w:rsid w:val="46422DE4"/>
    <w:rsid w:val="464347C4"/>
    <w:rsid w:val="4645001C"/>
    <w:rsid w:val="464F3197"/>
    <w:rsid w:val="46572323"/>
    <w:rsid w:val="465E5104"/>
    <w:rsid w:val="465F3213"/>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50015F"/>
    <w:rsid w:val="475D51E3"/>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8F21359"/>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DA41D6"/>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4638E7"/>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4B54DB"/>
    <w:rsid w:val="4D5D38BA"/>
    <w:rsid w:val="4D71410F"/>
    <w:rsid w:val="4D960761"/>
    <w:rsid w:val="4DA0412D"/>
    <w:rsid w:val="4DA94BEF"/>
    <w:rsid w:val="4DAA2A71"/>
    <w:rsid w:val="4DC47E6D"/>
    <w:rsid w:val="4DC7471D"/>
    <w:rsid w:val="4DCB3553"/>
    <w:rsid w:val="4DDD015A"/>
    <w:rsid w:val="4DEA0679"/>
    <w:rsid w:val="4DF96824"/>
    <w:rsid w:val="4E220374"/>
    <w:rsid w:val="4E321855"/>
    <w:rsid w:val="4E3F4C54"/>
    <w:rsid w:val="4E712D50"/>
    <w:rsid w:val="4E7F0172"/>
    <w:rsid w:val="4E810DFB"/>
    <w:rsid w:val="4E861861"/>
    <w:rsid w:val="4E867E26"/>
    <w:rsid w:val="4E8F0453"/>
    <w:rsid w:val="4E9248C8"/>
    <w:rsid w:val="4EBB4494"/>
    <w:rsid w:val="4ED94331"/>
    <w:rsid w:val="4EDF1751"/>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13E12"/>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A4B68"/>
    <w:rsid w:val="536C5FE3"/>
    <w:rsid w:val="537D5A7D"/>
    <w:rsid w:val="53807BD9"/>
    <w:rsid w:val="53820F43"/>
    <w:rsid w:val="53896DD9"/>
    <w:rsid w:val="539A2B8B"/>
    <w:rsid w:val="53F11A8D"/>
    <w:rsid w:val="53F7017E"/>
    <w:rsid w:val="53F8401A"/>
    <w:rsid w:val="54006754"/>
    <w:rsid w:val="540B3869"/>
    <w:rsid w:val="54147CEB"/>
    <w:rsid w:val="542441BC"/>
    <w:rsid w:val="542C110E"/>
    <w:rsid w:val="543B3CC9"/>
    <w:rsid w:val="543E164A"/>
    <w:rsid w:val="54586003"/>
    <w:rsid w:val="545D0932"/>
    <w:rsid w:val="545F1B52"/>
    <w:rsid w:val="5468342F"/>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541B12"/>
    <w:rsid w:val="56857CE0"/>
    <w:rsid w:val="56D03E60"/>
    <w:rsid w:val="56D11CEF"/>
    <w:rsid w:val="56DF4C9C"/>
    <w:rsid w:val="56EF724A"/>
    <w:rsid w:val="56F11733"/>
    <w:rsid w:val="56F624D0"/>
    <w:rsid w:val="572E17D9"/>
    <w:rsid w:val="573B6221"/>
    <w:rsid w:val="574526C2"/>
    <w:rsid w:val="574F4D30"/>
    <w:rsid w:val="576E4B41"/>
    <w:rsid w:val="57703552"/>
    <w:rsid w:val="577210B5"/>
    <w:rsid w:val="578603A5"/>
    <w:rsid w:val="57883178"/>
    <w:rsid w:val="578E67BA"/>
    <w:rsid w:val="579409FF"/>
    <w:rsid w:val="57AE4446"/>
    <w:rsid w:val="57B87C9F"/>
    <w:rsid w:val="57D05DE2"/>
    <w:rsid w:val="57E56A06"/>
    <w:rsid w:val="57F57F6D"/>
    <w:rsid w:val="580651BC"/>
    <w:rsid w:val="58343C8D"/>
    <w:rsid w:val="583F13D4"/>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93281F"/>
    <w:rsid w:val="59B727D2"/>
    <w:rsid w:val="59B7353F"/>
    <w:rsid w:val="59CA4011"/>
    <w:rsid w:val="59D72AF2"/>
    <w:rsid w:val="59E76C44"/>
    <w:rsid w:val="59F034A6"/>
    <w:rsid w:val="59F43016"/>
    <w:rsid w:val="5A1E7B0E"/>
    <w:rsid w:val="5A3547C6"/>
    <w:rsid w:val="5A4F32DC"/>
    <w:rsid w:val="5A547BBA"/>
    <w:rsid w:val="5A5D1513"/>
    <w:rsid w:val="5A62495D"/>
    <w:rsid w:val="5A672916"/>
    <w:rsid w:val="5A7A2908"/>
    <w:rsid w:val="5A7F7766"/>
    <w:rsid w:val="5A9F4957"/>
    <w:rsid w:val="5AC667C1"/>
    <w:rsid w:val="5ACA6500"/>
    <w:rsid w:val="5AE07A51"/>
    <w:rsid w:val="5AEA5BB9"/>
    <w:rsid w:val="5AFA409D"/>
    <w:rsid w:val="5B510484"/>
    <w:rsid w:val="5B553EE5"/>
    <w:rsid w:val="5B711A98"/>
    <w:rsid w:val="5B7133CE"/>
    <w:rsid w:val="5B714BD2"/>
    <w:rsid w:val="5B762579"/>
    <w:rsid w:val="5B817833"/>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367ACA"/>
    <w:rsid w:val="5C435CA8"/>
    <w:rsid w:val="5C493E9F"/>
    <w:rsid w:val="5C5C72E8"/>
    <w:rsid w:val="5C7806E2"/>
    <w:rsid w:val="5C793A2C"/>
    <w:rsid w:val="5C7A3CC8"/>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4B2D1B"/>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3B6571"/>
    <w:rsid w:val="625F3A33"/>
    <w:rsid w:val="62745445"/>
    <w:rsid w:val="627A102D"/>
    <w:rsid w:val="629D2E88"/>
    <w:rsid w:val="62A11F0A"/>
    <w:rsid w:val="62BD413E"/>
    <w:rsid w:val="62E26A95"/>
    <w:rsid w:val="62EB5099"/>
    <w:rsid w:val="62EB5772"/>
    <w:rsid w:val="630E2045"/>
    <w:rsid w:val="6318530E"/>
    <w:rsid w:val="631F054A"/>
    <w:rsid w:val="632815C4"/>
    <w:rsid w:val="632A5DB0"/>
    <w:rsid w:val="632B303C"/>
    <w:rsid w:val="633C082D"/>
    <w:rsid w:val="63422A41"/>
    <w:rsid w:val="6362394E"/>
    <w:rsid w:val="63772EBC"/>
    <w:rsid w:val="63872C9B"/>
    <w:rsid w:val="63BB4636"/>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463FD"/>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AC525B"/>
    <w:rsid w:val="66B86BEC"/>
    <w:rsid w:val="66C66063"/>
    <w:rsid w:val="66CE0CB5"/>
    <w:rsid w:val="66E1287B"/>
    <w:rsid w:val="66E60C74"/>
    <w:rsid w:val="66F60D07"/>
    <w:rsid w:val="67147959"/>
    <w:rsid w:val="67192D2E"/>
    <w:rsid w:val="671E7F25"/>
    <w:rsid w:val="67301959"/>
    <w:rsid w:val="67430F7A"/>
    <w:rsid w:val="67436C1A"/>
    <w:rsid w:val="675D096D"/>
    <w:rsid w:val="675E415D"/>
    <w:rsid w:val="676F7492"/>
    <w:rsid w:val="67715998"/>
    <w:rsid w:val="678E63A9"/>
    <w:rsid w:val="679C261F"/>
    <w:rsid w:val="67A1713D"/>
    <w:rsid w:val="67E45C01"/>
    <w:rsid w:val="67F24AE2"/>
    <w:rsid w:val="680841F7"/>
    <w:rsid w:val="68216248"/>
    <w:rsid w:val="6832491F"/>
    <w:rsid w:val="686A5143"/>
    <w:rsid w:val="68795A22"/>
    <w:rsid w:val="687B737E"/>
    <w:rsid w:val="68865177"/>
    <w:rsid w:val="68A4304D"/>
    <w:rsid w:val="68FA6995"/>
    <w:rsid w:val="69130E0C"/>
    <w:rsid w:val="69132EF3"/>
    <w:rsid w:val="69406316"/>
    <w:rsid w:val="695C20B0"/>
    <w:rsid w:val="69624533"/>
    <w:rsid w:val="696640E7"/>
    <w:rsid w:val="697E091A"/>
    <w:rsid w:val="699A256F"/>
    <w:rsid w:val="699D197B"/>
    <w:rsid w:val="69CD0F93"/>
    <w:rsid w:val="69CE6300"/>
    <w:rsid w:val="69E24BC0"/>
    <w:rsid w:val="69FD6498"/>
    <w:rsid w:val="6A292402"/>
    <w:rsid w:val="6A29629B"/>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46DCA"/>
    <w:rsid w:val="6B26304F"/>
    <w:rsid w:val="6B2C5D50"/>
    <w:rsid w:val="6B345DB3"/>
    <w:rsid w:val="6B412954"/>
    <w:rsid w:val="6B5D49E9"/>
    <w:rsid w:val="6B773B2F"/>
    <w:rsid w:val="6B7D4B3D"/>
    <w:rsid w:val="6B9769F4"/>
    <w:rsid w:val="6B994889"/>
    <w:rsid w:val="6B9C5079"/>
    <w:rsid w:val="6B9E5DA9"/>
    <w:rsid w:val="6BC63A92"/>
    <w:rsid w:val="6BCD763B"/>
    <w:rsid w:val="6BDC1E93"/>
    <w:rsid w:val="6BE51391"/>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45861"/>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DA001F"/>
    <w:rsid w:val="6EFB6D13"/>
    <w:rsid w:val="6EFD5BBE"/>
    <w:rsid w:val="6F211D2D"/>
    <w:rsid w:val="6F281BA4"/>
    <w:rsid w:val="6F327323"/>
    <w:rsid w:val="6F333990"/>
    <w:rsid w:val="6F4540F7"/>
    <w:rsid w:val="6F4D09C5"/>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3150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AD3F4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85993"/>
    <w:rsid w:val="767F3C09"/>
    <w:rsid w:val="769B523C"/>
    <w:rsid w:val="76AA435E"/>
    <w:rsid w:val="76DD306E"/>
    <w:rsid w:val="76DE47A6"/>
    <w:rsid w:val="76E24B77"/>
    <w:rsid w:val="76E359D6"/>
    <w:rsid w:val="76FB0900"/>
    <w:rsid w:val="77095357"/>
    <w:rsid w:val="771529E6"/>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0F702E"/>
    <w:rsid w:val="7A1F4287"/>
    <w:rsid w:val="7A3158C6"/>
    <w:rsid w:val="7A33187E"/>
    <w:rsid w:val="7A3F5561"/>
    <w:rsid w:val="7A474F31"/>
    <w:rsid w:val="7A491E76"/>
    <w:rsid w:val="7A4C4CC6"/>
    <w:rsid w:val="7A55541E"/>
    <w:rsid w:val="7A5634BF"/>
    <w:rsid w:val="7A5F0D47"/>
    <w:rsid w:val="7A63130A"/>
    <w:rsid w:val="7A6556C7"/>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C036FDE"/>
    <w:rsid w:val="7C0861D3"/>
    <w:rsid w:val="7C140B9D"/>
    <w:rsid w:val="7C141C87"/>
    <w:rsid w:val="7C4910B6"/>
    <w:rsid w:val="7C5400A0"/>
    <w:rsid w:val="7C611C8A"/>
    <w:rsid w:val="7C7239A7"/>
    <w:rsid w:val="7C9D40C0"/>
    <w:rsid w:val="7CA24D05"/>
    <w:rsid w:val="7CB3175B"/>
    <w:rsid w:val="7CB845D8"/>
    <w:rsid w:val="7CC1606D"/>
    <w:rsid w:val="7CC16636"/>
    <w:rsid w:val="7CE62404"/>
    <w:rsid w:val="7CEA24B7"/>
    <w:rsid w:val="7CED1CBB"/>
    <w:rsid w:val="7CFB2513"/>
    <w:rsid w:val="7D0514B5"/>
    <w:rsid w:val="7D0D6618"/>
    <w:rsid w:val="7D2B29DB"/>
    <w:rsid w:val="7D2D0AF4"/>
    <w:rsid w:val="7D477A27"/>
    <w:rsid w:val="7D496B03"/>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A916D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4"/>
    <w:next w:val="4"/>
    <w:unhideWhenUsed/>
    <w:qFormat/>
    <w:uiPriority w:val="99"/>
    <w:pPr>
      <w:spacing w:after="120"/>
    </w:pPr>
  </w:style>
  <w:style w:type="paragraph" w:styleId="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00035115_cgy</cp:lastModifiedBy>
  <dcterms:modified xsi:type="dcterms:W3CDTF">2026-04-17T02:34:02Z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873DE49118784343865093C16DC3E5C0</vt:lpwstr>
  </property>
</Properties>
</file>