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F602F1">
      <w:pPr>
        <w:jc w:val="center"/>
        <w:rPr>
          <w:rFonts w:hint="eastAsia" w:ascii="宋体" w:hAnsi="宋体" w:eastAsia="宋体" w:cs="Times New Roman"/>
          <w:b/>
          <w:sz w:val="52"/>
          <w:szCs w:val="52"/>
          <w:lang w:eastAsia="zh-CN"/>
        </w:rPr>
      </w:pPr>
      <w:r>
        <w:drawing>
          <wp:anchor distT="0" distB="0" distL="114300" distR="114300" simplePos="0" relativeHeight="251660288" behindDoc="1" locked="0" layoutInCell="1" allowOverlap="1">
            <wp:simplePos x="0" y="0"/>
            <wp:positionH relativeFrom="column">
              <wp:posOffset>-1491615</wp:posOffset>
            </wp:positionH>
            <wp:positionV relativeFrom="paragraph">
              <wp:posOffset>-1009650</wp:posOffset>
            </wp:positionV>
            <wp:extent cx="7886700" cy="10948035"/>
            <wp:effectExtent l="0" t="0" r="0" b="5715"/>
            <wp:wrapNone/>
            <wp:docPr id="6" name="图片 6"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会议封面-空白-A4"/>
                    <pic:cNvPicPr>
                      <a:picLocks noChangeAspect="1"/>
                    </pic:cNvPicPr>
                  </pic:nvPicPr>
                  <pic:blipFill>
                    <a:blip r:embed="rId5"/>
                    <a:stretch>
                      <a:fillRect/>
                    </a:stretch>
                  </pic:blipFill>
                  <pic:spPr>
                    <a:xfrm>
                      <a:off x="0" y="0"/>
                      <a:ext cx="7886700" cy="10948035"/>
                    </a:xfrm>
                    <a:prstGeom prst="rect">
                      <a:avLst/>
                    </a:prstGeom>
                    <a:noFill/>
                    <a:ln>
                      <a:noFill/>
                    </a:ln>
                  </pic:spPr>
                </pic:pic>
              </a:graphicData>
            </a:graphic>
          </wp:anchor>
        </w:drawing>
      </w:r>
    </w:p>
    <w:p w14:paraId="2C0F64C3">
      <w:pPr>
        <w:jc w:val="center"/>
        <w:rPr>
          <w:rFonts w:hint="eastAsia" w:ascii="宋体" w:hAnsi="宋体" w:eastAsia="宋体" w:cs="Times New Roman"/>
          <w:b/>
          <w:sz w:val="52"/>
          <w:szCs w:val="52"/>
        </w:rPr>
      </w:pPr>
    </w:p>
    <w:p w14:paraId="121872D3">
      <w:pPr>
        <w:jc w:val="center"/>
        <w:rPr>
          <w:rFonts w:hint="eastAsia" w:ascii="宋体" w:hAnsi="宋体" w:eastAsia="宋体" w:cs="Times New Roman"/>
          <w:b/>
          <w:sz w:val="52"/>
          <w:szCs w:val="52"/>
        </w:rPr>
      </w:pPr>
    </w:p>
    <w:p w14:paraId="0BFC7C39">
      <w:pPr>
        <w:pStyle w:val="6"/>
        <w:outlineLvl w:val="9"/>
        <w:rPr>
          <w:rFonts w:hint="eastAsia"/>
        </w:rPr>
      </w:pPr>
    </w:p>
    <w:p w14:paraId="72F94315">
      <w:pPr>
        <w:pStyle w:val="7"/>
        <w:rPr>
          <w:rFonts w:hint="eastAsia"/>
        </w:rPr>
      </w:pPr>
    </w:p>
    <w:p w14:paraId="7FC49A51">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黑体" w:hAnsi="黑体" w:eastAsia="黑体" w:cs="Times New Roman"/>
          <w:b/>
          <w:sz w:val="48"/>
          <w:szCs w:val="48"/>
          <w:lang w:val="en-US" w:eastAsia="zh-CN"/>
        </w:rPr>
      </w:pPr>
      <w:r>
        <w:rPr>
          <w:rFonts w:hint="eastAsia" w:ascii="黑体" w:hAnsi="黑体" w:eastAsia="黑体" w:cs="Times New Roman"/>
          <w:b/>
          <w:sz w:val="48"/>
          <w:szCs w:val="48"/>
          <w:lang w:val="en-US" w:eastAsia="zh-CN"/>
        </w:rPr>
        <w:t>2026年南方电网数字电网集团（广东）有限公司食品检测服务项目技术规范书</w:t>
      </w:r>
    </w:p>
    <w:p w14:paraId="4349B9E9">
      <w:pPr>
        <w:jc w:val="center"/>
        <w:rPr>
          <w:rFonts w:hint="eastAsia" w:ascii="宋体" w:hAnsi="宋体" w:eastAsia="宋体" w:cs="Times New Roman"/>
          <w:b/>
          <w:sz w:val="52"/>
          <w:szCs w:val="52"/>
          <w:lang w:eastAsia="zh-CN"/>
        </w:rPr>
      </w:pPr>
    </w:p>
    <w:p w14:paraId="3B13C29B">
      <w:pPr>
        <w:jc w:val="center"/>
        <w:rPr>
          <w:rFonts w:hint="eastAsia" w:ascii="宋体" w:hAnsi="宋体" w:eastAsia="宋体" w:cs="Times New Roman"/>
          <w:b/>
          <w:sz w:val="52"/>
          <w:szCs w:val="52"/>
          <w:lang w:eastAsia="zh-CN"/>
        </w:rPr>
      </w:pPr>
    </w:p>
    <w:p w14:paraId="35254311">
      <w:pPr>
        <w:jc w:val="center"/>
        <w:rPr>
          <w:rFonts w:hint="eastAsia" w:ascii="宋体" w:hAnsi="宋体" w:eastAsia="宋体" w:cs="Times New Roman"/>
          <w:b/>
          <w:sz w:val="52"/>
          <w:szCs w:val="52"/>
          <w:lang w:eastAsia="zh-CN"/>
        </w:rPr>
      </w:pPr>
    </w:p>
    <w:p w14:paraId="66749373">
      <w:pPr>
        <w:pStyle w:val="6"/>
        <w:outlineLvl w:val="9"/>
        <w:rPr>
          <w:rFonts w:hint="eastAsia" w:ascii="宋体" w:hAnsi="宋体" w:eastAsia="宋体" w:cs="Times New Roman"/>
          <w:b/>
          <w:sz w:val="52"/>
          <w:szCs w:val="52"/>
          <w:lang w:eastAsia="zh-CN"/>
        </w:rPr>
      </w:pPr>
    </w:p>
    <w:p w14:paraId="079FEA25">
      <w:pPr>
        <w:pStyle w:val="7"/>
        <w:outlineLvl w:val="9"/>
        <w:rPr>
          <w:rFonts w:hint="eastAsia"/>
          <w:lang w:eastAsia="zh-CN"/>
        </w:rPr>
      </w:pPr>
    </w:p>
    <w:p w14:paraId="50107522">
      <w:pPr>
        <w:pStyle w:val="7"/>
        <w:outlineLvl w:val="9"/>
        <w:rPr>
          <w:rFonts w:hint="eastAsia" w:ascii="黑体" w:eastAsia="黑体"/>
          <w:sz w:val="36"/>
          <w:szCs w:val="36"/>
        </w:rPr>
      </w:pPr>
      <w:r>
        <mc:AlternateContent>
          <mc:Choice Requires="wps">
            <w:drawing>
              <wp:anchor distT="0" distB="0" distL="114300" distR="114300" simplePos="0" relativeHeight="251662336" behindDoc="0" locked="0" layoutInCell="1" allowOverlap="1">
                <wp:simplePos x="0" y="0"/>
                <wp:positionH relativeFrom="column">
                  <wp:posOffset>339090</wp:posOffset>
                </wp:positionH>
                <wp:positionV relativeFrom="paragraph">
                  <wp:posOffset>175260</wp:posOffset>
                </wp:positionV>
                <wp:extent cx="4876800" cy="989965"/>
                <wp:effectExtent l="0" t="0" r="0" b="635"/>
                <wp:wrapNone/>
                <wp:docPr id="9" name="文本框 9"/>
                <wp:cNvGraphicFramePr/>
                <a:graphic xmlns:a="http://schemas.openxmlformats.org/drawingml/2006/main">
                  <a:graphicData uri="http://schemas.microsoft.com/office/word/2010/wordprocessingShape">
                    <wps:wsp>
                      <wps:cNvSpPr txBox="1"/>
                      <wps:spPr>
                        <a:xfrm>
                          <a:off x="0" y="0"/>
                          <a:ext cx="4876800" cy="989965"/>
                        </a:xfrm>
                        <a:prstGeom prst="rect">
                          <a:avLst/>
                        </a:prstGeom>
                        <a:solidFill>
                          <a:srgbClr val="FFFFFF"/>
                        </a:solidFill>
                        <a:ln>
                          <a:noFill/>
                        </a:ln>
                      </wps:spPr>
                      <wps:txbx>
                        <w:txbxContent>
                          <w:p w14:paraId="5797626F">
                            <w:pPr>
                              <w:jc w:val="center"/>
                              <w:rPr>
                                <w:rFonts w:hint="eastAsia" w:ascii="黑体" w:hAnsi="黑体" w:eastAsia="黑体" w:cs="黑体"/>
                                <w:b w:val="0"/>
                                <w:bCs/>
                                <w:sz w:val="40"/>
                                <w:szCs w:val="40"/>
                                <w:lang w:eastAsia="zh-CN"/>
                              </w:rPr>
                            </w:pPr>
                            <w:r>
                              <w:rPr>
                                <w:rFonts w:hint="eastAsia" w:ascii="黑体" w:hAnsi="黑体" w:eastAsia="黑体" w:cs="黑体"/>
                                <w:b/>
                                <w:bCs/>
                                <w:sz w:val="40"/>
                                <w:szCs w:val="40"/>
                                <w:lang w:val="en-US" w:eastAsia="zh-CN"/>
                              </w:rPr>
                              <w:t>南方电网数字电网集团（广东）有限公司</w:t>
                            </w:r>
                          </w:p>
                          <w:p w14:paraId="142AC034">
                            <w:pPr>
                              <w:jc w:val="center"/>
                            </w:pPr>
                            <w:r>
                              <w:rPr>
                                <w:rFonts w:hint="default" w:ascii="Times New Roman" w:hAnsi="Times New Roman" w:eastAsia="黑体" w:cs="Times New Roman"/>
                                <w:b/>
                                <w:bCs/>
                                <w:sz w:val="40"/>
                                <w:szCs w:val="40"/>
                                <w:highlight w:val="none"/>
                                <w:shd w:val="clear" w:color="auto" w:fill="auto"/>
                                <w:lang w:eastAsia="zh-CN"/>
                              </w:rPr>
                              <w:t>202</w:t>
                            </w:r>
                            <w:r>
                              <w:rPr>
                                <w:rFonts w:hint="default" w:ascii="Times New Roman" w:hAnsi="Times New Roman" w:eastAsia="黑体" w:cs="Times New Roman"/>
                                <w:b/>
                                <w:bCs/>
                                <w:sz w:val="40"/>
                                <w:szCs w:val="40"/>
                                <w:highlight w:val="none"/>
                                <w:shd w:val="clear" w:color="auto" w:fill="auto"/>
                                <w:lang w:val="en-US" w:eastAsia="zh-CN"/>
                              </w:rPr>
                              <w:t>6</w:t>
                            </w:r>
                            <w:r>
                              <w:rPr>
                                <w:rFonts w:hint="default" w:ascii="Times New Roman" w:hAnsi="Times New Roman" w:eastAsia="黑体" w:cs="Times New Roman"/>
                                <w:b/>
                                <w:bCs/>
                                <w:sz w:val="40"/>
                                <w:szCs w:val="40"/>
                                <w:highlight w:val="none"/>
                                <w:shd w:val="clear" w:color="auto" w:fill="auto"/>
                                <w:lang w:eastAsia="zh-CN"/>
                              </w:rPr>
                              <w:t>年</w:t>
                            </w:r>
                            <w:r>
                              <w:rPr>
                                <w:rFonts w:hint="eastAsia" w:ascii="Times New Roman" w:hAnsi="Times New Roman" w:eastAsia="黑体" w:cs="Times New Roman"/>
                                <w:b/>
                                <w:bCs/>
                                <w:sz w:val="40"/>
                                <w:szCs w:val="40"/>
                                <w:highlight w:val="none"/>
                                <w:shd w:val="clear" w:color="auto" w:fill="auto"/>
                                <w:lang w:val="en-US" w:eastAsia="zh-CN"/>
                              </w:rPr>
                              <w:t>6</w:t>
                            </w:r>
                            <w:r>
                              <w:rPr>
                                <w:rFonts w:hint="default" w:ascii="Times New Roman" w:hAnsi="Times New Roman" w:eastAsia="黑体" w:cs="Times New Roman"/>
                                <w:b/>
                                <w:bCs/>
                                <w:sz w:val="40"/>
                                <w:szCs w:val="40"/>
                                <w:highlight w:val="none"/>
                                <w:shd w:val="clear" w:color="auto" w:fill="auto"/>
                              </w:rPr>
                              <w:t>月</w:t>
                            </w:r>
                          </w:p>
                        </w:txbxContent>
                      </wps:txbx>
                      <wps:bodyPr upright="1"/>
                    </wps:wsp>
                  </a:graphicData>
                </a:graphic>
              </wp:anchor>
            </w:drawing>
          </mc:Choice>
          <mc:Fallback>
            <w:pict>
              <v:shape id="_x0000_s1026" o:spid="_x0000_s1026" o:spt="202" type="#_x0000_t202" style="position:absolute;left:0pt;margin-left:26.7pt;margin-top:13.8pt;height:77.95pt;width:384pt;z-index:251662336;mso-width-relative:page;mso-height-relative:page;" fillcolor="#FFFFFF" filled="t" stroked="f" coordsize="21600,21600" o:gfxdata="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qDF7tcAAAAJAQAADwAAAAAAAAABACAAAAAiAAAAZHJzL2Rvd25yZXYueG1s&#10;UEsBAhQAFAAAAAgAh07iQGzz3dDAAQAAdwMAAA4AAAAAAAAAAQAgAAAAJgEAAGRycy9lMm9Eb2Mu&#10;eG1sUEsFBgAAAAAGAAYAWQEAAFgFAAAAAA==&#10;">
                <v:fill on="t" focussize="0,0"/>
                <v:stroke on="f"/>
                <v:imagedata o:title=""/>
                <o:lock v:ext="edit" aspectratio="f"/>
                <v:textbox>
                  <w:txbxContent>
                    <w:p w14:paraId="5797626F">
                      <w:pPr>
                        <w:jc w:val="center"/>
                        <w:rPr>
                          <w:rFonts w:hint="eastAsia" w:ascii="黑体" w:hAnsi="黑体" w:eastAsia="黑体" w:cs="黑体"/>
                          <w:b w:val="0"/>
                          <w:bCs/>
                          <w:sz w:val="40"/>
                          <w:szCs w:val="40"/>
                          <w:lang w:eastAsia="zh-CN"/>
                        </w:rPr>
                      </w:pPr>
                      <w:r>
                        <w:rPr>
                          <w:rFonts w:hint="eastAsia" w:ascii="黑体" w:hAnsi="黑体" w:eastAsia="黑体" w:cs="黑体"/>
                          <w:b/>
                          <w:bCs/>
                          <w:sz w:val="40"/>
                          <w:szCs w:val="40"/>
                          <w:lang w:val="en-US" w:eastAsia="zh-CN"/>
                        </w:rPr>
                        <w:t>南方电网数字电网集团（广东）有限公司</w:t>
                      </w:r>
                    </w:p>
                    <w:p w14:paraId="142AC034">
                      <w:pPr>
                        <w:jc w:val="center"/>
                      </w:pPr>
                      <w:r>
                        <w:rPr>
                          <w:rFonts w:hint="default" w:ascii="Times New Roman" w:hAnsi="Times New Roman" w:eastAsia="黑体" w:cs="Times New Roman"/>
                          <w:b/>
                          <w:bCs/>
                          <w:sz w:val="40"/>
                          <w:szCs w:val="40"/>
                          <w:highlight w:val="none"/>
                          <w:shd w:val="clear" w:color="auto" w:fill="auto"/>
                          <w:lang w:eastAsia="zh-CN"/>
                        </w:rPr>
                        <w:t>202</w:t>
                      </w:r>
                      <w:r>
                        <w:rPr>
                          <w:rFonts w:hint="default" w:ascii="Times New Roman" w:hAnsi="Times New Roman" w:eastAsia="黑体" w:cs="Times New Roman"/>
                          <w:b/>
                          <w:bCs/>
                          <w:sz w:val="40"/>
                          <w:szCs w:val="40"/>
                          <w:highlight w:val="none"/>
                          <w:shd w:val="clear" w:color="auto" w:fill="auto"/>
                          <w:lang w:val="en-US" w:eastAsia="zh-CN"/>
                        </w:rPr>
                        <w:t>6</w:t>
                      </w:r>
                      <w:r>
                        <w:rPr>
                          <w:rFonts w:hint="default" w:ascii="Times New Roman" w:hAnsi="Times New Roman" w:eastAsia="黑体" w:cs="Times New Roman"/>
                          <w:b/>
                          <w:bCs/>
                          <w:sz w:val="40"/>
                          <w:szCs w:val="40"/>
                          <w:highlight w:val="none"/>
                          <w:shd w:val="clear" w:color="auto" w:fill="auto"/>
                          <w:lang w:eastAsia="zh-CN"/>
                        </w:rPr>
                        <w:t>年</w:t>
                      </w:r>
                      <w:r>
                        <w:rPr>
                          <w:rFonts w:hint="eastAsia" w:ascii="Times New Roman" w:hAnsi="Times New Roman" w:eastAsia="黑体" w:cs="Times New Roman"/>
                          <w:b/>
                          <w:bCs/>
                          <w:sz w:val="40"/>
                          <w:szCs w:val="40"/>
                          <w:highlight w:val="none"/>
                          <w:shd w:val="clear" w:color="auto" w:fill="auto"/>
                          <w:lang w:val="en-US" w:eastAsia="zh-CN"/>
                        </w:rPr>
                        <w:t>6</w:t>
                      </w:r>
                      <w:r>
                        <w:rPr>
                          <w:rFonts w:hint="default" w:ascii="Times New Roman" w:hAnsi="Times New Roman" w:eastAsia="黑体" w:cs="Times New Roman"/>
                          <w:b/>
                          <w:bCs/>
                          <w:sz w:val="40"/>
                          <w:szCs w:val="40"/>
                          <w:highlight w:val="none"/>
                          <w:shd w:val="clear" w:color="auto" w:fill="auto"/>
                        </w:rPr>
                        <w:t>月</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1424940</wp:posOffset>
                </wp:positionH>
                <wp:positionV relativeFrom="paragraph">
                  <wp:posOffset>8778240</wp:posOffset>
                </wp:positionV>
                <wp:extent cx="4457700" cy="989965"/>
                <wp:effectExtent l="0" t="0" r="0" b="635"/>
                <wp:wrapNone/>
                <wp:docPr id="8" name="文本框 8"/>
                <wp:cNvGraphicFramePr/>
                <a:graphic xmlns:a="http://schemas.openxmlformats.org/drawingml/2006/main">
                  <a:graphicData uri="http://schemas.microsoft.com/office/word/2010/wordprocessingShape">
                    <wps:wsp>
                      <wps:cNvSpPr txBox="1"/>
                      <wps:spPr>
                        <a:xfrm>
                          <a:off x="0" y="0"/>
                          <a:ext cx="4457700" cy="989965"/>
                        </a:xfrm>
                        <a:prstGeom prst="rect">
                          <a:avLst/>
                        </a:prstGeom>
                        <a:solidFill>
                          <a:srgbClr val="FFFFFF"/>
                        </a:solidFill>
                        <a:ln>
                          <a:noFill/>
                        </a:ln>
                      </wps:spPr>
                      <wps:txbx>
                        <w:txbxContent>
                          <w:p w14:paraId="16B70C28">
                            <w:pPr>
                              <w:jc w:val="center"/>
                              <w:rPr>
                                <w:rFonts w:hint="eastAsia" w:ascii="宋体" w:hAnsi="宋体"/>
                                <w:b/>
                                <w:sz w:val="28"/>
                                <w:szCs w:val="28"/>
                              </w:rPr>
                            </w:pPr>
                            <w:r>
                              <w:rPr>
                                <w:rFonts w:hint="eastAsia" w:ascii="宋体" w:hAnsi="宋体"/>
                                <w:b/>
                                <w:sz w:val="28"/>
                                <w:szCs w:val="28"/>
                                <w:lang w:eastAsia="zh-CN"/>
                              </w:rPr>
                              <w:t>超高压公司</w:t>
                            </w:r>
                            <w:r>
                              <w:rPr>
                                <w:rFonts w:hint="eastAsia" w:ascii="宋体" w:hAnsi="宋体"/>
                                <w:b/>
                                <w:sz w:val="28"/>
                                <w:szCs w:val="28"/>
                              </w:rPr>
                              <w:t>大理局</w:t>
                            </w:r>
                          </w:p>
                          <w:p w14:paraId="3D17CA36">
                            <w:pPr>
                              <w:jc w:val="center"/>
                              <w:rPr>
                                <w:rFonts w:hint="eastAsia" w:ascii="宋体" w:hAnsi="宋体"/>
                                <w:b/>
                                <w:sz w:val="28"/>
                                <w:szCs w:val="28"/>
                              </w:rPr>
                            </w:pPr>
                            <w:r>
                              <w:rPr>
                                <w:rFonts w:hint="eastAsia" w:ascii="宋体" w:hAnsi="宋体"/>
                                <w:b/>
                                <w:sz w:val="28"/>
                                <w:szCs w:val="28"/>
                              </w:rPr>
                              <w:t>20</w:t>
                            </w:r>
                            <w:r>
                              <w:rPr>
                                <w:rFonts w:hint="eastAsia" w:ascii="宋体" w:hAnsi="宋体"/>
                                <w:b/>
                                <w:sz w:val="28"/>
                                <w:szCs w:val="28"/>
                                <w:lang w:val="en-US" w:eastAsia="zh-CN"/>
                              </w:rPr>
                              <w:t>21</w:t>
                            </w:r>
                            <w:r>
                              <w:rPr>
                                <w:rFonts w:hint="eastAsia" w:ascii="宋体" w:hAnsi="宋体"/>
                                <w:b/>
                                <w:sz w:val="28"/>
                                <w:szCs w:val="28"/>
                              </w:rPr>
                              <w:t>年</w:t>
                            </w:r>
                            <w:r>
                              <w:rPr>
                                <w:rFonts w:hint="eastAsia" w:ascii="宋体" w:hAnsi="宋体"/>
                                <w:b/>
                                <w:sz w:val="28"/>
                                <w:szCs w:val="28"/>
                                <w:lang w:val="en-US" w:eastAsia="zh-CN"/>
                              </w:rPr>
                              <w:t>3</w:t>
                            </w:r>
                            <w:r>
                              <w:rPr>
                                <w:rFonts w:hint="eastAsia" w:ascii="宋体" w:hAnsi="宋体"/>
                                <w:b/>
                                <w:sz w:val="28"/>
                                <w:szCs w:val="28"/>
                              </w:rPr>
                              <w:t>月</w:t>
                            </w:r>
                          </w:p>
                          <w:p w14:paraId="62D45395"/>
                          <w:p w14:paraId="170A6573"/>
                        </w:txbxContent>
                      </wps:txbx>
                      <wps:bodyPr upright="1"/>
                    </wps:wsp>
                  </a:graphicData>
                </a:graphic>
              </wp:anchor>
            </w:drawing>
          </mc:Choice>
          <mc:Fallback>
            <w:pict>
              <v:shape id="_x0000_s1026" o:spid="_x0000_s1026" o:spt="202" type="#_x0000_t202" style="position:absolute;left:0pt;margin-left:112.2pt;margin-top:691.2pt;height:77.95pt;width:351pt;z-index:251661312;mso-width-relative:page;mso-height-relative:page;" fillcolor="#FFFFFF" filled="t" stroked="f" coordsize="21600,21600" o:gfxdata="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KLO8J7aAAAADQEAAA8AAAAAAAAAAQAgAAAAIgAAAGRycy9kb3ducmV2&#10;LnhtbFBLAQIUABQAAAAIAIdO4kBqQlD2wQEAAHcDAAAOAAAAAAAAAAEAIAAAACkBAABkcnMvZTJv&#10;RG9jLnhtbFBLBQYAAAAABgAGAFkBAABcBQAAAAA=&#10;">
                <v:fill on="t" focussize="0,0"/>
                <v:stroke on="f"/>
                <v:imagedata o:title=""/>
                <o:lock v:ext="edit" aspectratio="f"/>
                <v:textbox>
                  <w:txbxContent>
                    <w:p w14:paraId="16B70C28">
                      <w:pPr>
                        <w:jc w:val="center"/>
                        <w:rPr>
                          <w:rFonts w:hint="eastAsia" w:ascii="宋体" w:hAnsi="宋体"/>
                          <w:b/>
                          <w:sz w:val="28"/>
                          <w:szCs w:val="28"/>
                        </w:rPr>
                      </w:pPr>
                      <w:r>
                        <w:rPr>
                          <w:rFonts w:hint="eastAsia" w:ascii="宋体" w:hAnsi="宋体"/>
                          <w:b/>
                          <w:sz w:val="28"/>
                          <w:szCs w:val="28"/>
                          <w:lang w:eastAsia="zh-CN"/>
                        </w:rPr>
                        <w:t>超高压公司</w:t>
                      </w:r>
                      <w:r>
                        <w:rPr>
                          <w:rFonts w:hint="eastAsia" w:ascii="宋体" w:hAnsi="宋体"/>
                          <w:b/>
                          <w:sz w:val="28"/>
                          <w:szCs w:val="28"/>
                        </w:rPr>
                        <w:t>大理局</w:t>
                      </w:r>
                    </w:p>
                    <w:p w14:paraId="3D17CA36">
                      <w:pPr>
                        <w:jc w:val="center"/>
                        <w:rPr>
                          <w:rFonts w:hint="eastAsia" w:ascii="宋体" w:hAnsi="宋体"/>
                          <w:b/>
                          <w:sz w:val="28"/>
                          <w:szCs w:val="28"/>
                        </w:rPr>
                      </w:pPr>
                      <w:r>
                        <w:rPr>
                          <w:rFonts w:hint="eastAsia" w:ascii="宋体" w:hAnsi="宋体"/>
                          <w:b/>
                          <w:sz w:val="28"/>
                          <w:szCs w:val="28"/>
                        </w:rPr>
                        <w:t>20</w:t>
                      </w:r>
                      <w:r>
                        <w:rPr>
                          <w:rFonts w:hint="eastAsia" w:ascii="宋体" w:hAnsi="宋体"/>
                          <w:b/>
                          <w:sz w:val="28"/>
                          <w:szCs w:val="28"/>
                          <w:lang w:val="en-US" w:eastAsia="zh-CN"/>
                        </w:rPr>
                        <w:t>21</w:t>
                      </w:r>
                      <w:r>
                        <w:rPr>
                          <w:rFonts w:hint="eastAsia" w:ascii="宋体" w:hAnsi="宋体"/>
                          <w:b/>
                          <w:sz w:val="28"/>
                          <w:szCs w:val="28"/>
                        </w:rPr>
                        <w:t>年</w:t>
                      </w:r>
                      <w:r>
                        <w:rPr>
                          <w:rFonts w:hint="eastAsia" w:ascii="宋体" w:hAnsi="宋体"/>
                          <w:b/>
                          <w:sz w:val="28"/>
                          <w:szCs w:val="28"/>
                          <w:lang w:val="en-US" w:eastAsia="zh-CN"/>
                        </w:rPr>
                        <w:t>3</w:t>
                      </w:r>
                      <w:r>
                        <w:rPr>
                          <w:rFonts w:hint="eastAsia" w:ascii="宋体" w:hAnsi="宋体"/>
                          <w:b/>
                          <w:sz w:val="28"/>
                          <w:szCs w:val="28"/>
                        </w:rPr>
                        <w:t>月</w:t>
                      </w:r>
                    </w:p>
                    <w:p w14:paraId="62D45395"/>
                    <w:p w14:paraId="170A6573"/>
                  </w:txbxContent>
                </v:textbox>
              </v:shape>
            </w:pict>
          </mc:Fallback>
        </mc:AlternateContent>
      </w:r>
    </w:p>
    <w:sdt>
      <w:sdtPr>
        <w:rPr>
          <w:rFonts w:ascii="宋体" w:hAnsi="宋体" w:eastAsia="宋体" w:cstheme="minorBidi"/>
          <w:kern w:val="2"/>
          <w:sz w:val="21"/>
          <w:szCs w:val="24"/>
          <w:lang w:val="en-US" w:eastAsia="zh-CN" w:bidi="ar-SA"/>
        </w:rPr>
        <w:id w:val="147468409"/>
        <w15:color w:val="DBDBDB"/>
        <w:docPartObj>
          <w:docPartGallery w:val="Table of Contents"/>
          <w:docPartUnique/>
        </w:docPartObj>
      </w:sdtPr>
      <w:sdtEndPr>
        <w:rPr>
          <w:rFonts w:hint="eastAsia" w:ascii="方正小标宋_GBK" w:hAnsi="方正小标宋_GBK" w:eastAsia="方正小标宋_GBK" w:cs="方正小标宋_GBK"/>
          <w:kern w:val="2"/>
          <w:sz w:val="21"/>
          <w:szCs w:val="44"/>
          <w:lang w:val="en-US" w:eastAsia="zh-CN" w:bidi="ar-SA"/>
        </w:rPr>
      </w:sdtEndPr>
      <w:sdtContent>
        <w:p w14:paraId="03BEDA65">
          <w:pPr>
            <w:spacing w:before="0" w:beforeLines="0" w:after="0" w:afterLines="0" w:line="240" w:lineRule="auto"/>
            <w:ind w:left="0" w:leftChars="0" w:right="0" w:rightChars="0" w:firstLine="0" w:firstLineChars="0"/>
            <w:jc w:val="center"/>
            <w:rPr>
              <w:sz w:val="36"/>
              <w:szCs w:val="36"/>
            </w:rPr>
          </w:pPr>
          <w:r>
            <w:rPr>
              <w:rFonts w:ascii="宋体" w:hAnsi="宋体" w:eastAsia="宋体"/>
              <w:sz w:val="36"/>
              <w:szCs w:val="36"/>
            </w:rPr>
            <w:t>目录</w:t>
          </w:r>
        </w:p>
        <w:p w14:paraId="2834269E">
          <w:pPr>
            <w:rPr>
              <w:rFonts w:hint="eastAsia" w:ascii="宋体" w:hAnsi="宋体" w:eastAsia="宋体" w:cs="宋体"/>
              <w:b/>
              <w:sz w:val="28"/>
              <w:szCs w:val="28"/>
              <w:lang w:eastAsia="zh-CN"/>
            </w:rPr>
          </w:pPr>
          <w:r>
            <w:rPr>
              <w:rFonts w:hint="eastAsia" w:ascii="宋体" w:hAnsi="宋体" w:eastAsia="宋体" w:cs="宋体"/>
              <w:b/>
              <w:sz w:val="28"/>
              <w:szCs w:val="28"/>
              <w:lang w:eastAsia="zh-CN"/>
            </w:rPr>
            <w:br w:type="page"/>
          </w:r>
        </w:p>
        <w:p w14:paraId="5C4EAA25">
          <w:pPr>
            <w:pStyle w:val="10"/>
            <w:tabs>
              <w:tab w:val="right" w:leader="dot" w:pos="8306"/>
              <w:tab w:val="clear" w:pos="420"/>
              <w:tab w:val="clear" w:pos="8705"/>
            </w:tabs>
            <w:rPr>
              <w:rFonts w:hint="eastAsia" w:ascii="宋体" w:hAnsi="宋体" w:eastAsia="宋体" w:cs="宋体"/>
              <w:b/>
              <w:bCs w:val="0"/>
              <w:sz w:val="28"/>
              <w:szCs w:val="28"/>
            </w:rPr>
          </w:pPr>
          <w:r>
            <w:rPr>
              <w:rFonts w:hint="eastAsia" w:ascii="宋体" w:hAnsi="宋体" w:eastAsia="宋体" w:cs="宋体"/>
              <w:b/>
              <w:sz w:val="28"/>
              <w:szCs w:val="28"/>
              <w:lang w:eastAsia="zh-CN"/>
            </w:rPr>
            <w:fldChar w:fldCharType="begin"/>
          </w:r>
          <w:r>
            <w:rPr>
              <w:rFonts w:hint="eastAsia" w:ascii="宋体" w:hAnsi="宋体" w:eastAsia="宋体" w:cs="宋体"/>
              <w:b/>
              <w:sz w:val="28"/>
              <w:szCs w:val="28"/>
              <w:lang w:eastAsia="zh-CN"/>
            </w:rPr>
            <w:instrText xml:space="preserve">TOC \o "1-1" \h \u </w:instrText>
          </w:r>
          <w:r>
            <w:rPr>
              <w:rFonts w:hint="eastAsia" w:ascii="宋体" w:hAnsi="宋体" w:eastAsia="宋体" w:cs="宋体"/>
              <w:b/>
              <w:sz w:val="28"/>
              <w:szCs w:val="28"/>
              <w:lang w:eastAsia="zh-CN"/>
            </w:rPr>
            <w:fldChar w:fldCharType="separate"/>
          </w:r>
          <w:r>
            <w:rPr>
              <w:rFonts w:hint="eastAsia" w:ascii="宋体" w:hAnsi="宋体" w:eastAsia="宋体" w:cs="宋体"/>
              <w:b/>
              <w:bCs w:val="0"/>
              <w:sz w:val="28"/>
              <w:szCs w:val="28"/>
              <w:lang w:eastAsia="zh-CN"/>
            </w:rPr>
            <w:fldChar w:fldCharType="begin"/>
          </w:r>
          <w:r>
            <w:rPr>
              <w:rFonts w:hint="eastAsia" w:ascii="宋体" w:hAnsi="宋体" w:eastAsia="宋体" w:cs="宋体"/>
              <w:b/>
              <w:bCs w:val="0"/>
              <w:sz w:val="28"/>
              <w:szCs w:val="28"/>
              <w:lang w:eastAsia="zh-CN"/>
            </w:rPr>
            <w:instrText xml:space="preserve"> HYPERLINK \l _Toc29647 </w:instrText>
          </w:r>
          <w:r>
            <w:rPr>
              <w:rFonts w:hint="eastAsia" w:ascii="宋体" w:hAnsi="宋体" w:eastAsia="宋体" w:cs="宋体"/>
              <w:b/>
              <w:bCs w:val="0"/>
              <w:sz w:val="28"/>
              <w:szCs w:val="28"/>
              <w:lang w:eastAsia="zh-CN"/>
            </w:rPr>
            <w:fldChar w:fldCharType="separate"/>
          </w:r>
          <w:r>
            <w:rPr>
              <w:rFonts w:hint="eastAsia" w:ascii="宋体" w:hAnsi="宋体" w:eastAsia="宋体" w:cs="宋体"/>
              <w:b/>
              <w:bCs w:val="0"/>
              <w:sz w:val="28"/>
              <w:szCs w:val="28"/>
              <w:lang w:val="en-US" w:eastAsia="zh-CN"/>
            </w:rPr>
            <w:t>一、项目概况</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_Toc29647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1</w:t>
          </w:r>
          <w:r>
            <w:rPr>
              <w:rFonts w:hint="eastAsia" w:ascii="宋体" w:hAnsi="宋体" w:eastAsia="宋体" w:cs="宋体"/>
              <w:b/>
              <w:bCs w:val="0"/>
              <w:sz w:val="28"/>
              <w:szCs w:val="28"/>
            </w:rPr>
            <w:fldChar w:fldCharType="end"/>
          </w:r>
          <w:r>
            <w:rPr>
              <w:rFonts w:hint="eastAsia" w:ascii="宋体" w:hAnsi="宋体" w:eastAsia="宋体" w:cs="宋体"/>
              <w:b/>
              <w:bCs w:val="0"/>
              <w:sz w:val="28"/>
              <w:szCs w:val="28"/>
              <w:lang w:eastAsia="zh-CN"/>
            </w:rPr>
            <w:fldChar w:fldCharType="end"/>
          </w:r>
        </w:p>
        <w:p w14:paraId="08F51298">
          <w:pPr>
            <w:pStyle w:val="10"/>
            <w:tabs>
              <w:tab w:val="right" w:leader="dot" w:pos="8306"/>
              <w:tab w:val="clear" w:pos="420"/>
              <w:tab w:val="clear" w:pos="8705"/>
            </w:tabs>
            <w:rPr>
              <w:rFonts w:hint="eastAsia" w:ascii="宋体" w:hAnsi="宋体" w:eastAsia="宋体" w:cs="宋体"/>
              <w:b/>
              <w:bCs w:val="0"/>
              <w:sz w:val="28"/>
              <w:szCs w:val="28"/>
            </w:rPr>
          </w:pPr>
          <w:r>
            <w:rPr>
              <w:rFonts w:hint="eastAsia" w:ascii="宋体" w:hAnsi="宋体" w:eastAsia="宋体" w:cs="宋体"/>
              <w:b/>
              <w:bCs w:val="0"/>
              <w:sz w:val="28"/>
              <w:szCs w:val="28"/>
              <w:lang w:eastAsia="zh-CN"/>
            </w:rPr>
            <w:fldChar w:fldCharType="begin"/>
          </w:r>
          <w:r>
            <w:rPr>
              <w:rFonts w:hint="eastAsia" w:ascii="宋体" w:hAnsi="宋体" w:eastAsia="宋体" w:cs="宋体"/>
              <w:b/>
              <w:bCs w:val="0"/>
              <w:sz w:val="28"/>
              <w:szCs w:val="28"/>
              <w:lang w:eastAsia="zh-CN"/>
            </w:rPr>
            <w:instrText xml:space="preserve"> HYPERLINK \l _Toc13430 </w:instrText>
          </w:r>
          <w:r>
            <w:rPr>
              <w:rFonts w:hint="eastAsia" w:ascii="宋体" w:hAnsi="宋体" w:eastAsia="宋体" w:cs="宋体"/>
              <w:b/>
              <w:bCs w:val="0"/>
              <w:sz w:val="28"/>
              <w:szCs w:val="28"/>
              <w:lang w:eastAsia="zh-CN"/>
            </w:rPr>
            <w:fldChar w:fldCharType="separate"/>
          </w:r>
          <w:r>
            <w:rPr>
              <w:rFonts w:hint="eastAsia" w:ascii="宋体" w:hAnsi="宋体" w:eastAsia="宋体" w:cs="宋体"/>
              <w:b/>
              <w:bCs w:val="0"/>
              <w:sz w:val="28"/>
              <w:szCs w:val="28"/>
              <w:lang w:val="en-US" w:eastAsia="zh-CN"/>
            </w:rPr>
            <w:t>二、服务期限</w:t>
          </w:r>
          <w:r>
            <w:rPr>
              <w:rFonts w:hint="eastAsia" w:ascii="宋体" w:hAnsi="宋体" w:eastAsia="宋体" w:cs="宋体"/>
              <w:b/>
              <w:bCs w:val="0"/>
              <w:sz w:val="28"/>
              <w:szCs w:val="28"/>
            </w:rPr>
            <w:tab/>
          </w:r>
          <w:r>
            <w:rPr>
              <w:rFonts w:hint="eastAsia" w:ascii="宋体" w:hAnsi="宋体" w:eastAsia="宋体" w:cs="宋体"/>
              <w:b/>
              <w:bCs w:val="0"/>
              <w:sz w:val="28"/>
              <w:szCs w:val="28"/>
              <w:lang w:val="en-US" w:eastAsia="zh-CN"/>
            </w:rPr>
            <w:t>2</w:t>
          </w:r>
          <w:r>
            <w:rPr>
              <w:rFonts w:hint="eastAsia" w:ascii="宋体" w:hAnsi="宋体" w:eastAsia="宋体" w:cs="宋体"/>
              <w:b/>
              <w:bCs w:val="0"/>
              <w:sz w:val="28"/>
              <w:szCs w:val="28"/>
              <w:lang w:eastAsia="zh-CN"/>
            </w:rPr>
            <w:fldChar w:fldCharType="end"/>
          </w:r>
        </w:p>
        <w:p w14:paraId="4F775FE3">
          <w:pPr>
            <w:pStyle w:val="10"/>
            <w:tabs>
              <w:tab w:val="right" w:leader="dot" w:pos="8306"/>
              <w:tab w:val="clear" w:pos="420"/>
              <w:tab w:val="clear" w:pos="8705"/>
            </w:tabs>
            <w:rPr>
              <w:rFonts w:hint="eastAsia" w:ascii="宋体" w:hAnsi="宋体" w:eastAsia="宋体" w:cs="宋体"/>
              <w:b/>
              <w:bCs w:val="0"/>
              <w:sz w:val="28"/>
              <w:szCs w:val="28"/>
            </w:rPr>
          </w:pPr>
          <w:r>
            <w:rPr>
              <w:rFonts w:hint="eastAsia" w:ascii="宋体" w:hAnsi="宋体" w:eastAsia="宋体" w:cs="宋体"/>
              <w:b/>
              <w:bCs w:val="0"/>
              <w:sz w:val="28"/>
              <w:szCs w:val="28"/>
              <w:lang w:eastAsia="zh-CN"/>
            </w:rPr>
            <w:fldChar w:fldCharType="begin"/>
          </w:r>
          <w:r>
            <w:rPr>
              <w:rFonts w:hint="eastAsia" w:ascii="宋体" w:hAnsi="宋体" w:eastAsia="宋体" w:cs="宋体"/>
              <w:b/>
              <w:bCs w:val="0"/>
              <w:sz w:val="28"/>
              <w:szCs w:val="28"/>
              <w:lang w:eastAsia="zh-CN"/>
            </w:rPr>
            <w:instrText xml:space="preserve"> HYPERLINK \l _Toc30975 </w:instrText>
          </w:r>
          <w:r>
            <w:rPr>
              <w:rFonts w:hint="eastAsia" w:ascii="宋体" w:hAnsi="宋体" w:eastAsia="宋体" w:cs="宋体"/>
              <w:b/>
              <w:bCs w:val="0"/>
              <w:sz w:val="28"/>
              <w:szCs w:val="28"/>
              <w:lang w:eastAsia="zh-CN"/>
            </w:rPr>
            <w:fldChar w:fldCharType="separate"/>
          </w:r>
          <w:r>
            <w:rPr>
              <w:rFonts w:hint="eastAsia" w:ascii="宋体" w:hAnsi="宋体" w:eastAsia="宋体" w:cs="宋体"/>
              <w:b/>
              <w:bCs w:val="0"/>
              <w:sz w:val="28"/>
              <w:szCs w:val="28"/>
              <w:lang w:val="en-US" w:eastAsia="zh-CN"/>
            </w:rPr>
            <w:t>三、服务内容</w:t>
          </w:r>
          <w:r>
            <w:rPr>
              <w:rFonts w:hint="eastAsia" w:ascii="宋体" w:hAnsi="宋体" w:eastAsia="宋体" w:cs="宋体"/>
              <w:b/>
              <w:bCs w:val="0"/>
              <w:sz w:val="28"/>
              <w:szCs w:val="28"/>
            </w:rPr>
            <w:tab/>
          </w:r>
          <w:r>
            <w:rPr>
              <w:rFonts w:hint="eastAsia" w:ascii="宋体" w:hAnsi="宋体" w:eastAsia="宋体" w:cs="宋体"/>
              <w:b/>
              <w:bCs w:val="0"/>
              <w:sz w:val="28"/>
              <w:szCs w:val="28"/>
              <w:lang w:val="en-US" w:eastAsia="zh-CN"/>
            </w:rPr>
            <w:t>3</w:t>
          </w:r>
          <w:r>
            <w:rPr>
              <w:rFonts w:hint="eastAsia" w:ascii="宋体" w:hAnsi="宋体" w:eastAsia="宋体" w:cs="宋体"/>
              <w:b/>
              <w:bCs w:val="0"/>
              <w:sz w:val="28"/>
              <w:szCs w:val="28"/>
              <w:lang w:eastAsia="zh-CN"/>
            </w:rPr>
            <w:fldChar w:fldCharType="end"/>
          </w:r>
        </w:p>
        <w:p w14:paraId="7B0227AB">
          <w:pPr>
            <w:pStyle w:val="10"/>
            <w:tabs>
              <w:tab w:val="right" w:leader="dot" w:pos="8306"/>
              <w:tab w:val="clear" w:pos="420"/>
              <w:tab w:val="clear" w:pos="8705"/>
            </w:tabs>
            <w:rPr>
              <w:rFonts w:hint="eastAsia" w:ascii="宋体" w:hAnsi="宋体" w:eastAsia="宋体" w:cs="宋体"/>
              <w:b/>
              <w:bCs w:val="0"/>
              <w:sz w:val="28"/>
              <w:szCs w:val="28"/>
            </w:rPr>
          </w:pPr>
          <w:r>
            <w:rPr>
              <w:rFonts w:hint="eastAsia" w:ascii="宋体" w:hAnsi="宋体" w:eastAsia="宋体" w:cs="宋体"/>
              <w:b/>
              <w:bCs w:val="0"/>
              <w:sz w:val="28"/>
              <w:szCs w:val="28"/>
              <w:lang w:eastAsia="zh-CN"/>
            </w:rPr>
            <w:fldChar w:fldCharType="begin"/>
          </w:r>
          <w:r>
            <w:rPr>
              <w:rFonts w:hint="eastAsia" w:ascii="宋体" w:hAnsi="宋体" w:eastAsia="宋体" w:cs="宋体"/>
              <w:b/>
              <w:bCs w:val="0"/>
              <w:sz w:val="28"/>
              <w:szCs w:val="28"/>
              <w:lang w:eastAsia="zh-CN"/>
            </w:rPr>
            <w:instrText xml:space="preserve"> HYPERLINK \l _Toc26139 </w:instrText>
          </w:r>
          <w:r>
            <w:rPr>
              <w:rFonts w:hint="eastAsia" w:ascii="宋体" w:hAnsi="宋体" w:eastAsia="宋体" w:cs="宋体"/>
              <w:b/>
              <w:bCs w:val="0"/>
              <w:sz w:val="28"/>
              <w:szCs w:val="28"/>
              <w:lang w:eastAsia="zh-CN"/>
            </w:rPr>
            <w:fldChar w:fldCharType="separate"/>
          </w:r>
          <w:r>
            <w:rPr>
              <w:rFonts w:hint="eastAsia" w:ascii="宋体" w:hAnsi="宋体" w:eastAsia="宋体" w:cs="宋体"/>
              <w:b/>
              <w:bCs w:val="0"/>
              <w:sz w:val="28"/>
              <w:szCs w:val="28"/>
              <w:lang w:val="en-US" w:eastAsia="zh-CN"/>
            </w:rPr>
            <w:t>四、服务要求</w:t>
          </w:r>
          <w:r>
            <w:rPr>
              <w:rFonts w:hint="eastAsia" w:ascii="宋体" w:hAnsi="宋体" w:eastAsia="宋体" w:cs="宋体"/>
              <w:b/>
              <w:bCs w:val="0"/>
              <w:sz w:val="28"/>
              <w:szCs w:val="28"/>
            </w:rPr>
            <w:tab/>
          </w:r>
          <w:r>
            <w:rPr>
              <w:rFonts w:hint="eastAsia" w:ascii="宋体" w:hAnsi="宋体" w:eastAsia="宋体" w:cs="宋体"/>
              <w:b/>
              <w:bCs w:val="0"/>
              <w:sz w:val="28"/>
              <w:szCs w:val="28"/>
              <w:lang w:val="en-US" w:eastAsia="zh-CN"/>
            </w:rPr>
            <w:t>9</w:t>
          </w:r>
          <w:r>
            <w:rPr>
              <w:rFonts w:hint="eastAsia" w:ascii="宋体" w:hAnsi="宋体" w:eastAsia="宋体" w:cs="宋体"/>
              <w:b/>
              <w:bCs w:val="0"/>
              <w:sz w:val="28"/>
              <w:szCs w:val="28"/>
              <w:lang w:eastAsia="zh-CN"/>
            </w:rPr>
            <w:fldChar w:fldCharType="end"/>
          </w:r>
        </w:p>
        <w:p w14:paraId="48321916">
          <w:pPr>
            <w:pStyle w:val="10"/>
            <w:tabs>
              <w:tab w:val="right" w:leader="dot" w:pos="8306"/>
              <w:tab w:val="clear" w:pos="420"/>
              <w:tab w:val="clear" w:pos="8705"/>
            </w:tabs>
            <w:rPr>
              <w:rFonts w:hint="default"/>
              <w:lang w:val="en-US"/>
            </w:rPr>
          </w:pPr>
          <w:r>
            <w:rPr>
              <w:rFonts w:hint="eastAsia" w:ascii="宋体" w:hAnsi="宋体" w:eastAsia="宋体" w:cs="宋体"/>
              <w:b/>
              <w:bCs w:val="0"/>
              <w:sz w:val="28"/>
              <w:szCs w:val="28"/>
              <w:lang w:eastAsia="zh-CN"/>
            </w:rPr>
            <w:fldChar w:fldCharType="begin"/>
          </w:r>
          <w:r>
            <w:rPr>
              <w:rFonts w:hint="eastAsia" w:ascii="宋体" w:hAnsi="宋体" w:eastAsia="宋体" w:cs="宋体"/>
              <w:b/>
              <w:bCs w:val="0"/>
              <w:sz w:val="28"/>
              <w:szCs w:val="28"/>
              <w:lang w:eastAsia="zh-CN"/>
            </w:rPr>
            <w:instrText xml:space="preserve"> HYPERLINK \l _Toc17425 </w:instrText>
          </w:r>
          <w:r>
            <w:rPr>
              <w:rFonts w:hint="eastAsia" w:ascii="宋体" w:hAnsi="宋体" w:eastAsia="宋体" w:cs="宋体"/>
              <w:b/>
              <w:bCs w:val="0"/>
              <w:sz w:val="28"/>
              <w:szCs w:val="28"/>
              <w:lang w:eastAsia="zh-CN"/>
            </w:rPr>
            <w:fldChar w:fldCharType="separate"/>
          </w:r>
          <w:r>
            <w:rPr>
              <w:rFonts w:hint="eastAsia" w:ascii="宋体" w:hAnsi="宋体" w:eastAsia="宋体" w:cs="宋体"/>
              <w:b/>
              <w:bCs w:val="0"/>
              <w:sz w:val="28"/>
              <w:szCs w:val="28"/>
              <w:lang w:val="en-US" w:eastAsia="zh-CN"/>
            </w:rPr>
            <w:t>五、专项约定要求</w:t>
          </w:r>
          <w:r>
            <w:rPr>
              <w:rFonts w:hint="eastAsia" w:ascii="宋体" w:hAnsi="宋体" w:eastAsia="宋体" w:cs="宋体"/>
              <w:b/>
              <w:bCs w:val="0"/>
              <w:sz w:val="28"/>
              <w:szCs w:val="28"/>
            </w:rPr>
            <w:tab/>
          </w:r>
          <w:r>
            <w:rPr>
              <w:rFonts w:hint="eastAsia" w:ascii="宋体" w:hAnsi="宋体" w:eastAsia="宋体" w:cs="宋体"/>
              <w:b/>
              <w:bCs w:val="0"/>
              <w:sz w:val="28"/>
              <w:szCs w:val="28"/>
              <w:lang w:val="en-US" w:eastAsia="zh-CN"/>
            </w:rPr>
            <w:t>1</w:t>
          </w:r>
          <w:r>
            <w:rPr>
              <w:rFonts w:hint="eastAsia" w:ascii="宋体" w:hAnsi="宋体" w:eastAsia="宋体" w:cs="宋体"/>
              <w:b/>
              <w:bCs w:val="0"/>
              <w:sz w:val="28"/>
              <w:szCs w:val="28"/>
              <w:lang w:eastAsia="zh-CN"/>
            </w:rPr>
            <w:fldChar w:fldCharType="end"/>
          </w:r>
          <w:r>
            <w:rPr>
              <w:rFonts w:hint="eastAsia" w:ascii="宋体" w:hAnsi="宋体" w:eastAsia="宋体" w:cs="宋体"/>
              <w:b/>
              <w:bCs w:val="0"/>
              <w:sz w:val="28"/>
              <w:szCs w:val="28"/>
              <w:lang w:val="en-US" w:eastAsia="zh-CN"/>
            </w:rPr>
            <w:t>1</w:t>
          </w:r>
        </w:p>
        <w:p w14:paraId="67CEA026">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方正小标宋_GBK" w:hAnsi="方正小标宋_GBK" w:eastAsia="方正小标宋_GBK" w:cs="方正小标宋_GBK"/>
              <w:kern w:val="2"/>
              <w:sz w:val="21"/>
              <w:szCs w:val="44"/>
              <w:lang w:val="en-US" w:eastAsia="zh-CN" w:bidi="ar-SA"/>
            </w:rPr>
          </w:pPr>
          <w:r>
            <w:rPr>
              <w:rFonts w:hint="eastAsia" w:ascii="宋体" w:hAnsi="宋体" w:eastAsia="宋体" w:cs="宋体"/>
              <w:szCs w:val="28"/>
              <w:lang w:eastAsia="zh-CN"/>
            </w:rPr>
            <w:fldChar w:fldCharType="end"/>
          </w:r>
        </w:p>
      </w:sdtContent>
    </w:sdt>
    <w:p w14:paraId="4E7FDF6E">
      <w:pPr>
        <w:bidi w:val="0"/>
        <w:rPr>
          <w:rFonts w:hint="eastAsia" w:asciiTheme="minorHAnsi" w:hAnsiTheme="minorHAnsi" w:eastAsiaTheme="minorEastAsia" w:cstheme="minorBidi"/>
          <w:kern w:val="2"/>
          <w:sz w:val="21"/>
          <w:szCs w:val="24"/>
          <w:lang w:val="en-US" w:eastAsia="zh-CN" w:bidi="ar-SA"/>
        </w:rPr>
      </w:pPr>
    </w:p>
    <w:p w14:paraId="2ECF2423">
      <w:pPr>
        <w:bidi w:val="0"/>
        <w:rPr>
          <w:rFonts w:hint="eastAsia"/>
          <w:lang w:val="en-US" w:eastAsia="zh-CN"/>
        </w:rPr>
      </w:pPr>
    </w:p>
    <w:p w14:paraId="4DA1134E">
      <w:pPr>
        <w:bidi w:val="0"/>
        <w:rPr>
          <w:rFonts w:hint="eastAsia"/>
          <w:lang w:val="en-US" w:eastAsia="zh-CN"/>
        </w:rPr>
      </w:pPr>
    </w:p>
    <w:p w14:paraId="5CEF7B86">
      <w:pPr>
        <w:bidi w:val="0"/>
        <w:rPr>
          <w:rFonts w:hint="eastAsia"/>
          <w:lang w:val="en-US" w:eastAsia="zh-CN"/>
        </w:rPr>
      </w:pPr>
    </w:p>
    <w:p w14:paraId="2B70FD3E">
      <w:pPr>
        <w:bidi w:val="0"/>
        <w:rPr>
          <w:rFonts w:hint="eastAsia"/>
          <w:lang w:val="en-US" w:eastAsia="zh-CN"/>
        </w:rPr>
      </w:pPr>
    </w:p>
    <w:p w14:paraId="5C5A69C9">
      <w:pPr>
        <w:bidi w:val="0"/>
        <w:rPr>
          <w:rFonts w:hint="eastAsia"/>
          <w:lang w:val="en-US" w:eastAsia="zh-CN"/>
        </w:rPr>
      </w:pPr>
    </w:p>
    <w:p w14:paraId="7E3CD83F">
      <w:pPr>
        <w:bidi w:val="0"/>
        <w:rPr>
          <w:rFonts w:hint="eastAsia"/>
          <w:lang w:val="en-US" w:eastAsia="zh-CN"/>
        </w:rPr>
      </w:pPr>
    </w:p>
    <w:p w14:paraId="67F6A5CC">
      <w:pPr>
        <w:tabs>
          <w:tab w:val="left" w:pos="4671"/>
        </w:tabs>
        <w:bidi w:val="0"/>
        <w:jc w:val="left"/>
        <w:rPr>
          <w:rFonts w:hint="eastAsia"/>
          <w:lang w:val="en-US" w:eastAsia="zh-CN"/>
        </w:rPr>
        <w:sectPr>
          <w:pgSz w:w="11906" w:h="16838"/>
          <w:pgMar w:top="1587" w:right="1800" w:bottom="1587" w:left="1800" w:header="851" w:footer="992" w:gutter="0"/>
          <w:cols w:space="425" w:num="1"/>
          <w:docGrid w:type="lines" w:linePitch="312" w:charSpace="0"/>
        </w:sectPr>
      </w:pPr>
      <w:r>
        <w:rPr>
          <w:rFonts w:hint="eastAsia"/>
          <w:lang w:val="en-US" w:eastAsia="zh-CN"/>
        </w:rPr>
        <w:tab/>
      </w:r>
    </w:p>
    <w:p w14:paraId="0312F9E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sz w:val="32"/>
          <w:szCs w:val="32"/>
        </w:rPr>
        <w:t>说明：本技术规范书将作为合同的组成部分，与合同具有同等法律效力，本技术规范书的工作内容与要求将纳入考核办法中，各</w:t>
      </w:r>
      <w:r>
        <w:rPr>
          <w:rFonts w:hint="eastAsia" w:ascii="仿宋_GB2312" w:hAnsi="仿宋_GB2312" w:eastAsia="仿宋_GB2312" w:cs="仿宋_GB2312"/>
          <w:b w:val="0"/>
          <w:bCs/>
          <w:sz w:val="32"/>
          <w:szCs w:val="32"/>
          <w:lang w:val="en-US" w:eastAsia="zh-CN"/>
        </w:rPr>
        <w:t>报价人</w:t>
      </w:r>
      <w:r>
        <w:rPr>
          <w:rFonts w:hint="eastAsia" w:ascii="仿宋_GB2312" w:hAnsi="仿宋_GB2312" w:eastAsia="仿宋_GB2312" w:cs="仿宋_GB2312"/>
          <w:b w:val="0"/>
          <w:bCs/>
          <w:sz w:val="32"/>
          <w:szCs w:val="32"/>
        </w:rPr>
        <w:t>须认真仔细阅读理解。</w:t>
      </w:r>
      <w:bookmarkStart w:id="0" w:name="_Toc10149"/>
      <w:bookmarkStart w:id="1" w:name="_Toc25822"/>
      <w:bookmarkStart w:id="2" w:name="_Toc3786"/>
      <w:bookmarkStart w:id="3" w:name="_Toc14218"/>
      <w:bookmarkStart w:id="4" w:name="_Toc9979"/>
      <w:bookmarkStart w:id="5" w:name="_Toc18338"/>
      <w:bookmarkStart w:id="6" w:name="_Toc25363"/>
      <w:bookmarkStart w:id="7" w:name="_Toc23022"/>
      <w:bookmarkStart w:id="8" w:name="_Toc20997"/>
      <w:bookmarkStart w:id="9" w:name="_Toc15991_WPSOffice_Level1"/>
      <w:bookmarkStart w:id="10" w:name="_Toc31330"/>
    </w:p>
    <w:p w14:paraId="166373D8">
      <w:pPr>
        <w:pStyle w:val="2"/>
        <w:keepNext/>
        <w:keepLines/>
        <w:pageBreakBefore w:val="0"/>
        <w:widowControl w:val="0"/>
        <w:numPr>
          <w:ilvl w:val="0"/>
          <w:numId w:val="0"/>
        </w:numPr>
        <w:kinsoku/>
        <w:wordWrap/>
        <w:overflowPunct/>
        <w:topLinePunct/>
        <w:autoSpaceDE/>
        <w:autoSpaceDN/>
        <w:bidi w:val="0"/>
        <w:adjustRightInd w:val="0"/>
        <w:snapToGrid w:val="0"/>
        <w:spacing w:line="560" w:lineRule="exact"/>
        <w:ind w:firstLine="643" w:firstLineChars="200"/>
        <w:jc w:val="both"/>
        <w:textAlignment w:val="baseline"/>
        <w:rPr>
          <w:rFonts w:hint="eastAsia" w:ascii="楷体_GB2312" w:hAnsi="楷体_GB2312" w:eastAsia="楷体_GB2312" w:cs="楷体_GB2312"/>
          <w:b/>
          <w:bCs/>
          <w:sz w:val="32"/>
          <w:szCs w:val="32"/>
          <w:highlight w:val="none"/>
        </w:rPr>
      </w:pPr>
      <w:bookmarkStart w:id="11" w:name="_Toc29647"/>
      <w:r>
        <w:rPr>
          <w:rFonts w:hint="eastAsia" w:ascii="楷体_GB2312" w:hAnsi="楷体_GB2312" w:eastAsia="楷体_GB2312" w:cs="楷体_GB2312"/>
          <w:b/>
          <w:bCs/>
          <w:sz w:val="32"/>
          <w:szCs w:val="32"/>
          <w:highlight w:val="none"/>
          <w:lang w:val="en-US" w:eastAsia="zh-CN"/>
        </w:rPr>
        <w:t>一、项目概</w:t>
      </w:r>
      <w:bookmarkEnd w:id="0"/>
      <w:bookmarkEnd w:id="1"/>
      <w:bookmarkEnd w:id="2"/>
      <w:bookmarkEnd w:id="3"/>
      <w:bookmarkEnd w:id="4"/>
      <w:bookmarkEnd w:id="5"/>
      <w:bookmarkEnd w:id="6"/>
      <w:bookmarkEnd w:id="7"/>
      <w:bookmarkEnd w:id="8"/>
      <w:r>
        <w:rPr>
          <w:rFonts w:hint="eastAsia" w:ascii="楷体_GB2312" w:hAnsi="楷体_GB2312" w:eastAsia="楷体_GB2312" w:cs="楷体_GB2312"/>
          <w:b/>
          <w:bCs/>
          <w:sz w:val="32"/>
          <w:szCs w:val="32"/>
          <w:highlight w:val="none"/>
          <w:lang w:val="en-US" w:eastAsia="zh-CN"/>
        </w:rPr>
        <w:t>况</w:t>
      </w:r>
      <w:bookmarkEnd w:id="9"/>
      <w:bookmarkEnd w:id="10"/>
      <w:bookmarkEnd w:id="11"/>
    </w:p>
    <w:p w14:paraId="330CD144">
      <w:pPr>
        <w:pageBreakBefore w:val="0"/>
        <w:widowControl w:val="0"/>
        <w:kinsoku/>
        <w:wordWrap/>
        <w:overflowPunct/>
        <w:autoSpaceDE/>
        <w:autoSpaceDN/>
        <w:bidi w:val="0"/>
        <w:spacing w:line="560" w:lineRule="exact"/>
        <w:ind w:firstLine="640" w:firstLineChars="200"/>
        <w:jc w:val="both"/>
        <w:rPr>
          <w:rFonts w:hint="eastAsia" w:ascii="仿宋_GB2312" w:hAnsi="仿宋_GB2312" w:eastAsia="仿宋_GB2312" w:cs="仿宋_GB2312"/>
          <w:snapToGrid w:val="0"/>
          <w:sz w:val="32"/>
          <w:szCs w:val="32"/>
          <w:highlight w:val="none"/>
        </w:rPr>
      </w:pP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lang w:val="en-US" w:eastAsia="zh-CN"/>
        </w:rPr>
        <w:t>一</w:t>
      </w: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rPr>
        <w:t>本</w:t>
      </w:r>
      <w:r>
        <w:rPr>
          <w:rFonts w:hint="eastAsia" w:ascii="仿宋_GB2312" w:hAnsi="仿宋_GB2312" w:eastAsia="仿宋_GB2312" w:cs="仿宋_GB2312"/>
          <w:b w:val="0"/>
          <w:bCs/>
          <w:sz w:val="32"/>
          <w:szCs w:val="32"/>
        </w:rPr>
        <w:t>技术规范书</w:t>
      </w:r>
      <w:r>
        <w:rPr>
          <w:rFonts w:hint="eastAsia" w:ascii="仿宋_GB2312" w:hAnsi="仿宋_GB2312" w:eastAsia="仿宋_GB2312" w:cs="仿宋_GB2312"/>
          <w:snapToGrid w:val="0"/>
          <w:sz w:val="32"/>
          <w:szCs w:val="32"/>
          <w:highlight w:val="none"/>
        </w:rPr>
        <w:t>适用南方电网数字电网集团（广东）有限公司2026年-2027年食品检测服务项目技术规范，本</w:t>
      </w:r>
      <w:r>
        <w:rPr>
          <w:rFonts w:hint="eastAsia" w:ascii="仿宋_GB2312" w:hAnsi="仿宋_GB2312" w:eastAsia="仿宋_GB2312" w:cs="仿宋_GB2312"/>
          <w:b w:val="0"/>
          <w:bCs/>
          <w:sz w:val="32"/>
          <w:szCs w:val="32"/>
        </w:rPr>
        <w:t>技术规范书</w:t>
      </w:r>
      <w:r>
        <w:rPr>
          <w:rFonts w:hint="eastAsia" w:ascii="仿宋_GB2312" w:hAnsi="仿宋_GB2312" w:eastAsia="仿宋_GB2312" w:cs="仿宋_GB2312"/>
          <w:snapToGrid w:val="0"/>
          <w:sz w:val="32"/>
          <w:szCs w:val="32"/>
          <w:highlight w:val="none"/>
        </w:rPr>
        <w:t>的所有解释权归南方电网数字电网集团</w:t>
      </w: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lang w:val="en-US" w:eastAsia="zh-CN"/>
        </w:rPr>
        <w:t>广东</w:t>
      </w: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rPr>
        <w:t>有限公司。</w:t>
      </w:r>
    </w:p>
    <w:p w14:paraId="5D8BBE87">
      <w:pPr>
        <w:pageBreakBefore w:val="0"/>
        <w:widowControl w:val="0"/>
        <w:kinsoku/>
        <w:wordWrap/>
        <w:overflowPunct/>
        <w:autoSpaceDE/>
        <w:autoSpaceDN/>
        <w:bidi w:val="0"/>
        <w:spacing w:line="560" w:lineRule="exact"/>
        <w:ind w:firstLine="640" w:firstLineChars="200"/>
        <w:jc w:val="both"/>
        <w:rPr>
          <w:rFonts w:hint="eastAsia" w:ascii="仿宋_GB2312" w:hAnsi="仿宋_GB2312" w:eastAsia="仿宋_GB2312" w:cs="仿宋_GB2312"/>
          <w:snapToGrid w:val="0"/>
          <w:sz w:val="32"/>
          <w:szCs w:val="32"/>
          <w:highlight w:val="none"/>
        </w:rPr>
      </w:pP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lang w:val="en-US" w:eastAsia="zh-CN"/>
        </w:rPr>
        <w:t>二</w:t>
      </w: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rPr>
        <w:t>本</w:t>
      </w:r>
      <w:r>
        <w:rPr>
          <w:rFonts w:hint="eastAsia" w:ascii="仿宋_GB2312" w:hAnsi="仿宋_GB2312" w:eastAsia="仿宋_GB2312" w:cs="仿宋_GB2312"/>
          <w:b w:val="0"/>
          <w:bCs/>
          <w:sz w:val="32"/>
          <w:szCs w:val="32"/>
        </w:rPr>
        <w:t>技术规范书</w:t>
      </w:r>
      <w:r>
        <w:rPr>
          <w:rFonts w:hint="eastAsia" w:ascii="仿宋_GB2312" w:hAnsi="仿宋_GB2312" w:eastAsia="仿宋_GB2312" w:cs="仿宋_GB2312"/>
          <w:snapToGrid w:val="0"/>
          <w:sz w:val="32"/>
          <w:szCs w:val="32"/>
          <w:highlight w:val="none"/>
        </w:rPr>
        <w:t>提出了</w:t>
      </w:r>
      <w:r>
        <w:rPr>
          <w:rFonts w:hint="eastAsia" w:ascii="仿宋_GB2312" w:hAnsi="仿宋_GB2312" w:eastAsia="仿宋_GB2312" w:cs="仿宋_GB2312"/>
          <w:snapToGrid w:val="0"/>
          <w:sz w:val="32"/>
          <w:szCs w:val="32"/>
          <w:highlight w:val="none"/>
          <w:shd w:val="clear" w:color="auto" w:fill="auto"/>
        </w:rPr>
        <w:t>本次</w:t>
      </w:r>
      <w:r>
        <w:rPr>
          <w:rFonts w:hint="eastAsia" w:ascii="仿宋_GB2312" w:hAnsi="仿宋_GB2312" w:eastAsia="仿宋_GB2312" w:cs="仿宋_GB2312"/>
          <w:snapToGrid w:val="0"/>
          <w:sz w:val="32"/>
          <w:szCs w:val="32"/>
          <w:highlight w:val="none"/>
        </w:rPr>
        <w:t>食品检测服务项目</w:t>
      </w:r>
      <w:r>
        <w:rPr>
          <w:rFonts w:hint="eastAsia" w:ascii="仿宋_GB2312" w:hAnsi="仿宋_GB2312" w:eastAsia="仿宋_GB2312" w:cs="仿宋_GB2312"/>
          <w:snapToGrid w:val="0"/>
          <w:sz w:val="32"/>
          <w:szCs w:val="32"/>
          <w:highlight w:val="none"/>
          <w:shd w:val="clear" w:color="auto" w:fill="auto"/>
        </w:rPr>
        <w:t>的技术服务工作要求</w:t>
      </w:r>
      <w:r>
        <w:rPr>
          <w:rFonts w:hint="eastAsia" w:ascii="仿宋_GB2312" w:hAnsi="仿宋_GB2312" w:eastAsia="仿宋_GB2312" w:cs="仿宋_GB2312"/>
          <w:snapToGrid w:val="0"/>
          <w:sz w:val="32"/>
          <w:szCs w:val="32"/>
          <w:highlight w:val="none"/>
        </w:rPr>
        <w:t>，可供</w:t>
      </w:r>
      <w:r>
        <w:rPr>
          <w:rFonts w:hint="eastAsia" w:ascii="仿宋_GB2312" w:hAnsi="仿宋_GB2312" w:eastAsia="仿宋_GB2312" w:cs="仿宋_GB2312"/>
          <w:snapToGrid w:val="0"/>
          <w:sz w:val="32"/>
          <w:szCs w:val="32"/>
          <w:highlight w:val="none"/>
          <w:lang w:eastAsia="zh-CN"/>
        </w:rPr>
        <w:t>报价人</w:t>
      </w:r>
      <w:r>
        <w:rPr>
          <w:rFonts w:hint="eastAsia" w:ascii="仿宋_GB2312" w:hAnsi="仿宋_GB2312" w:eastAsia="仿宋_GB2312" w:cs="仿宋_GB2312"/>
          <w:snapToGrid w:val="0"/>
          <w:sz w:val="32"/>
          <w:szCs w:val="32"/>
          <w:highlight w:val="none"/>
        </w:rPr>
        <w:t>编写</w:t>
      </w:r>
      <w:r>
        <w:rPr>
          <w:rFonts w:hint="eastAsia" w:ascii="仿宋_GB2312" w:hAnsi="仿宋_GB2312" w:eastAsia="仿宋_GB2312" w:cs="仿宋_GB2312"/>
          <w:snapToGrid w:val="0"/>
          <w:sz w:val="32"/>
          <w:szCs w:val="32"/>
          <w:highlight w:val="none"/>
          <w:lang w:eastAsia="zh-CN"/>
        </w:rPr>
        <w:t>报价文件</w:t>
      </w:r>
      <w:r>
        <w:rPr>
          <w:rFonts w:hint="eastAsia" w:ascii="仿宋_GB2312" w:hAnsi="仿宋_GB2312" w:eastAsia="仿宋_GB2312" w:cs="仿宋_GB2312"/>
          <w:snapToGrid w:val="0"/>
          <w:sz w:val="32"/>
          <w:szCs w:val="32"/>
          <w:highlight w:val="none"/>
        </w:rPr>
        <w:t>之用。</w:t>
      </w:r>
    </w:p>
    <w:p w14:paraId="7B9C58DD">
      <w:pPr>
        <w:pageBreakBefore w:val="0"/>
        <w:widowControl w:val="0"/>
        <w:kinsoku/>
        <w:wordWrap/>
        <w:overflowPunct/>
        <w:autoSpaceDE/>
        <w:autoSpaceDN/>
        <w:bidi w:val="0"/>
        <w:spacing w:line="560" w:lineRule="exact"/>
        <w:ind w:firstLine="640" w:firstLineChars="200"/>
        <w:jc w:val="both"/>
        <w:rPr>
          <w:rFonts w:hint="eastAsia" w:ascii="仿宋_GB2312" w:hAnsi="仿宋_GB2312" w:eastAsia="仿宋_GB2312" w:cs="仿宋_GB2312"/>
          <w:snapToGrid w:val="0"/>
          <w:sz w:val="32"/>
          <w:szCs w:val="32"/>
          <w:highlight w:val="none"/>
        </w:rPr>
      </w:pP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lang w:val="en-US" w:eastAsia="zh-CN"/>
        </w:rPr>
        <w:t>三</w:t>
      </w:r>
      <w:r>
        <w:rPr>
          <w:rFonts w:hint="eastAsia" w:ascii="仿宋_GB2312" w:hAnsi="仿宋_GB2312" w:eastAsia="仿宋_GB2312" w:cs="仿宋_GB2312"/>
          <w:snapToGrid w:val="0"/>
          <w:sz w:val="32"/>
          <w:szCs w:val="32"/>
          <w:highlight w:val="none"/>
          <w:lang w:eastAsia="zh-CN"/>
        </w:rPr>
        <w:t>）报价人</w:t>
      </w:r>
      <w:r>
        <w:rPr>
          <w:rFonts w:hint="eastAsia" w:ascii="仿宋_GB2312" w:hAnsi="仿宋_GB2312" w:eastAsia="仿宋_GB2312" w:cs="仿宋_GB2312"/>
          <w:snapToGrid w:val="0"/>
          <w:sz w:val="32"/>
          <w:szCs w:val="32"/>
          <w:highlight w:val="none"/>
        </w:rPr>
        <w:t>应按照本</w:t>
      </w:r>
      <w:r>
        <w:rPr>
          <w:rFonts w:hint="eastAsia" w:ascii="仿宋_GB2312" w:hAnsi="仿宋_GB2312" w:eastAsia="仿宋_GB2312" w:cs="仿宋_GB2312"/>
          <w:b w:val="0"/>
          <w:bCs/>
          <w:sz w:val="32"/>
          <w:szCs w:val="32"/>
        </w:rPr>
        <w:t>技术规范书</w:t>
      </w:r>
      <w:r>
        <w:rPr>
          <w:rFonts w:hint="eastAsia" w:ascii="仿宋_GB2312" w:hAnsi="仿宋_GB2312" w:eastAsia="仿宋_GB2312" w:cs="仿宋_GB2312"/>
          <w:snapToGrid w:val="0"/>
          <w:sz w:val="32"/>
          <w:szCs w:val="32"/>
          <w:highlight w:val="none"/>
        </w:rPr>
        <w:t>的要求提供详细、完整的</w:t>
      </w:r>
      <w:r>
        <w:rPr>
          <w:rFonts w:hint="eastAsia" w:ascii="仿宋_GB2312" w:hAnsi="仿宋_GB2312" w:eastAsia="仿宋_GB2312" w:cs="仿宋_GB2312"/>
          <w:snapToGrid w:val="0"/>
          <w:sz w:val="32"/>
          <w:szCs w:val="32"/>
          <w:highlight w:val="none"/>
          <w:lang w:eastAsia="zh-CN"/>
        </w:rPr>
        <w:t>报价技术规范书</w:t>
      </w:r>
      <w:r>
        <w:rPr>
          <w:rFonts w:hint="eastAsia" w:ascii="仿宋_GB2312" w:hAnsi="仿宋_GB2312" w:eastAsia="仿宋_GB2312" w:cs="仿宋_GB2312"/>
          <w:snapToGrid w:val="0"/>
          <w:sz w:val="32"/>
          <w:szCs w:val="32"/>
          <w:highlight w:val="none"/>
        </w:rPr>
        <w:t>。</w:t>
      </w:r>
      <w:r>
        <w:rPr>
          <w:rFonts w:hint="eastAsia" w:ascii="仿宋_GB2312" w:hAnsi="仿宋_GB2312" w:eastAsia="仿宋_GB2312" w:cs="仿宋_GB2312"/>
          <w:snapToGrid w:val="0"/>
          <w:sz w:val="32"/>
          <w:szCs w:val="32"/>
          <w:highlight w:val="none"/>
          <w:lang w:eastAsia="zh-CN"/>
        </w:rPr>
        <w:t>报价技术规范书</w:t>
      </w:r>
      <w:r>
        <w:rPr>
          <w:rFonts w:hint="eastAsia" w:ascii="仿宋_GB2312" w:hAnsi="仿宋_GB2312" w:eastAsia="仿宋_GB2312" w:cs="仿宋_GB2312"/>
          <w:snapToGrid w:val="0"/>
          <w:sz w:val="32"/>
          <w:szCs w:val="32"/>
          <w:highlight w:val="none"/>
        </w:rPr>
        <w:t>应完全满足或高于本</w:t>
      </w:r>
      <w:r>
        <w:rPr>
          <w:rFonts w:hint="eastAsia" w:ascii="仿宋_GB2312" w:hAnsi="仿宋_GB2312" w:eastAsia="仿宋_GB2312" w:cs="仿宋_GB2312"/>
          <w:b w:val="0"/>
          <w:bCs/>
          <w:sz w:val="32"/>
          <w:szCs w:val="32"/>
        </w:rPr>
        <w:t>技术规范书</w:t>
      </w:r>
      <w:r>
        <w:rPr>
          <w:rFonts w:hint="eastAsia" w:ascii="仿宋_GB2312" w:hAnsi="仿宋_GB2312" w:eastAsia="仿宋_GB2312" w:cs="仿宋_GB2312"/>
          <w:snapToGrid w:val="0"/>
          <w:sz w:val="32"/>
          <w:szCs w:val="32"/>
          <w:highlight w:val="none"/>
        </w:rPr>
        <w:t>要求，对于本</w:t>
      </w:r>
      <w:r>
        <w:rPr>
          <w:rFonts w:hint="eastAsia" w:ascii="仿宋_GB2312" w:hAnsi="仿宋_GB2312" w:eastAsia="仿宋_GB2312" w:cs="仿宋_GB2312"/>
          <w:b w:val="0"/>
          <w:bCs/>
          <w:sz w:val="32"/>
          <w:szCs w:val="32"/>
        </w:rPr>
        <w:t>技术规范书</w:t>
      </w:r>
      <w:r>
        <w:rPr>
          <w:rFonts w:hint="eastAsia" w:ascii="仿宋_GB2312" w:hAnsi="仿宋_GB2312" w:eastAsia="仿宋_GB2312" w:cs="仿宋_GB2312"/>
          <w:snapToGrid w:val="0"/>
          <w:sz w:val="32"/>
          <w:szCs w:val="32"/>
          <w:highlight w:val="none"/>
        </w:rPr>
        <w:t>中的某些部分，</w:t>
      </w:r>
      <w:r>
        <w:rPr>
          <w:rFonts w:hint="eastAsia" w:ascii="仿宋_GB2312" w:hAnsi="仿宋_GB2312" w:eastAsia="仿宋_GB2312" w:cs="仿宋_GB2312"/>
          <w:snapToGrid w:val="0"/>
          <w:sz w:val="32"/>
          <w:szCs w:val="32"/>
          <w:highlight w:val="none"/>
          <w:lang w:eastAsia="zh-CN"/>
        </w:rPr>
        <w:t>报价人</w:t>
      </w:r>
      <w:r>
        <w:rPr>
          <w:rFonts w:hint="eastAsia" w:ascii="仿宋_GB2312" w:hAnsi="仿宋_GB2312" w:eastAsia="仿宋_GB2312" w:cs="仿宋_GB2312"/>
          <w:snapToGrid w:val="0"/>
          <w:sz w:val="32"/>
          <w:szCs w:val="32"/>
          <w:highlight w:val="none"/>
        </w:rPr>
        <w:t>如不能满足要求，或有其它替代方案，或有其它修改建议，应在</w:t>
      </w:r>
      <w:r>
        <w:rPr>
          <w:rFonts w:hint="eastAsia" w:ascii="仿宋_GB2312" w:hAnsi="仿宋_GB2312" w:eastAsia="仿宋_GB2312" w:cs="仿宋_GB2312"/>
          <w:snapToGrid w:val="0"/>
          <w:sz w:val="32"/>
          <w:szCs w:val="32"/>
          <w:highlight w:val="none"/>
          <w:lang w:eastAsia="zh-CN"/>
        </w:rPr>
        <w:t>报价技术规范书</w:t>
      </w:r>
      <w:r>
        <w:rPr>
          <w:rFonts w:hint="eastAsia" w:ascii="仿宋_GB2312" w:hAnsi="仿宋_GB2312" w:eastAsia="仿宋_GB2312" w:cs="仿宋_GB2312"/>
          <w:snapToGrid w:val="0"/>
          <w:sz w:val="32"/>
          <w:szCs w:val="32"/>
          <w:highlight w:val="none"/>
        </w:rPr>
        <w:t>中指出其必须进行修改的理由以及与原要求的差别，否则，</w:t>
      </w:r>
      <w:r>
        <w:rPr>
          <w:rFonts w:hint="eastAsia" w:ascii="仿宋_GB2312" w:hAnsi="仿宋_GB2312" w:eastAsia="仿宋_GB2312" w:cs="仿宋_GB2312"/>
          <w:snapToGrid w:val="0"/>
          <w:sz w:val="32"/>
          <w:szCs w:val="32"/>
          <w:highlight w:val="none"/>
          <w:lang w:eastAsia="zh-CN"/>
        </w:rPr>
        <w:t>采购人</w:t>
      </w:r>
      <w:r>
        <w:rPr>
          <w:rFonts w:hint="eastAsia" w:ascii="仿宋_GB2312" w:hAnsi="仿宋_GB2312" w:eastAsia="仿宋_GB2312" w:cs="仿宋_GB2312"/>
          <w:snapToGrid w:val="0"/>
          <w:sz w:val="32"/>
          <w:szCs w:val="32"/>
          <w:highlight w:val="none"/>
        </w:rPr>
        <w:t>即认为</w:t>
      </w:r>
      <w:r>
        <w:rPr>
          <w:rFonts w:hint="eastAsia" w:ascii="仿宋_GB2312" w:hAnsi="仿宋_GB2312" w:eastAsia="仿宋_GB2312" w:cs="仿宋_GB2312"/>
          <w:snapToGrid w:val="0"/>
          <w:sz w:val="32"/>
          <w:szCs w:val="32"/>
          <w:highlight w:val="none"/>
          <w:lang w:eastAsia="zh-CN"/>
        </w:rPr>
        <w:t>报价人</w:t>
      </w:r>
      <w:r>
        <w:rPr>
          <w:rFonts w:hint="eastAsia" w:ascii="仿宋_GB2312" w:hAnsi="仿宋_GB2312" w:eastAsia="仿宋_GB2312" w:cs="仿宋_GB2312"/>
          <w:snapToGrid w:val="0"/>
          <w:sz w:val="32"/>
          <w:szCs w:val="32"/>
          <w:highlight w:val="none"/>
        </w:rPr>
        <w:t>可以满足本</w:t>
      </w:r>
      <w:r>
        <w:rPr>
          <w:rFonts w:hint="eastAsia" w:ascii="仿宋_GB2312" w:hAnsi="仿宋_GB2312" w:eastAsia="仿宋_GB2312" w:cs="仿宋_GB2312"/>
          <w:b w:val="0"/>
          <w:bCs/>
          <w:sz w:val="32"/>
          <w:szCs w:val="32"/>
        </w:rPr>
        <w:t>技术规范书</w:t>
      </w:r>
      <w:r>
        <w:rPr>
          <w:rFonts w:hint="eastAsia" w:ascii="仿宋_GB2312" w:hAnsi="仿宋_GB2312" w:eastAsia="仿宋_GB2312" w:cs="仿宋_GB2312"/>
          <w:snapToGrid w:val="0"/>
          <w:sz w:val="32"/>
          <w:szCs w:val="32"/>
          <w:highlight w:val="none"/>
        </w:rPr>
        <w:t>的要求。</w:t>
      </w:r>
    </w:p>
    <w:p w14:paraId="037EE381">
      <w:pPr>
        <w:pageBreakBefore w:val="0"/>
        <w:widowControl w:val="0"/>
        <w:kinsoku/>
        <w:wordWrap/>
        <w:overflowPunct/>
        <w:autoSpaceDE/>
        <w:autoSpaceDN/>
        <w:bidi w:val="0"/>
        <w:spacing w:line="560" w:lineRule="exact"/>
        <w:ind w:firstLine="640" w:firstLineChars="200"/>
        <w:jc w:val="both"/>
        <w:rPr>
          <w:rFonts w:hint="eastAsia" w:ascii="仿宋_GB2312" w:hAnsi="仿宋_GB2312" w:eastAsia="仿宋_GB2312" w:cs="仿宋_GB2312"/>
          <w:snapToGrid w:val="0"/>
          <w:sz w:val="32"/>
          <w:szCs w:val="32"/>
          <w:highlight w:val="none"/>
        </w:rPr>
      </w:pP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lang w:val="en-US" w:eastAsia="zh-CN"/>
        </w:rPr>
        <w:t>四</w:t>
      </w:r>
      <w:r>
        <w:rPr>
          <w:rFonts w:hint="eastAsia" w:ascii="仿宋_GB2312" w:hAnsi="仿宋_GB2312" w:eastAsia="仿宋_GB2312" w:cs="仿宋_GB2312"/>
          <w:snapToGrid w:val="0"/>
          <w:sz w:val="32"/>
          <w:szCs w:val="32"/>
          <w:highlight w:val="none"/>
          <w:lang w:eastAsia="zh-CN"/>
        </w:rPr>
        <w:t>）报价人</w:t>
      </w:r>
      <w:r>
        <w:rPr>
          <w:rFonts w:hint="eastAsia" w:ascii="仿宋_GB2312" w:hAnsi="仿宋_GB2312" w:eastAsia="仿宋_GB2312" w:cs="仿宋_GB2312"/>
          <w:snapToGrid w:val="0"/>
          <w:sz w:val="32"/>
          <w:szCs w:val="32"/>
          <w:highlight w:val="none"/>
        </w:rPr>
        <w:t>应保证所提供的所有资料真实、完整、准确无误，否则</w:t>
      </w:r>
      <w:r>
        <w:rPr>
          <w:rFonts w:hint="eastAsia" w:ascii="仿宋_GB2312" w:hAnsi="仿宋_GB2312" w:eastAsia="仿宋_GB2312" w:cs="仿宋_GB2312"/>
          <w:snapToGrid w:val="0"/>
          <w:sz w:val="32"/>
          <w:szCs w:val="32"/>
          <w:highlight w:val="none"/>
          <w:lang w:eastAsia="zh-CN"/>
        </w:rPr>
        <w:t>采购人</w:t>
      </w:r>
      <w:r>
        <w:rPr>
          <w:rFonts w:hint="eastAsia" w:ascii="仿宋_GB2312" w:hAnsi="仿宋_GB2312" w:eastAsia="仿宋_GB2312" w:cs="仿宋_GB2312"/>
          <w:snapToGrid w:val="0"/>
          <w:sz w:val="32"/>
          <w:szCs w:val="32"/>
          <w:highlight w:val="none"/>
        </w:rPr>
        <w:t>将有权取消</w:t>
      </w:r>
      <w:r>
        <w:rPr>
          <w:rFonts w:hint="eastAsia" w:ascii="仿宋_GB2312" w:hAnsi="仿宋_GB2312" w:eastAsia="仿宋_GB2312" w:cs="仿宋_GB2312"/>
          <w:snapToGrid w:val="0"/>
          <w:sz w:val="32"/>
          <w:szCs w:val="32"/>
          <w:highlight w:val="none"/>
          <w:lang w:eastAsia="zh-CN"/>
        </w:rPr>
        <w:t>报价人</w:t>
      </w:r>
      <w:r>
        <w:rPr>
          <w:rFonts w:hint="eastAsia" w:ascii="仿宋_GB2312" w:hAnsi="仿宋_GB2312" w:eastAsia="仿宋_GB2312" w:cs="仿宋_GB2312"/>
          <w:snapToGrid w:val="0"/>
          <w:sz w:val="32"/>
          <w:szCs w:val="32"/>
          <w:highlight w:val="none"/>
        </w:rPr>
        <w:t>的中标资格，由此产生的一切后果由</w:t>
      </w:r>
      <w:r>
        <w:rPr>
          <w:rFonts w:hint="eastAsia" w:ascii="仿宋_GB2312" w:hAnsi="仿宋_GB2312" w:eastAsia="仿宋_GB2312" w:cs="仿宋_GB2312"/>
          <w:snapToGrid w:val="0"/>
          <w:sz w:val="32"/>
          <w:szCs w:val="32"/>
          <w:highlight w:val="none"/>
          <w:lang w:eastAsia="zh-CN"/>
        </w:rPr>
        <w:t>报价人</w:t>
      </w:r>
      <w:r>
        <w:rPr>
          <w:rFonts w:hint="eastAsia" w:ascii="仿宋_GB2312" w:hAnsi="仿宋_GB2312" w:eastAsia="仿宋_GB2312" w:cs="仿宋_GB2312"/>
          <w:snapToGrid w:val="0"/>
          <w:sz w:val="32"/>
          <w:szCs w:val="32"/>
          <w:highlight w:val="none"/>
        </w:rPr>
        <w:t>承担。</w:t>
      </w:r>
    </w:p>
    <w:p w14:paraId="3BBA61EC">
      <w:pPr>
        <w:pageBreakBefore w:val="0"/>
        <w:widowControl w:val="0"/>
        <w:kinsoku/>
        <w:wordWrap/>
        <w:overflowPunct/>
        <w:autoSpaceDE/>
        <w:autoSpaceDN/>
        <w:bidi w:val="0"/>
        <w:spacing w:line="560" w:lineRule="exact"/>
        <w:ind w:firstLine="640" w:firstLineChars="200"/>
        <w:jc w:val="both"/>
        <w:rPr>
          <w:rFonts w:hint="eastAsia" w:ascii="仿宋_GB2312" w:hAnsi="仿宋_GB2312" w:eastAsia="仿宋_GB2312" w:cs="仿宋_GB2312"/>
          <w:snapToGrid w:val="0"/>
          <w:sz w:val="32"/>
          <w:szCs w:val="32"/>
          <w:highlight w:val="none"/>
        </w:rPr>
      </w:pP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lang w:val="en-US" w:eastAsia="zh-CN"/>
        </w:rPr>
        <w:t>五</w:t>
      </w:r>
      <w:r>
        <w:rPr>
          <w:rFonts w:hint="eastAsia" w:ascii="仿宋_GB2312" w:hAnsi="仿宋_GB2312" w:eastAsia="仿宋_GB2312" w:cs="仿宋_GB2312"/>
          <w:snapToGrid w:val="0"/>
          <w:sz w:val="32"/>
          <w:szCs w:val="32"/>
          <w:highlight w:val="none"/>
          <w:lang w:eastAsia="zh-CN"/>
        </w:rPr>
        <w:t>）</w:t>
      </w:r>
      <w:r>
        <w:rPr>
          <w:rFonts w:hint="eastAsia" w:ascii="仿宋_GB2312" w:hAnsi="仿宋_GB2312" w:eastAsia="仿宋_GB2312" w:cs="仿宋_GB2312"/>
          <w:snapToGrid w:val="0"/>
          <w:sz w:val="32"/>
          <w:szCs w:val="32"/>
          <w:highlight w:val="none"/>
        </w:rPr>
        <w:t>本技术规范书提出的是最低限度的技术要求。凡本技术规范书中未规定，但在相关设备的行业标准、国家标准或IEC标准中有规定的规范条文，</w:t>
      </w:r>
      <w:r>
        <w:rPr>
          <w:rFonts w:hint="eastAsia" w:ascii="仿宋_GB2312" w:hAnsi="仿宋_GB2312" w:eastAsia="仿宋_GB2312" w:cs="仿宋_GB2312"/>
          <w:snapToGrid w:val="0"/>
          <w:sz w:val="32"/>
          <w:szCs w:val="32"/>
          <w:highlight w:val="none"/>
          <w:lang w:eastAsia="zh-CN"/>
        </w:rPr>
        <w:t>报价人</w:t>
      </w:r>
      <w:r>
        <w:rPr>
          <w:rFonts w:hint="eastAsia" w:ascii="仿宋_GB2312" w:hAnsi="仿宋_GB2312" w:eastAsia="仿宋_GB2312" w:cs="仿宋_GB2312"/>
          <w:snapToGrid w:val="0"/>
          <w:sz w:val="32"/>
          <w:szCs w:val="32"/>
          <w:highlight w:val="none"/>
        </w:rPr>
        <w:t>应按相关标准的最高技术要求执行。对国家有关安全、环保等强制性标准，必须满足其要求。</w:t>
      </w:r>
    </w:p>
    <w:p w14:paraId="410EE310">
      <w:pPr>
        <w:pStyle w:val="33"/>
        <w:pageBreakBefore w:val="0"/>
        <w:widowControl w:val="0"/>
        <w:kinsoku/>
        <w:wordWrap/>
        <w:overflowPunct/>
        <w:autoSpaceDE/>
        <w:autoSpaceDN/>
        <w:bidi w:val="0"/>
        <w:spacing w:line="560" w:lineRule="exact"/>
        <w:ind w:left="0" w:leftChars="0" w:firstLine="640" w:firstLineChars="200"/>
        <w:jc w:val="both"/>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lang w:val="en-US" w:eastAsia="zh-CN"/>
        </w:rPr>
        <w:t>六</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本技术规范书所使用的标准如遇与</w:t>
      </w:r>
      <w:r>
        <w:rPr>
          <w:rFonts w:hint="eastAsia" w:ascii="仿宋_GB2312" w:hAnsi="仿宋_GB2312" w:eastAsia="仿宋_GB2312" w:cs="仿宋_GB2312"/>
          <w:color w:val="000000"/>
          <w:sz w:val="32"/>
          <w:szCs w:val="32"/>
          <w:highlight w:val="none"/>
          <w:lang w:eastAsia="zh-CN"/>
        </w:rPr>
        <w:t>报价人</w:t>
      </w:r>
      <w:r>
        <w:rPr>
          <w:rFonts w:hint="eastAsia" w:ascii="仿宋_GB2312" w:hAnsi="仿宋_GB2312" w:eastAsia="仿宋_GB2312" w:cs="仿宋_GB2312"/>
          <w:color w:val="000000"/>
          <w:sz w:val="32"/>
          <w:szCs w:val="32"/>
          <w:highlight w:val="none"/>
        </w:rPr>
        <w:t>所执行的标准不一致时，按技术要求较高的标准执行。</w:t>
      </w:r>
    </w:p>
    <w:p w14:paraId="3D0E756F">
      <w:pPr>
        <w:pStyle w:val="33"/>
        <w:pageBreakBefore w:val="0"/>
        <w:widowControl w:val="0"/>
        <w:kinsoku/>
        <w:wordWrap/>
        <w:overflowPunct/>
        <w:autoSpaceDE/>
        <w:autoSpaceDN/>
        <w:bidi w:val="0"/>
        <w:spacing w:line="560" w:lineRule="exact"/>
        <w:ind w:left="0" w:leftChars="0" w:firstLine="640" w:firstLineChars="200"/>
        <w:jc w:val="both"/>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lang w:val="en-US" w:eastAsia="zh-CN"/>
        </w:rPr>
        <w:t>七</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本技术规范书经双方确认后作为框架合同的技术附件，与合同正文具有同等的法律效力。</w:t>
      </w:r>
    </w:p>
    <w:p w14:paraId="3DDE202F">
      <w:pPr>
        <w:pStyle w:val="33"/>
        <w:pageBreakBefore w:val="0"/>
        <w:widowControl w:val="0"/>
        <w:kinsoku/>
        <w:wordWrap/>
        <w:overflowPunct/>
        <w:autoSpaceDE/>
        <w:autoSpaceDN/>
        <w:bidi w:val="0"/>
        <w:spacing w:line="560" w:lineRule="exact"/>
        <w:ind w:left="0" w:leftChars="0"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lang w:val="en-US" w:eastAsia="zh-CN"/>
        </w:rPr>
        <w:t>八</w:t>
      </w:r>
      <w:r>
        <w:rPr>
          <w:rFonts w:hint="eastAsia" w:ascii="仿宋_GB2312" w:hAnsi="仿宋_GB2312" w:eastAsia="仿宋_GB2312" w:cs="仿宋_GB2312"/>
          <w:color w:val="000000"/>
          <w:sz w:val="32"/>
          <w:szCs w:val="32"/>
          <w:highlight w:val="none"/>
          <w:lang w:eastAsia="zh-CN"/>
        </w:rPr>
        <w:t>）报价人</w:t>
      </w:r>
      <w:r>
        <w:rPr>
          <w:rFonts w:hint="eastAsia" w:ascii="仿宋_GB2312" w:hAnsi="仿宋_GB2312" w:eastAsia="仿宋_GB2312" w:cs="仿宋_GB2312"/>
          <w:color w:val="000000"/>
          <w:sz w:val="32"/>
          <w:szCs w:val="32"/>
          <w:highlight w:val="none"/>
        </w:rPr>
        <w:t>在</w:t>
      </w:r>
      <w:r>
        <w:rPr>
          <w:rFonts w:hint="eastAsia" w:ascii="仿宋_GB2312" w:hAnsi="仿宋_GB2312" w:eastAsia="仿宋_GB2312" w:cs="仿宋_GB2312"/>
          <w:color w:val="000000"/>
          <w:sz w:val="32"/>
          <w:szCs w:val="32"/>
          <w:highlight w:val="none"/>
          <w:lang w:eastAsia="zh-CN"/>
        </w:rPr>
        <w:t>报价</w:t>
      </w:r>
      <w:r>
        <w:rPr>
          <w:rFonts w:hint="eastAsia" w:ascii="仿宋_GB2312" w:hAnsi="仿宋_GB2312" w:eastAsia="仿宋_GB2312" w:cs="仿宋_GB2312"/>
          <w:color w:val="000000"/>
          <w:sz w:val="32"/>
          <w:szCs w:val="32"/>
          <w:highlight w:val="none"/>
        </w:rPr>
        <w:t>技术文件中应如实反映</w:t>
      </w:r>
      <w:r>
        <w:rPr>
          <w:rFonts w:hint="eastAsia" w:ascii="仿宋_GB2312" w:hAnsi="仿宋_GB2312" w:eastAsia="仿宋_GB2312" w:cs="仿宋_GB2312"/>
          <w:color w:val="000000"/>
          <w:sz w:val="32"/>
          <w:szCs w:val="32"/>
          <w:highlight w:val="none"/>
          <w:lang w:eastAsia="zh-CN"/>
        </w:rPr>
        <w:t>报价</w:t>
      </w:r>
      <w:r>
        <w:rPr>
          <w:rFonts w:hint="eastAsia" w:ascii="仿宋_GB2312" w:hAnsi="仿宋_GB2312" w:eastAsia="仿宋_GB2312" w:cs="仿宋_GB2312"/>
          <w:color w:val="000000"/>
          <w:sz w:val="32"/>
          <w:szCs w:val="32"/>
          <w:highlight w:val="none"/>
        </w:rPr>
        <w:t>产品与本技术规范书的技术差异。如果</w:t>
      </w:r>
      <w:r>
        <w:rPr>
          <w:rFonts w:hint="eastAsia" w:ascii="仿宋_GB2312" w:hAnsi="仿宋_GB2312" w:eastAsia="仿宋_GB2312" w:cs="仿宋_GB2312"/>
          <w:color w:val="000000"/>
          <w:sz w:val="32"/>
          <w:szCs w:val="32"/>
          <w:highlight w:val="none"/>
          <w:lang w:eastAsia="zh-CN"/>
        </w:rPr>
        <w:t>报价人</w:t>
      </w:r>
      <w:r>
        <w:rPr>
          <w:rFonts w:hint="eastAsia" w:ascii="仿宋_GB2312" w:hAnsi="仿宋_GB2312" w:eastAsia="仿宋_GB2312" w:cs="仿宋_GB2312"/>
          <w:color w:val="000000"/>
          <w:sz w:val="32"/>
          <w:szCs w:val="32"/>
          <w:highlight w:val="none"/>
        </w:rPr>
        <w:t>没有提出技术差异，而在执行合同的过程中，</w:t>
      </w:r>
      <w:r>
        <w:rPr>
          <w:rFonts w:hint="eastAsia" w:ascii="仿宋_GB2312" w:hAnsi="仿宋_GB2312" w:eastAsia="仿宋_GB2312" w:cs="仿宋_GB2312"/>
          <w:color w:val="000000"/>
          <w:sz w:val="32"/>
          <w:szCs w:val="32"/>
          <w:highlight w:val="none"/>
          <w:lang w:eastAsia="zh-CN"/>
        </w:rPr>
        <w:t>采购人</w:t>
      </w:r>
      <w:r>
        <w:rPr>
          <w:rFonts w:hint="eastAsia" w:ascii="仿宋_GB2312" w:hAnsi="仿宋_GB2312" w:eastAsia="仿宋_GB2312" w:cs="仿宋_GB2312"/>
          <w:color w:val="000000"/>
          <w:sz w:val="32"/>
          <w:szCs w:val="32"/>
          <w:highlight w:val="none"/>
        </w:rPr>
        <w:t>发现</w:t>
      </w:r>
      <w:r>
        <w:rPr>
          <w:rFonts w:hint="eastAsia" w:ascii="仿宋_GB2312" w:hAnsi="仿宋_GB2312" w:eastAsia="仿宋_GB2312" w:cs="仿宋_GB2312"/>
          <w:color w:val="000000"/>
          <w:sz w:val="32"/>
          <w:szCs w:val="32"/>
          <w:highlight w:val="none"/>
          <w:lang w:eastAsia="zh-CN"/>
        </w:rPr>
        <w:t>报价人</w:t>
      </w:r>
      <w:r>
        <w:rPr>
          <w:rFonts w:hint="eastAsia" w:ascii="仿宋_GB2312" w:hAnsi="仿宋_GB2312" w:eastAsia="仿宋_GB2312" w:cs="仿宋_GB2312"/>
          <w:color w:val="000000"/>
          <w:sz w:val="32"/>
          <w:szCs w:val="32"/>
          <w:highlight w:val="none"/>
        </w:rPr>
        <w:t>提供的产品与其</w:t>
      </w:r>
      <w:r>
        <w:rPr>
          <w:rFonts w:hint="eastAsia" w:ascii="仿宋_GB2312" w:hAnsi="仿宋_GB2312" w:eastAsia="仿宋_GB2312" w:cs="仿宋_GB2312"/>
          <w:color w:val="000000"/>
          <w:sz w:val="32"/>
          <w:szCs w:val="32"/>
          <w:highlight w:val="none"/>
          <w:lang w:eastAsia="zh-CN"/>
        </w:rPr>
        <w:t>报价</w:t>
      </w:r>
      <w:r>
        <w:rPr>
          <w:rFonts w:hint="eastAsia" w:ascii="仿宋_GB2312" w:hAnsi="仿宋_GB2312" w:eastAsia="仿宋_GB2312" w:cs="仿宋_GB2312"/>
          <w:color w:val="000000"/>
          <w:sz w:val="32"/>
          <w:szCs w:val="32"/>
          <w:highlight w:val="none"/>
        </w:rPr>
        <w:t>技术文件的条文存在差异，</w:t>
      </w:r>
      <w:r>
        <w:rPr>
          <w:rFonts w:hint="eastAsia" w:ascii="仿宋_GB2312" w:hAnsi="仿宋_GB2312" w:eastAsia="仿宋_GB2312" w:cs="仿宋_GB2312"/>
          <w:color w:val="000000"/>
          <w:sz w:val="32"/>
          <w:szCs w:val="32"/>
          <w:highlight w:val="none"/>
          <w:lang w:eastAsia="zh-CN"/>
        </w:rPr>
        <w:t>采购人</w:t>
      </w:r>
      <w:r>
        <w:rPr>
          <w:rFonts w:hint="eastAsia" w:ascii="仿宋_GB2312" w:hAnsi="仿宋_GB2312" w:eastAsia="仿宋_GB2312" w:cs="仿宋_GB2312"/>
          <w:color w:val="000000"/>
          <w:sz w:val="32"/>
          <w:szCs w:val="32"/>
          <w:highlight w:val="none"/>
        </w:rPr>
        <w:t>有权利要求</w:t>
      </w:r>
      <w:r>
        <w:rPr>
          <w:rFonts w:hint="eastAsia" w:ascii="仿宋_GB2312" w:hAnsi="仿宋_GB2312" w:eastAsia="仿宋_GB2312" w:cs="仿宋_GB2312"/>
          <w:color w:val="000000"/>
          <w:sz w:val="32"/>
          <w:szCs w:val="32"/>
          <w:highlight w:val="none"/>
          <w:lang w:val="en-US" w:eastAsia="zh-CN"/>
        </w:rPr>
        <w:t>解除合同</w:t>
      </w:r>
      <w:r>
        <w:rPr>
          <w:rFonts w:hint="eastAsia" w:ascii="仿宋_GB2312" w:hAnsi="仿宋_GB2312" w:eastAsia="仿宋_GB2312" w:cs="仿宋_GB2312"/>
          <w:color w:val="000000"/>
          <w:sz w:val="32"/>
          <w:szCs w:val="32"/>
          <w:highlight w:val="none"/>
        </w:rPr>
        <w:t>，并追究</w:t>
      </w:r>
      <w:r>
        <w:rPr>
          <w:rFonts w:hint="eastAsia" w:ascii="仿宋_GB2312" w:hAnsi="仿宋_GB2312" w:eastAsia="仿宋_GB2312" w:cs="仿宋_GB2312"/>
          <w:color w:val="000000"/>
          <w:sz w:val="32"/>
          <w:szCs w:val="32"/>
          <w:highlight w:val="none"/>
          <w:lang w:eastAsia="zh-CN"/>
        </w:rPr>
        <w:t>报价人</w:t>
      </w:r>
      <w:r>
        <w:rPr>
          <w:rFonts w:hint="eastAsia" w:ascii="仿宋_GB2312" w:hAnsi="仿宋_GB2312" w:eastAsia="仿宋_GB2312" w:cs="仿宋_GB2312"/>
          <w:color w:val="000000"/>
          <w:sz w:val="32"/>
          <w:szCs w:val="32"/>
          <w:highlight w:val="none"/>
        </w:rPr>
        <w:t>违约责任。</w:t>
      </w:r>
      <w:bookmarkStart w:id="12" w:name="_Toc13430"/>
      <w:bookmarkStart w:id="13" w:name="_Toc3444_WPSOffice_Level1"/>
      <w:bookmarkStart w:id="14" w:name="_Toc21689"/>
    </w:p>
    <w:p w14:paraId="48376EE6">
      <w:pPr>
        <w:pStyle w:val="2"/>
        <w:keepNext/>
        <w:keepLines/>
        <w:pageBreakBefore w:val="0"/>
        <w:widowControl w:val="0"/>
        <w:numPr>
          <w:ilvl w:val="0"/>
          <w:numId w:val="0"/>
        </w:numPr>
        <w:kinsoku/>
        <w:wordWrap/>
        <w:overflowPunct/>
        <w:topLinePunct/>
        <w:autoSpaceDE/>
        <w:autoSpaceDN/>
        <w:bidi w:val="0"/>
        <w:adjustRightInd w:val="0"/>
        <w:snapToGrid w:val="0"/>
        <w:spacing w:line="560" w:lineRule="exact"/>
        <w:jc w:val="both"/>
        <w:textAlignment w:val="baseline"/>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二、服务期限</w:t>
      </w:r>
      <w:bookmarkEnd w:id="12"/>
      <w:bookmarkEnd w:id="13"/>
      <w:bookmarkEnd w:id="14"/>
    </w:p>
    <w:p w14:paraId="55599698">
      <w:pPr>
        <w:pStyle w:val="33"/>
        <w:pageBreakBefore w:val="0"/>
        <w:widowControl w:val="0"/>
        <w:kinsoku/>
        <w:wordWrap/>
        <w:overflowPunct/>
        <w:autoSpaceDE/>
        <w:autoSpaceDN/>
        <w:bidi w:val="0"/>
        <w:spacing w:line="560" w:lineRule="exact"/>
        <w:ind w:left="0" w:leftChars="0" w:firstLine="640" w:firstLineChars="200"/>
        <w:jc w:val="both"/>
        <w:rPr>
          <w:rFonts w:hint="eastAsia" w:ascii="仿宋_GB2312" w:hAnsi="仿宋_GB2312" w:eastAsia="仿宋_GB2312" w:cs="仿宋_GB2312"/>
          <w:color w:val="000000"/>
          <w:sz w:val="32"/>
          <w:szCs w:val="32"/>
          <w:highlight w:val="none"/>
          <w:lang w:val="en-US" w:eastAsia="zh-CN"/>
        </w:rPr>
      </w:pPr>
      <w:bookmarkStart w:id="15" w:name="_Toc30975"/>
      <w:r>
        <w:rPr>
          <w:rFonts w:hint="eastAsia" w:ascii="仿宋_GB2312" w:hAnsi="仿宋_GB2312" w:eastAsia="仿宋_GB2312" w:cs="仿宋_GB2312"/>
          <w:color w:val="000000"/>
          <w:sz w:val="32"/>
          <w:szCs w:val="32"/>
          <w:highlight w:val="none"/>
          <w:lang w:val="en-US" w:eastAsia="zh-CN"/>
        </w:rPr>
        <w:t>（一）如本框架协议签订之日采购人无有效的框架协议，则本框架协议有效期自框架协议签订之日起12个月。</w:t>
      </w:r>
    </w:p>
    <w:p w14:paraId="125A2652">
      <w:pPr>
        <w:pStyle w:val="33"/>
        <w:pageBreakBefore w:val="0"/>
        <w:widowControl w:val="0"/>
        <w:kinsoku/>
        <w:wordWrap/>
        <w:overflowPunct/>
        <w:autoSpaceDE/>
        <w:autoSpaceDN/>
        <w:bidi w:val="0"/>
        <w:spacing w:line="560" w:lineRule="exact"/>
        <w:ind w:left="0" w:leftChars="0" w:firstLine="640" w:firstLineChars="200"/>
        <w:jc w:val="both"/>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（二）如本框架协议签订之日采购人上一框架协议有效期未结束，则本框架协议有效期自上一个框架协议有效期结束之日起12个月。</w:t>
      </w:r>
    </w:p>
    <w:p w14:paraId="5D64ACA1">
      <w:pPr>
        <w:pStyle w:val="2"/>
        <w:keepNext/>
        <w:keepLines/>
        <w:pageBreakBefore w:val="0"/>
        <w:widowControl w:val="0"/>
        <w:numPr>
          <w:ilvl w:val="0"/>
          <w:numId w:val="0"/>
        </w:numPr>
        <w:kinsoku/>
        <w:wordWrap/>
        <w:overflowPunct/>
        <w:topLinePunct/>
        <w:autoSpaceDE/>
        <w:autoSpaceDN/>
        <w:bidi w:val="0"/>
        <w:adjustRightInd w:val="0"/>
        <w:snapToGrid w:val="0"/>
        <w:spacing w:line="560" w:lineRule="exact"/>
        <w:ind w:firstLine="643" w:firstLineChars="200"/>
        <w:jc w:val="both"/>
        <w:textAlignment w:val="baseline"/>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三、服务内容</w:t>
      </w:r>
      <w:bookmarkEnd w:id="15"/>
    </w:p>
    <w:tbl>
      <w:tblPr>
        <w:tblStyle w:val="12"/>
        <w:tblW w:w="5332" w:type="pct"/>
        <w:tblInd w:w="-2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2"/>
        <w:gridCol w:w="1562"/>
        <w:gridCol w:w="2477"/>
        <w:gridCol w:w="2351"/>
        <w:gridCol w:w="1906"/>
      </w:tblGrid>
      <w:tr w14:paraId="2B036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6" w:type="pct"/>
            <w:vMerge w:val="restart"/>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022C45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bookmarkStart w:id="16" w:name="_Toc26139"/>
            <w:bookmarkStart w:id="17" w:name="_Toc13176"/>
            <w:bookmarkStart w:id="18" w:name="_Toc16038"/>
            <w:r>
              <w:rPr>
                <w:rFonts w:hint="eastAsia" w:ascii="宋体" w:hAnsi="宋体" w:eastAsia="宋体" w:cs="宋体"/>
                <w:i w:val="0"/>
                <w:iCs w:val="0"/>
                <w:color w:val="000000"/>
                <w:kern w:val="0"/>
                <w:sz w:val="22"/>
                <w:szCs w:val="22"/>
                <w:highlight w:val="none"/>
                <w:u w:val="none"/>
                <w:lang w:val="en-US" w:eastAsia="zh-CN" w:bidi="ar"/>
              </w:rPr>
              <w:t>序号</w:t>
            </w:r>
          </w:p>
        </w:tc>
        <w:tc>
          <w:tcPr>
            <w:tcW w:w="859" w:type="pct"/>
            <w:vMerge w:val="restart"/>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3D1EAB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样品名称</w:t>
            </w:r>
          </w:p>
        </w:tc>
        <w:tc>
          <w:tcPr>
            <w:tcW w:w="1362" w:type="pct"/>
            <w:vMerge w:val="restart"/>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470AB1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检测方法</w:t>
            </w:r>
          </w:p>
        </w:tc>
        <w:tc>
          <w:tcPr>
            <w:tcW w:w="1293" w:type="pct"/>
            <w:vMerge w:val="restart"/>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12A5E7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判定依据</w:t>
            </w:r>
          </w:p>
        </w:tc>
        <w:tc>
          <w:tcPr>
            <w:tcW w:w="1048" w:type="pct"/>
            <w:vMerge w:val="restart"/>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0443DD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检测项目</w:t>
            </w:r>
          </w:p>
        </w:tc>
      </w:tr>
      <w:tr w14:paraId="08A1F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36" w:type="pct"/>
            <w:vMerge w:val="continue"/>
            <w:tcBorders>
              <w:top w:val="single" w:color="000000" w:sz="4" w:space="0"/>
              <w:left w:val="single" w:color="000000" w:sz="4" w:space="0"/>
              <w:bottom w:val="single" w:color="auto" w:sz="4" w:space="0"/>
              <w:right w:val="single" w:color="000000" w:sz="4" w:space="0"/>
            </w:tcBorders>
            <w:shd w:val="clear" w:color="auto" w:fill="BEBEBE" w:themeFill="background1" w:themeFillShade="BF"/>
            <w:vAlign w:val="center"/>
          </w:tcPr>
          <w:p w14:paraId="231DFDAE">
            <w:pPr>
              <w:jc w:val="center"/>
              <w:rPr>
                <w:rFonts w:hint="eastAsia" w:ascii="宋体" w:hAnsi="宋体" w:eastAsia="宋体" w:cs="宋体"/>
                <w:i w:val="0"/>
                <w:iCs w:val="0"/>
                <w:color w:val="000000"/>
                <w:sz w:val="22"/>
                <w:szCs w:val="22"/>
                <w:u w:val="none"/>
              </w:rPr>
            </w:pPr>
          </w:p>
        </w:tc>
        <w:tc>
          <w:tcPr>
            <w:tcW w:w="859" w:type="pct"/>
            <w:vMerge w:val="continue"/>
            <w:tcBorders>
              <w:top w:val="single" w:color="000000" w:sz="4" w:space="0"/>
              <w:left w:val="single" w:color="000000" w:sz="4" w:space="0"/>
              <w:bottom w:val="single" w:color="auto" w:sz="4" w:space="0"/>
              <w:right w:val="single" w:color="000000" w:sz="4" w:space="0"/>
            </w:tcBorders>
            <w:shd w:val="clear" w:color="auto" w:fill="BEBEBE" w:themeFill="background1" w:themeFillShade="BF"/>
            <w:vAlign w:val="center"/>
          </w:tcPr>
          <w:p w14:paraId="3249C044">
            <w:pPr>
              <w:jc w:val="center"/>
              <w:rPr>
                <w:rFonts w:hint="eastAsia" w:ascii="宋体" w:hAnsi="宋体" w:eastAsia="宋体" w:cs="宋体"/>
                <w:i w:val="0"/>
                <w:iCs w:val="0"/>
                <w:color w:val="000000"/>
                <w:sz w:val="22"/>
                <w:szCs w:val="22"/>
                <w:u w:val="none"/>
              </w:rPr>
            </w:pPr>
          </w:p>
        </w:tc>
        <w:tc>
          <w:tcPr>
            <w:tcW w:w="1362" w:type="pct"/>
            <w:vMerge w:val="continue"/>
            <w:tcBorders>
              <w:top w:val="single" w:color="000000" w:sz="4" w:space="0"/>
              <w:left w:val="single" w:color="000000" w:sz="4" w:space="0"/>
              <w:bottom w:val="single" w:color="auto" w:sz="4" w:space="0"/>
              <w:right w:val="single" w:color="000000" w:sz="4" w:space="0"/>
            </w:tcBorders>
            <w:shd w:val="clear" w:color="auto" w:fill="BEBEBE" w:themeFill="background1" w:themeFillShade="BF"/>
            <w:vAlign w:val="center"/>
          </w:tcPr>
          <w:p w14:paraId="0014C1B3">
            <w:pPr>
              <w:jc w:val="center"/>
              <w:rPr>
                <w:rFonts w:hint="eastAsia" w:ascii="宋体" w:hAnsi="宋体" w:eastAsia="宋体" w:cs="宋体"/>
                <w:i w:val="0"/>
                <w:iCs w:val="0"/>
                <w:color w:val="000000"/>
                <w:sz w:val="22"/>
                <w:szCs w:val="22"/>
                <w:u w:val="none"/>
              </w:rPr>
            </w:pPr>
          </w:p>
        </w:tc>
        <w:tc>
          <w:tcPr>
            <w:tcW w:w="1293" w:type="pct"/>
            <w:vMerge w:val="continue"/>
            <w:tcBorders>
              <w:top w:val="single" w:color="000000" w:sz="4" w:space="0"/>
              <w:left w:val="single" w:color="000000" w:sz="4" w:space="0"/>
              <w:bottom w:val="single" w:color="auto" w:sz="4" w:space="0"/>
              <w:right w:val="single" w:color="000000" w:sz="4" w:space="0"/>
            </w:tcBorders>
            <w:shd w:val="clear" w:color="auto" w:fill="BEBEBE" w:themeFill="background1" w:themeFillShade="BF"/>
            <w:vAlign w:val="center"/>
          </w:tcPr>
          <w:p w14:paraId="596879C7">
            <w:pPr>
              <w:jc w:val="center"/>
              <w:rPr>
                <w:rFonts w:hint="eastAsia" w:ascii="宋体" w:hAnsi="宋体" w:eastAsia="宋体" w:cs="宋体"/>
                <w:i w:val="0"/>
                <w:iCs w:val="0"/>
                <w:color w:val="000000"/>
                <w:sz w:val="22"/>
                <w:szCs w:val="22"/>
                <w:u w:val="none"/>
              </w:rPr>
            </w:pPr>
          </w:p>
        </w:tc>
        <w:tc>
          <w:tcPr>
            <w:tcW w:w="1048" w:type="pct"/>
            <w:vMerge w:val="continue"/>
            <w:tcBorders>
              <w:top w:val="single" w:color="000000" w:sz="4" w:space="0"/>
              <w:left w:val="single" w:color="000000" w:sz="4" w:space="0"/>
              <w:bottom w:val="single" w:color="auto" w:sz="4" w:space="0"/>
              <w:right w:val="single" w:color="000000" w:sz="4" w:space="0"/>
            </w:tcBorders>
            <w:shd w:val="clear" w:color="auto" w:fill="BEBEBE" w:themeFill="background1" w:themeFillShade="BF"/>
            <w:vAlign w:val="center"/>
          </w:tcPr>
          <w:p w14:paraId="6DA92BAD">
            <w:pPr>
              <w:jc w:val="center"/>
              <w:rPr>
                <w:rFonts w:hint="eastAsia" w:ascii="宋体" w:hAnsi="宋体" w:eastAsia="宋体" w:cs="宋体"/>
                <w:i w:val="0"/>
                <w:iCs w:val="0"/>
                <w:color w:val="000000"/>
                <w:sz w:val="22"/>
                <w:szCs w:val="22"/>
                <w:u w:val="none"/>
              </w:rPr>
            </w:pPr>
          </w:p>
        </w:tc>
      </w:tr>
      <w:tr w14:paraId="0B1CF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FD9D21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C3C262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餐具（筷子）</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1CEB0B7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486D6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14934-2016《食品安全国家标准 消毒餐(饮)具》</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0BA696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w:t>
            </w:r>
          </w:p>
        </w:tc>
      </w:tr>
      <w:tr w14:paraId="5F5C9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134611">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E69350">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079909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996A63">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45AEF2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06F9F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D85C6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975B1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餐具（碗）</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E5A795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87EAC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14934-2016《食品安全国家标准 消毒餐(饮)具》</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B7D5AD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w:t>
            </w:r>
          </w:p>
        </w:tc>
      </w:tr>
      <w:tr w14:paraId="1FBD8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335BC5">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AA3715">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61AB2B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90A840">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492FBCF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0410C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35A61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F0F36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餐具（刀类）</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A2E20C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19CA31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14934-2016《食品安全国家标准 消毒餐(饮)具》</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23E6C56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w:t>
            </w:r>
          </w:p>
        </w:tc>
      </w:tr>
      <w:tr w14:paraId="2A950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F9D0AF">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438F34">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099250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FB36B0C">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B24194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0B4C7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A2E57D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C9D915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餐具（盘子）</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152DA7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D5DF0C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14934-2016《食品安全国家标准 消毒餐(饮)具》</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0046A7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w:t>
            </w:r>
          </w:p>
        </w:tc>
      </w:tr>
      <w:tr w14:paraId="3782C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EFDCA5">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0F4F2A">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C1CCA9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28F125">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2C2918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2BA63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F10B4C">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E0F07B">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78A7A9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5750.4-2006</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5FB43FF">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315D55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阴离子合成洗涤剂</w:t>
            </w:r>
          </w:p>
        </w:tc>
      </w:tr>
      <w:tr w14:paraId="45488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C2F287E">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BAF0D3">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7F788D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5750.11</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CDDE64">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25910B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游离余氯</w:t>
            </w:r>
          </w:p>
        </w:tc>
      </w:tr>
      <w:tr w14:paraId="595AF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B5E894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8449B8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餐具（砧板）</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F6047D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72F01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14934-2016《食品安全国家标准 消毒餐(饮)具》</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2C9A71E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w:t>
            </w:r>
          </w:p>
        </w:tc>
      </w:tr>
      <w:tr w14:paraId="7A224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6D5A8A">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B02E40">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C8BA66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14934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FA8474">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BF570F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03845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BD844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D5285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熟肉制品</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AA13C0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4789.2</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3D5F6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DBS44/006-2016《 非预包装即食食品微生物限量》</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22B1461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菌落总数</w:t>
            </w:r>
          </w:p>
        </w:tc>
      </w:tr>
      <w:tr w14:paraId="1E19C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1245340">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A155DB">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1F9B6E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4789.38</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5C2713B">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11170A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大肠埃希氏菌</w:t>
            </w:r>
          </w:p>
        </w:tc>
      </w:tr>
      <w:tr w14:paraId="270B0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A7E2B6">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050E29">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52DA39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7A4D28">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190751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759ED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53FCFC">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887E552">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AED891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4789.10</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B1F0282">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7E9634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金黄色葡萄球菌</w:t>
            </w:r>
          </w:p>
        </w:tc>
      </w:tr>
      <w:tr w14:paraId="0895B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45742E">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26F166">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9DFA2B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4789.30</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9174CB2">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BB3236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单核细胞增生李斯特氏菌</w:t>
            </w:r>
          </w:p>
        </w:tc>
      </w:tr>
      <w:tr w14:paraId="3EC80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89E80F">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9D9673">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6E8C6A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4789.36</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4984E9">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8E1A73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大肠埃希氏菌O157</w:t>
            </w:r>
          </w:p>
        </w:tc>
      </w:tr>
      <w:tr w14:paraId="0D4C8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CA2F0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9A8276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熟制水产品</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0FCC92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4789.2</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6C7BEA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DBS44/006-2016《 非预包装即食食品微生物限量》</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894D70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菌落总数</w:t>
            </w:r>
          </w:p>
        </w:tc>
      </w:tr>
      <w:tr w14:paraId="1AF1F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A12E98">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F914A1">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27DD4F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C14C31">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2B43B8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5A895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A825FB0">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ACABDF">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F81769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4789.10</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6E4247">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443513F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金黄色葡萄球菌</w:t>
            </w:r>
          </w:p>
        </w:tc>
      </w:tr>
      <w:tr w14:paraId="3175F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D48A7B">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98A1E6">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D844DA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4789.7</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51B581">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E477BC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副溶血性弧菌</w:t>
            </w:r>
          </w:p>
        </w:tc>
      </w:tr>
      <w:tr w14:paraId="372A4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E42FFB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5B9FD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畜肉</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CD8091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3BE316D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DD0DF4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w:t>
            </w:r>
          </w:p>
        </w:tc>
      </w:tr>
      <w:tr w14:paraId="63750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56AABB">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81DA13">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094725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5009.11</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3E8E5FD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9DABCF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总砷</w:t>
            </w:r>
          </w:p>
        </w:tc>
      </w:tr>
      <w:tr w14:paraId="11D5B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369D28">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2A241E">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CA5D2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31658.22</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BDAE73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农业农村部公告第250号</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F5060B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沙丁胺醇</w:t>
            </w:r>
          </w:p>
        </w:tc>
      </w:tr>
      <w:tr w14:paraId="5CCA7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2EA8C1">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3D1CDE">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3F334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31658.22</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E27A6A0">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2D706B6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克伦特罗</w:t>
            </w:r>
          </w:p>
        </w:tc>
      </w:tr>
      <w:tr w14:paraId="03031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7B07C0">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621904">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35F9A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31658.22</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CB8C2D">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957C4B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莱克多巴胺</w:t>
            </w:r>
          </w:p>
        </w:tc>
      </w:tr>
      <w:tr w14:paraId="0AD7A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B5194B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4D7DF1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禽肉</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FE93BB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SN/T 1751.2</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3EE9FC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31650</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0A9755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恩诺沙星</w:t>
            </w:r>
          </w:p>
        </w:tc>
      </w:tr>
      <w:tr w14:paraId="24817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BCA39B">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6B1C7F">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6D61C4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GB/T 20756 -2006  </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C8BC52">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2D5B0E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氟苯尼考</w:t>
            </w:r>
          </w:p>
        </w:tc>
      </w:tr>
      <w:tr w14:paraId="2E9C9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A18F5C">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4633B5">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A07D6C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22338或相应标准</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163112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农业农村部公告第250号</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D442C1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氯霉素</w:t>
            </w:r>
          </w:p>
        </w:tc>
      </w:tr>
      <w:tr w14:paraId="46489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4EC269">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64B255D">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12615C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23200.92</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E9C59A">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20F42D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五氯酚酸钠</w:t>
            </w:r>
          </w:p>
        </w:tc>
      </w:tr>
      <w:tr w14:paraId="1D9F6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27E97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127D8C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鱼类</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E71C56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19857</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F7F1E3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农业农村部公告第250号</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AAD4EB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孔雀石绿</w:t>
            </w:r>
          </w:p>
        </w:tc>
      </w:tr>
      <w:tr w14:paraId="487E2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76BDC50">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C9FE5C2">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42846C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19857</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1227F0">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F7361C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隐色孔雀石绿</w:t>
            </w:r>
          </w:p>
        </w:tc>
      </w:tr>
      <w:tr w14:paraId="6A3D1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951BA3">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2D217A">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E83E9E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19857</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108C07">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B72A3D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结晶紫</w:t>
            </w:r>
          </w:p>
        </w:tc>
      </w:tr>
      <w:tr w14:paraId="7CFEA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FCA12A">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44C2C1">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351A17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19857</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835582">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53C8AC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隐色结晶紫</w:t>
            </w:r>
          </w:p>
        </w:tc>
      </w:tr>
      <w:tr w14:paraId="16F5C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62345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9C8F0C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蔬菜</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A92885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544BAAC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122075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w:t>
            </w:r>
          </w:p>
        </w:tc>
      </w:tr>
      <w:tr w14:paraId="73C3D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185C03">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6FD168">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5E6332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NY/T 761/其他有资质标准</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3C61CC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2763</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A51ABB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六六六</w:t>
            </w:r>
          </w:p>
        </w:tc>
      </w:tr>
      <w:tr w14:paraId="5571F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384606">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09F76F">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D7568D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NY/T 761/其他有资质标准</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9F61F7">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4B6573A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甲基对硫磷</w:t>
            </w:r>
          </w:p>
        </w:tc>
      </w:tr>
      <w:tr w14:paraId="19B81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9A5EB85">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281540">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DBA9BA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GB 23200.121-2021 </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7D552E">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7B8959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辛硫磷</w:t>
            </w:r>
          </w:p>
        </w:tc>
      </w:tr>
      <w:tr w14:paraId="179DD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5F4A7F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B2C559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水果</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ADC4FE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466B75E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CF1C3E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w:t>
            </w:r>
          </w:p>
        </w:tc>
      </w:tr>
      <w:tr w14:paraId="52F39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99DC57">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D3B0222">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B1C9AF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NY/T 761/其他有资质标准</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9870E5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2763</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F6E0CF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氧乐果</w:t>
            </w:r>
          </w:p>
        </w:tc>
      </w:tr>
      <w:tr w14:paraId="36279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A7E98A">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8B768C7">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5DDA0D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GB 23200.121-2021 </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86D950">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2C32503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辛硫磷</w:t>
            </w:r>
          </w:p>
        </w:tc>
      </w:tr>
      <w:tr w14:paraId="65B77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2F34714">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169A77">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0166CB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NY/T 761/其他有资质标准</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C5F694">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BF32DA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久效磷</w:t>
            </w:r>
          </w:p>
        </w:tc>
      </w:tr>
      <w:tr w14:paraId="374CF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E6314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72B78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大米</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208E1C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5009.15</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6733D3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D78898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镉</w:t>
            </w:r>
          </w:p>
        </w:tc>
      </w:tr>
      <w:tr w14:paraId="1884D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D4951C">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F1C744">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0AC028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5009.17</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6B5BC0">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989830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总汞</w:t>
            </w:r>
          </w:p>
        </w:tc>
      </w:tr>
      <w:tr w14:paraId="0C026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63D703">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1DEAE4">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1139285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5009.22</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51962E8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2761</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42377A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黄曲霉毒素B1</w:t>
            </w:r>
          </w:p>
        </w:tc>
      </w:tr>
      <w:tr w14:paraId="035AC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56B9CF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B5F03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植物油</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19E14D7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0784D48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4926D8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w:t>
            </w:r>
          </w:p>
        </w:tc>
      </w:tr>
      <w:tr w14:paraId="6B2F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1AD71B">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DA602E8">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144C21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5009.227</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886294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2716</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AB75A9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过氧化值</w:t>
            </w:r>
          </w:p>
        </w:tc>
      </w:tr>
      <w:tr w14:paraId="30E13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D616B3">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E097E6">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4D6A8F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5009.229</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B04BA1F">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CDC3AD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酸价</w:t>
            </w:r>
          </w:p>
        </w:tc>
      </w:tr>
      <w:tr w14:paraId="7C5E8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2FE4FA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1D3E62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糕点，米饭，饺子，粥类</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0AB9E6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4789.14</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4DFC2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DBS44/006-2016《 非预包装即食食品微生物限量》</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73B8B0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蜡样芽孢杆菌</w:t>
            </w:r>
          </w:p>
        </w:tc>
      </w:tr>
      <w:tr w14:paraId="73407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9AA0A5">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2A8224">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118587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347204">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E2209E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0EAC6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04A6BFC">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DE763D">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200E9B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4789.2</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5CFD7B">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6588E9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菌落总数</w:t>
            </w:r>
          </w:p>
        </w:tc>
      </w:tr>
      <w:tr w14:paraId="2867C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10139F">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0545AE1">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38C063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4789.10</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11218E">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AD4BC7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金黄色葡萄球菌</w:t>
            </w:r>
          </w:p>
        </w:tc>
      </w:tr>
      <w:tr w14:paraId="6F529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E988F5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CBE9F8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酸奶</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A93AAB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4789.3</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A26D8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19302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0C17B5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大肠菌群（检5次）</w:t>
            </w:r>
          </w:p>
        </w:tc>
      </w:tr>
      <w:tr w14:paraId="06495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F76AE4">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5C1D321">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123C4BA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4789.10</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861154">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03D303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金黄色葡萄球菌（检5次）</w:t>
            </w:r>
          </w:p>
        </w:tc>
      </w:tr>
      <w:tr w14:paraId="56870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C150E3">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5DEB82">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FCAE9B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49AF47D">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BDC3BB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沙门氏菌（检5次）</w:t>
            </w:r>
          </w:p>
        </w:tc>
      </w:tr>
      <w:tr w14:paraId="0D953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9D47B8">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E57F54D">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133D07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4789.15</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F7F5DC">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D5C1D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酵母</w:t>
            </w:r>
          </w:p>
        </w:tc>
      </w:tr>
      <w:tr w14:paraId="2D59B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A20DEE">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CCC9CC">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1C30211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4789.15</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098BD1">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8F6383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霉菌</w:t>
            </w:r>
          </w:p>
        </w:tc>
      </w:tr>
      <w:tr w14:paraId="7D5A4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5D47F2B">
            <w:pPr>
              <w:jc w:val="both"/>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17</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AE94F9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灭菌乳</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15864A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22388</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91521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卫生部、工业和信息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化部、农业部、工商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总局、质检总局公告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2011年第10号、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GB 25190</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D2BC92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三聚氰胺</w:t>
            </w:r>
          </w:p>
        </w:tc>
      </w:tr>
      <w:tr w14:paraId="69975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06E61E0">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81CC26C">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5CA208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4789.26</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21C82D">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4C97B4F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商业无菌</w:t>
            </w:r>
          </w:p>
        </w:tc>
      </w:tr>
      <w:tr w14:paraId="6380F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C5D300">
            <w:pPr>
              <w:jc w:val="both"/>
              <w:rPr>
                <w:rFonts w:hint="eastAsia" w:ascii="宋体" w:hAnsi="宋体" w:eastAsia="宋体" w:cs="宋体"/>
                <w:i w:val="0"/>
                <w:iCs w:val="0"/>
                <w:color w:val="000000"/>
                <w:sz w:val="24"/>
                <w:szCs w:val="24"/>
                <w:u w:val="none"/>
              </w:rPr>
            </w:pP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E346EF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巴氏杀菌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乳</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949140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4789.3</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384AE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19645</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40BB96F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大肠菌群(检5次)</w:t>
            </w:r>
          </w:p>
        </w:tc>
      </w:tr>
      <w:tr w14:paraId="502F8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8F8BB1E">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33C61E">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937A2D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4789.10</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A39B84">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B4D7AF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金黄色葡萄球菌(检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5次)</w:t>
            </w:r>
          </w:p>
        </w:tc>
      </w:tr>
      <w:tr w14:paraId="02C17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744867F">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27DF19">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942121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EDD851">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4DC5833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沙门氏菌(检5次)</w:t>
            </w:r>
          </w:p>
        </w:tc>
      </w:tr>
      <w:tr w14:paraId="03D03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FB0AF9">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FBF921">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723EF5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4789.2</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903E27">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843373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菌落总数(检5次)</w:t>
            </w:r>
          </w:p>
        </w:tc>
      </w:tr>
      <w:tr w14:paraId="674E7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D793FA9">
            <w:pPr>
              <w:jc w:val="both"/>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18</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0C995C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含乳饮料</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97025F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4789.3</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BF7B9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21732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D6BD95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大肠菌群(检5次)</w:t>
            </w:r>
          </w:p>
        </w:tc>
      </w:tr>
      <w:tr w14:paraId="29433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98EF57C">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65E600">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71C065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4789.2</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99205D">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C26071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菌落总数(检5次)</w:t>
            </w:r>
          </w:p>
        </w:tc>
      </w:tr>
      <w:tr w14:paraId="3033E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5FCC91">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599505">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6E8051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F522430">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4E3AF0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沙门氏菌(检5次)</w:t>
            </w:r>
          </w:p>
        </w:tc>
      </w:tr>
      <w:tr w14:paraId="6C9AE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F3393E">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175C82">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F365C8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4789.15</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F6C04F">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55E895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酵母</w:t>
            </w:r>
          </w:p>
        </w:tc>
      </w:tr>
      <w:tr w14:paraId="207DB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E3E8FDB">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DA1D200">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F756EE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4789.15</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57F699">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E189EB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霉菌</w:t>
            </w:r>
          </w:p>
        </w:tc>
      </w:tr>
      <w:tr w14:paraId="298B0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FFBE9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BD0DB3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酱腌菜</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70D57D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D21D7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GB 2760</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176E3E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铅（以 Pb 计）</w:t>
            </w:r>
          </w:p>
        </w:tc>
      </w:tr>
      <w:tr w14:paraId="011A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6A7730">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55E076">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71C0144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5009.33</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EB3D38">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69383A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亚硝酸盐（以 NaNO2 计）</w:t>
            </w:r>
          </w:p>
        </w:tc>
      </w:tr>
      <w:tr w14:paraId="68A6F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E9F15C">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5BC9A0">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9CE986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5009.34</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D4CDC9">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58CB5A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二氧化硫残留量</w:t>
            </w:r>
          </w:p>
        </w:tc>
      </w:tr>
      <w:tr w14:paraId="30543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FA24C4">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1D1D1F">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ED957F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5009.121</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DD46464">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2426A17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脱氢乙酸及其钠盐（以脱氢乙酸计）</w:t>
            </w:r>
          </w:p>
        </w:tc>
      </w:tr>
      <w:tr w14:paraId="332AD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A37A99E">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3E78B3">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2A4372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5009.28</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FF15D36">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0FC24D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苯甲酸及其钠盐（以苯甲酸计）</w:t>
            </w:r>
          </w:p>
        </w:tc>
      </w:tr>
      <w:tr w14:paraId="58021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FB1E9F2">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5580ED3">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C17D0D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5009.28</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1ABD27">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064201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山梨酸及其钾盐（以山梨酸计）</w:t>
            </w:r>
          </w:p>
        </w:tc>
      </w:tr>
      <w:tr w14:paraId="1F19B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D255F0">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20</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B4A80B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淀粉类制品（湿类米粉、河粉、面条）</w:t>
            </w:r>
          </w:p>
        </w:tc>
        <w:tc>
          <w:tcPr>
            <w:tcW w:w="13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783765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4789.2-2022</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A71F65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GB 2713-2015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GB 29921-2021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GB 2762-2025 </w:t>
            </w:r>
          </w:p>
        </w:tc>
        <w:tc>
          <w:tcPr>
            <w:tcW w:w="104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367C9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菌落总数</w:t>
            </w:r>
          </w:p>
        </w:tc>
      </w:tr>
      <w:tr w14:paraId="5F7CB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CFF863">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C26A748">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671B5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4789.3-2016</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2F9A4A4">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20C78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大肠菌群</w:t>
            </w:r>
          </w:p>
        </w:tc>
      </w:tr>
      <w:tr w14:paraId="1743D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7CB82B">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672E42">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8490C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4789.4-2016</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D9AA55">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F6E60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沙门氏菌</w:t>
            </w:r>
          </w:p>
        </w:tc>
      </w:tr>
      <w:tr w14:paraId="5A506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C343CD">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B050CC">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15FB3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4789.10-2016</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5773B5">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2D0C22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金黄色葡萄球菌</w:t>
            </w:r>
          </w:p>
        </w:tc>
      </w:tr>
      <w:tr w14:paraId="17567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69364F">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E7013B4">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FBDDAC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5009.12-2017</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8359A2">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94D7F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w:t>
            </w:r>
          </w:p>
        </w:tc>
      </w:tr>
      <w:tr w14:paraId="79752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436" w:type="pct"/>
            <w:tcBorders>
              <w:top w:val="single" w:color="auto" w:sz="4" w:space="0"/>
              <w:left w:val="single" w:color="auto" w:sz="4" w:space="0"/>
              <w:bottom w:val="single" w:color="auto" w:sz="4" w:space="0"/>
              <w:right w:val="single" w:color="auto" w:sz="4" w:space="0"/>
            </w:tcBorders>
            <w:shd w:val="clear" w:color="auto" w:fill="auto"/>
            <w:vAlign w:val="center"/>
          </w:tcPr>
          <w:p w14:paraId="72BF8A43">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21</w:t>
            </w:r>
          </w:p>
        </w:tc>
        <w:tc>
          <w:tcPr>
            <w:tcW w:w="859" w:type="pct"/>
            <w:tcBorders>
              <w:top w:val="single" w:color="auto" w:sz="4" w:space="0"/>
              <w:left w:val="single" w:color="auto" w:sz="4" w:space="0"/>
              <w:bottom w:val="single" w:color="auto" w:sz="4" w:space="0"/>
              <w:right w:val="single" w:color="auto" w:sz="4" w:space="0"/>
            </w:tcBorders>
            <w:shd w:val="clear" w:color="auto" w:fill="auto"/>
            <w:vAlign w:val="center"/>
          </w:tcPr>
          <w:p w14:paraId="2DE51D0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生活用水</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4FC975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菌落总数 （GB/T 5750.12-2023）砷（GB/T 5750.6-2023）氟化物、硝酸盐、氯化物、硫酸盐 （GB/T 5750.5-2023）色度、浑浊度、pH值、溶解性总固体、总硬度（GB/T 5750.4-2023）耗氧量（GB/T 5750.7-2023）铁、锰（GB/T 5750.6-2023）</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05B0EA3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5749-2022</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945125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1、微生物指标：菌落总数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2、毒理指标：砷、氟化物、硝酸盐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3、感官性状和一般化学指标：色度、浑浊度、pH值、溶解性总固体、总硬度、耗氧量、铁、锰、氯化物、硫酸盐</w:t>
            </w:r>
          </w:p>
        </w:tc>
      </w:tr>
      <w:tr w14:paraId="04507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0" w:hRule="atLeast"/>
        </w:trPr>
        <w:tc>
          <w:tcPr>
            <w:tcW w:w="436" w:type="pct"/>
            <w:tcBorders>
              <w:top w:val="single" w:color="auto" w:sz="4" w:space="0"/>
              <w:left w:val="single" w:color="auto" w:sz="4" w:space="0"/>
              <w:bottom w:val="single" w:color="auto" w:sz="4" w:space="0"/>
              <w:right w:val="single" w:color="auto" w:sz="4" w:space="0"/>
            </w:tcBorders>
            <w:shd w:val="clear" w:color="auto" w:fill="auto"/>
            <w:vAlign w:val="center"/>
          </w:tcPr>
          <w:p w14:paraId="5316643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859" w:type="pct"/>
            <w:tcBorders>
              <w:top w:val="single" w:color="auto" w:sz="4" w:space="0"/>
              <w:left w:val="single" w:color="auto" w:sz="4" w:space="0"/>
              <w:bottom w:val="single" w:color="auto" w:sz="4" w:space="0"/>
              <w:right w:val="single" w:color="auto" w:sz="4" w:space="0"/>
            </w:tcBorders>
            <w:shd w:val="clear" w:color="auto" w:fill="auto"/>
            <w:vAlign w:val="center"/>
          </w:tcPr>
          <w:p w14:paraId="237E007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饮用水</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1A8F366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菌落总数 （GB/T 5750.12-2023）砷（GB/T 5750.6-2023）氟化物、硝酸盐、氯化物、硫酸盐 （GB/T 5750.5-2023）色度、浑浊度、pH值、溶解性总固体、总硬度（GB/T 5750.4-2023）耗氧量（GB/T 5750.7-2023）铁、锰（GB/T 5750.6-2023）</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128BDD2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17324-2003</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DDDC93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1、微生物指标：菌落总数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2、毒理指标：砷、氟化物、硝酸盐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3、感官性状和一般化学指标：色度、浑浊度、pH值、溶解性总固体、总硬度、耗氧量、铁、锰、氯化物、硫酸盐</w:t>
            </w:r>
          </w:p>
        </w:tc>
      </w:tr>
      <w:tr w14:paraId="1F889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436" w:type="pct"/>
            <w:tcBorders>
              <w:top w:val="single" w:color="auto" w:sz="4" w:space="0"/>
              <w:left w:val="single" w:color="auto" w:sz="4" w:space="0"/>
              <w:bottom w:val="single" w:color="auto" w:sz="4" w:space="0"/>
              <w:right w:val="single" w:color="auto" w:sz="4" w:space="0"/>
            </w:tcBorders>
            <w:shd w:val="clear" w:color="auto" w:fill="auto"/>
            <w:vAlign w:val="center"/>
          </w:tcPr>
          <w:p w14:paraId="4CCCA00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859" w:type="pct"/>
            <w:tcBorders>
              <w:top w:val="single" w:color="auto" w:sz="4" w:space="0"/>
              <w:left w:val="single" w:color="auto" w:sz="4" w:space="0"/>
              <w:bottom w:val="single" w:color="auto" w:sz="4" w:space="0"/>
              <w:right w:val="single" w:color="auto" w:sz="4" w:space="0"/>
            </w:tcBorders>
            <w:shd w:val="clear" w:color="auto" w:fill="auto"/>
            <w:vAlign w:val="center"/>
          </w:tcPr>
          <w:p w14:paraId="631980C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油烟</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363DE36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HJ 1077-2019</w:t>
            </w:r>
          </w:p>
        </w:tc>
        <w:tc>
          <w:tcPr>
            <w:tcW w:w="1293" w:type="pct"/>
            <w:tcBorders>
              <w:top w:val="single" w:color="auto" w:sz="4" w:space="0"/>
              <w:left w:val="single" w:color="auto" w:sz="4" w:space="0"/>
              <w:bottom w:val="single" w:color="auto" w:sz="4" w:space="0"/>
              <w:right w:val="single" w:color="auto" w:sz="4" w:space="0"/>
            </w:tcBorders>
            <w:shd w:val="clear" w:color="auto" w:fill="auto"/>
            <w:vAlign w:val="center"/>
          </w:tcPr>
          <w:p w14:paraId="719AE4E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18483-2001</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D5850D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食堂油烟</w:t>
            </w:r>
          </w:p>
        </w:tc>
      </w:tr>
      <w:tr w14:paraId="2EF49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D91FDE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5B484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散装干货</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6AA53B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5009.34-2022</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BBE90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2760-2024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GB 2762-2025</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F8A3E2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二氧化硫</w:t>
            </w:r>
          </w:p>
        </w:tc>
      </w:tr>
      <w:tr w14:paraId="03C0A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C60832">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7A1EFD">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1BE627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5009.12-2017</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84A9C67">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EDCDD4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w:t>
            </w:r>
          </w:p>
        </w:tc>
      </w:tr>
      <w:tr w14:paraId="3149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544B60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489BA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豆制品</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34E114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5009.12-2017</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667CAB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2760-2024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GB 2762-2025</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3B9EEDB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铅</w:t>
            </w:r>
          </w:p>
        </w:tc>
      </w:tr>
      <w:tr w14:paraId="6FA2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A39E87E">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55371C1">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0E0FB24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5009.28-2016</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73863C1">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199F26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苯甲酸及其钠盐</w:t>
            </w:r>
          </w:p>
        </w:tc>
      </w:tr>
      <w:tr w14:paraId="713DB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23EEB23">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4DF9F6">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1B24EBD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5009.28-2016</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55ED070">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1F027A9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山梨酸及其钠盐</w:t>
            </w:r>
          </w:p>
        </w:tc>
      </w:tr>
      <w:tr w14:paraId="70B86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FE83D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F8AD7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蛋类</w:t>
            </w: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EA9B5E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SN/T 2624-2010</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FAE23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GB 31650-2019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农业农村部公告第 250 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GB 31650.1</w:t>
            </w: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560A79B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甲硝唑</w:t>
            </w:r>
          </w:p>
        </w:tc>
      </w:tr>
      <w:tr w14:paraId="31079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37F86F1">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2B56D4">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44D9835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21311-2007</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451DEC">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79D20E9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呋喃唑酮代谢物</w:t>
            </w:r>
          </w:p>
        </w:tc>
      </w:tr>
      <w:tr w14:paraId="14A7A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3599841">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C1947DD">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27E54C2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31659.2-2022</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0976A8">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6A0467B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多西环素</w:t>
            </w:r>
          </w:p>
        </w:tc>
      </w:tr>
      <w:tr w14:paraId="0DE76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3FBD32F">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A78383">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6C17FCF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GB/T 21312-2007 </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27A32E1">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4816C4F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恩诺沙星</w:t>
            </w:r>
          </w:p>
        </w:tc>
      </w:tr>
      <w:tr w14:paraId="7D495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3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490D50C">
            <w:pPr>
              <w:jc w:val="both"/>
              <w:rPr>
                <w:rFonts w:hint="eastAsia" w:ascii="宋体" w:hAnsi="宋体" w:eastAsia="宋体" w:cs="宋体"/>
                <w:i w:val="0"/>
                <w:iCs w:val="0"/>
                <w:color w:val="000000"/>
                <w:sz w:val="24"/>
                <w:szCs w:val="24"/>
                <w:u w:val="none"/>
              </w:rPr>
            </w:pPr>
          </w:p>
        </w:tc>
        <w:tc>
          <w:tcPr>
            <w:tcW w:w="8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2344A0">
            <w:pPr>
              <w:jc w:val="both"/>
              <w:rPr>
                <w:rFonts w:hint="eastAsia" w:ascii="宋体" w:hAnsi="宋体" w:eastAsia="宋体" w:cs="宋体"/>
                <w:i w:val="0"/>
                <w:iCs w:val="0"/>
                <w:color w:val="000000"/>
                <w:sz w:val="24"/>
                <w:szCs w:val="24"/>
                <w:u w:val="none"/>
              </w:rPr>
            </w:pPr>
          </w:p>
        </w:tc>
        <w:tc>
          <w:tcPr>
            <w:tcW w:w="1362" w:type="pct"/>
            <w:tcBorders>
              <w:top w:val="single" w:color="auto" w:sz="4" w:space="0"/>
              <w:left w:val="single" w:color="auto" w:sz="4" w:space="0"/>
              <w:bottom w:val="single" w:color="auto" w:sz="4" w:space="0"/>
              <w:right w:val="single" w:color="auto" w:sz="4" w:space="0"/>
            </w:tcBorders>
            <w:shd w:val="clear" w:color="auto" w:fill="auto"/>
            <w:vAlign w:val="center"/>
          </w:tcPr>
          <w:p w14:paraId="5E4FF5E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农业部 1025 号公告-23-2008</w:t>
            </w:r>
          </w:p>
        </w:tc>
        <w:tc>
          <w:tcPr>
            <w:tcW w:w="129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06C3C9">
            <w:pPr>
              <w:jc w:val="both"/>
              <w:rPr>
                <w:rFonts w:hint="eastAsia" w:ascii="宋体" w:hAnsi="宋体" w:eastAsia="宋体" w:cs="宋体"/>
                <w:i w:val="0"/>
                <w:iCs w:val="0"/>
                <w:color w:val="000000"/>
                <w:sz w:val="24"/>
                <w:szCs w:val="24"/>
                <w:u w:val="none"/>
              </w:rPr>
            </w:pPr>
          </w:p>
        </w:tc>
        <w:tc>
          <w:tcPr>
            <w:tcW w:w="1048" w:type="pct"/>
            <w:tcBorders>
              <w:top w:val="single" w:color="auto" w:sz="4" w:space="0"/>
              <w:left w:val="single" w:color="auto" w:sz="4" w:space="0"/>
              <w:bottom w:val="single" w:color="auto" w:sz="4" w:space="0"/>
              <w:right w:val="single" w:color="auto" w:sz="4" w:space="0"/>
            </w:tcBorders>
            <w:shd w:val="clear" w:color="auto" w:fill="auto"/>
            <w:vAlign w:val="center"/>
          </w:tcPr>
          <w:p w14:paraId="0280703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磺胺类（总量）</w:t>
            </w:r>
          </w:p>
        </w:tc>
      </w:tr>
    </w:tbl>
    <w:p w14:paraId="1C24C611">
      <w:pPr>
        <w:bidi w:val="0"/>
        <w:rPr>
          <w:rFonts w:hint="eastAsia"/>
          <w:lang w:val="en-US" w:eastAsia="zh-CN"/>
        </w:rPr>
      </w:pPr>
    </w:p>
    <w:p w14:paraId="1DC0CAFD">
      <w:pPr>
        <w:ind w:firstLine="643" w:firstLineChars="200"/>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四、服务要求</w:t>
      </w:r>
      <w:bookmarkEnd w:id="16"/>
      <w:bookmarkEnd w:id="17"/>
      <w:bookmarkEnd w:id="18"/>
    </w:p>
    <w:p w14:paraId="4741E805">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技术服务要求</w:t>
      </w:r>
    </w:p>
    <w:p w14:paraId="40B1EAB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1.抽样办法</w:t>
      </w:r>
    </w:p>
    <w:p w14:paraId="41C3081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抽样人员从食品、食材中随机抽取样品，不得由被抽样人提供，现场封样。根据检验项目及国家标准中规定的采样方法及采样数量抽取样品，抽样量原则上满足检验和复检的要求。样品选取原则：以发现为题为导向，按照计划要求，从食堂的食品中选择符合计划要求的样品；选择样品时以发现问题为导向，优先选择包装质量差、感观不正常等风险高的样品。</w:t>
      </w:r>
    </w:p>
    <w:p w14:paraId="06FE5D9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2.样品运输</w:t>
      </w:r>
    </w:p>
    <w:p w14:paraId="068BD4A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样品运输应确保样品质量不受影响。对有特殊贮存（易碎、冷藏、冷冻等）和运输要求的样品，抽样人员应当采取相应措施，保证样品贮存、运输过程符合国家相关规定和包装标示的要求，不发生影响检验结论的变化。</w:t>
      </w:r>
    </w:p>
    <w:p w14:paraId="2FCB7CB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3.检测要求</w:t>
      </w:r>
    </w:p>
    <w:p w14:paraId="09572BC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检验人员应当依照有关法律、法规的规定，并依照食品安全标准和检验规范对食品进行检验，尊重科学，恪守职业道德，保证出具的检验数据和结论客观、公正，不得出具虚假的检验报告。食品安全监督抽检应当采用食品安全标准规定的检验项目和检验方法。没有食品安全标准的，应当采用依照法律法规制定的临时限量值、临时检验方法或者补充检验方法。</w:t>
      </w:r>
    </w:p>
    <w:p w14:paraId="086C837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4.检验时间</w:t>
      </w:r>
    </w:p>
    <w:p w14:paraId="5EDBB81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应当自收到样品之日起7个工作日内出具检验报告，如因特殊情况需延长检验期限的，须与任务下达单位沟通协商。对有特殊时限要求的样品，根据采购方要求加快检验。</w:t>
      </w:r>
    </w:p>
    <w:p w14:paraId="48607A4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5.检验报告</w:t>
      </w:r>
    </w:p>
    <w:p w14:paraId="6767A77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检验报告应依据相关法律法规或标准要求判定，若被检产品明示标准和质量要求高于该要求时，应按被检产品明示标准和质量要求判定。若所检项目既不符合食品安全标准，又不符合产品明示标准或质量要求时，应在检验结论中同时体现，检验报告中检验结论按如下方式作出判定：</w:t>
      </w:r>
    </w:p>
    <w:p w14:paraId="171940D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（1）检验项目全部符合相应依据的法律法规或标准要求的，检验结论为：“经抽样检验，所检项目符合××××要求”。</w:t>
      </w:r>
    </w:p>
    <w:p w14:paraId="735C292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（2）检验项目有不符合相应依据的法律法规或标准要求的，检验结论为：“经抽样检验，××项目不符合××××要求，检验结论为不合格”。</w:t>
      </w:r>
    </w:p>
    <w:p w14:paraId="1751A2D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检验项目既不符合食品安全标准，又不符合产品明示标准或质量要求时，检验结论为：“经抽样检验，××项目不符合××××（食品安全标准）要求、××××（产品明示标准或质量要求）要求，检验结论为不合格”。</w:t>
      </w:r>
    </w:p>
    <w:p w14:paraId="1893F5B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甲方对检测结果若有异议，可于收到检测报告当日起即刻向乙方提出复检。</w:t>
      </w:r>
    </w:p>
    <w:p w14:paraId="17E6C9D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6.无菌操作</w:t>
      </w:r>
    </w:p>
    <w:p w14:paraId="264EE0D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涉及到微生物无菌操作的抽样任务，必须对操作过程中进行拍照，条件允许的情况下需对整个操作过程进行录像。</w:t>
      </w:r>
    </w:p>
    <w:p w14:paraId="2CE77AB6">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）保密要求</w:t>
      </w:r>
    </w:p>
    <w:p w14:paraId="6977E9E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除非有采购方的书面许可，或该信息已被采购人认为不再是商业秘密，或已在社会上公开，中标方不得将采购方经营信息及商业秘密（包括生产管理的方式方法与资料、产品技术资料、客户名单、销售渠道企业战略及其他被认为是商业秘密的信息）对外透露。违反保密约定，需向对方支付合同总额10%的违约金，不足以弥补对方损失的，当另行赔偿。</w:t>
      </w:r>
    </w:p>
    <w:p w14:paraId="35C6FA08">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楷体_GB2312" w:hAnsi="楷体_GB2312" w:eastAsia="楷体_GB2312" w:cs="楷体_GB2312"/>
          <w:b/>
          <w:bCs/>
          <w:sz w:val="32"/>
          <w:szCs w:val="32"/>
          <w:lang w:val="en-US" w:eastAsia="zh-CN"/>
        </w:rPr>
      </w:pPr>
      <w:bookmarkStart w:id="19" w:name="_Toc17425"/>
      <w:r>
        <w:rPr>
          <w:rFonts w:hint="eastAsia" w:ascii="楷体_GB2312" w:hAnsi="楷体_GB2312" w:eastAsia="楷体_GB2312" w:cs="楷体_GB2312"/>
          <w:b/>
          <w:bCs/>
          <w:sz w:val="32"/>
          <w:szCs w:val="32"/>
          <w:lang w:val="en-US" w:eastAsia="zh-CN"/>
        </w:rPr>
        <w:t>五、专项约定要求</w:t>
      </w:r>
      <w:bookmarkEnd w:id="19"/>
    </w:p>
    <w:p w14:paraId="57BEF45E">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（一）项目结算相关要求</w:t>
      </w:r>
    </w:p>
    <w:p w14:paraId="2F455AC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中标方按照采购方要求完成技术协议范围内规定的各项工作。报价人提交完成所有协议内容后，提交相应的交付物给采购方审核通过后，作为此阶段的结算及付款依据。</w:t>
      </w:r>
      <w:bookmarkStart w:id="20" w:name="_Toc11576"/>
      <w:bookmarkStart w:id="21" w:name="_Toc27363"/>
      <w:r>
        <w:rPr>
          <w:rFonts w:hint="eastAsia" w:ascii="仿宋_GB2312" w:hAnsi="仿宋_GB2312" w:eastAsia="仿宋_GB2312" w:cs="仿宋_GB2312"/>
          <w:sz w:val="32"/>
          <w:szCs w:val="32"/>
          <w:lang w:val="en-US" w:eastAsia="zh-CN"/>
        </w:rPr>
        <w:t>结算总价=经采购人确认的检测项目开展次数*成交单价，具体根据《结算单》结算。</w:t>
      </w:r>
    </w:p>
    <w:bookmarkEnd w:id="20"/>
    <w:bookmarkEnd w:id="21"/>
    <w:p w14:paraId="0996D393">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（二）抽检工作相关要求</w:t>
      </w:r>
    </w:p>
    <w:p w14:paraId="22FD68B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1.抽检工作规范</w:t>
      </w:r>
    </w:p>
    <w:p w14:paraId="5410190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抽样检验工作应严格按照《中华人民共和国食品安全法》、《食品安全抽样检验管理办法》（市场监管总局令第15号）、《食品药品监管总局办公厅关于印发食品安全监督抽检和风险监测工作规范的通知》、《市场监督总局关于印发2022年全国食品安全抽检监测计划的通知》《2022年国抽系统基础表制作及审核工作要求》、《国家食品安全监督抽检实施细则》（2023版）、《广东省食品安全监督抽检实施细则（2023年版）》（应用文件的最新版本（包括所有的修订单）适用于本技术规范书）等要求执行，并接受所在区域市场监督管理局及上级单位的监督。</w:t>
      </w:r>
    </w:p>
    <w:p w14:paraId="7EACBF3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2.合理安排抽检工作</w:t>
      </w:r>
    </w:p>
    <w:p w14:paraId="0FBA996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负责本项目抽检工作的人员应积极配合采购方开展工作，合理安排抽样、检验工作任务，确保人员、设备、物料、场地、时间充裕，能满足食品检验的特殊要求，能按时按质完成抽检任务，出具合法有效的检验报告。</w:t>
      </w:r>
    </w:p>
    <w:p w14:paraId="514BF12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3.保证服务水平</w:t>
      </w:r>
    </w:p>
    <w:p w14:paraId="03CBEBC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采样操作规范，实验室质量控制严格，保证高水平的技术服务，不得发生食品检验数据质量问题。抽检应坚持问题导向，增强抽检工作的针对性，重点提高问题发现率和靶向命中率（即不合格率）。</w:t>
      </w:r>
    </w:p>
    <w:p w14:paraId="50C9A95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bookmarkStart w:id="22" w:name="_Hlk108516933"/>
      <w:r>
        <w:rPr>
          <w:rFonts w:hint="eastAsia" w:ascii="仿宋_GB2312" w:hAnsi="仿宋_GB2312" w:eastAsia="仿宋_GB2312" w:cs="仿宋_GB2312"/>
          <w:sz w:val="32"/>
          <w:szCs w:val="32"/>
          <w:lang w:val="en-US" w:eastAsia="zh-CN"/>
        </w:rPr>
        <w:t>4.与采购方进行充分的沟通</w:t>
      </w:r>
    </w:p>
    <w:p w14:paraId="1DD7A53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业务联系人应与采购方保持积极的沟通，确认各项工作事宜。提供手机号、微信、邮箱等联系方式，提前沟通确认好现场抽样时间。</w:t>
      </w:r>
    </w:p>
    <w:p w14:paraId="52A76C5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lang w:val="en-US" w:eastAsia="zh-CN"/>
        </w:rPr>
      </w:pPr>
      <w:r>
        <w:rPr>
          <w:rFonts w:hint="eastAsia" w:ascii="仿宋_GB2312" w:hAnsi="仿宋_GB2312" w:eastAsia="仿宋_GB2312" w:cs="仿宋_GB2312"/>
          <w:sz w:val="32"/>
          <w:szCs w:val="32"/>
          <w:lang w:val="en-US" w:eastAsia="zh-CN"/>
        </w:rPr>
        <w:t>5.涉及抽检的全部情况包括数据及结果，必须保密，不得向除甲方以外的任何单位与个人透露情况。</w:t>
      </w:r>
      <w:bookmarkEnd w:id="22"/>
      <w:bookmarkStart w:id="23" w:name="_GoBack"/>
      <w:bookmarkEnd w:id="23"/>
    </w:p>
    <w:sectPr>
      <w:footerReference r:id="rId3" w:type="default"/>
      <w:pgSz w:w="11906" w:h="16838"/>
      <w:pgMar w:top="1587" w:right="1800" w:bottom="1587"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2010600000101010101"/>
    <w:charset w:val="86"/>
    <w:family w:val="decorative"/>
    <w:pitch w:val="default"/>
    <w:sig w:usb0="00000000" w:usb1="00000000" w:usb2="00000002"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F6DF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40554">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A140554">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none"/>
      <w:pStyle w:val="2"/>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3E546B3E"/>
    <w:multiLevelType w:val="multilevel"/>
    <w:tmpl w:val="3E546B3E"/>
    <w:lvl w:ilvl="0" w:tentative="0">
      <w:start w:val="1"/>
      <w:numFmt w:val="decimal"/>
      <w:lvlText w:val="%1"/>
      <w:lvlJc w:val="left"/>
      <w:pPr>
        <w:tabs>
          <w:tab w:val="left" w:pos="432"/>
        </w:tabs>
        <w:ind w:left="432" w:hanging="432"/>
      </w:pPr>
      <w:rPr>
        <w:rFonts w:hint="eastAsia"/>
      </w:rPr>
    </w:lvl>
    <w:lvl w:ilvl="1" w:tentative="0">
      <w:start w:val="1"/>
      <w:numFmt w:val="decimal"/>
      <w:pStyle w:val="32"/>
      <w:lvlText w:val="%1.%2"/>
      <w:lvlJc w:val="left"/>
      <w:pPr>
        <w:tabs>
          <w:tab w:val="left" w:pos="576"/>
        </w:tabs>
        <w:ind w:left="576" w:hanging="576"/>
      </w:pPr>
      <w:rPr>
        <w:rFonts w:hint="eastAsia"/>
        <w:lang w:val="sv-SE"/>
      </w:rPr>
    </w:lvl>
    <w:lvl w:ilvl="2" w:tentative="0">
      <w:start w:val="1"/>
      <w:numFmt w:val="decimal"/>
      <w:lvlText w:val="%1.%2.%3"/>
      <w:lvlJc w:val="left"/>
      <w:pPr>
        <w:tabs>
          <w:tab w:val="left" w:pos="720"/>
        </w:tabs>
        <w:ind w:left="720" w:hanging="720"/>
      </w:pPr>
      <w:rPr>
        <w:rFonts w:hint="eastAsia"/>
        <w:lang w:val="en-US"/>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ascii="Times New Roman" w:hAnsi="Times New Roman" w:cs="Times New Roman"/>
        <w:i w:val="0"/>
        <w:iCs w:val="0"/>
        <w:caps w:val="0"/>
        <w:smallCaps w:val="0"/>
        <w:strike w:val="0"/>
        <w:dstrike w:val="0"/>
        <w:vanish w:val="0"/>
        <w:spacing w:val="0"/>
        <w:position w:val="0"/>
        <w:u w:val="none"/>
        <w:vertAlign w:val="baseline"/>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F82A78"/>
    <w:rsid w:val="00066A99"/>
    <w:rsid w:val="006263E0"/>
    <w:rsid w:val="008D2726"/>
    <w:rsid w:val="00921F00"/>
    <w:rsid w:val="00C86B57"/>
    <w:rsid w:val="01482928"/>
    <w:rsid w:val="01813D87"/>
    <w:rsid w:val="01815F85"/>
    <w:rsid w:val="01820F2A"/>
    <w:rsid w:val="01834317"/>
    <w:rsid w:val="01914021"/>
    <w:rsid w:val="01E305A8"/>
    <w:rsid w:val="01EA5BE8"/>
    <w:rsid w:val="01F23922"/>
    <w:rsid w:val="01FA01CD"/>
    <w:rsid w:val="02226CDC"/>
    <w:rsid w:val="022B570E"/>
    <w:rsid w:val="024B74A6"/>
    <w:rsid w:val="02767AC8"/>
    <w:rsid w:val="028B2B2F"/>
    <w:rsid w:val="02D30E15"/>
    <w:rsid w:val="03132E98"/>
    <w:rsid w:val="03880A17"/>
    <w:rsid w:val="039B2D6A"/>
    <w:rsid w:val="03AB7AF7"/>
    <w:rsid w:val="03CC00C8"/>
    <w:rsid w:val="03E06D69"/>
    <w:rsid w:val="03ED716D"/>
    <w:rsid w:val="03F30715"/>
    <w:rsid w:val="0414379E"/>
    <w:rsid w:val="042807E2"/>
    <w:rsid w:val="046F08A9"/>
    <w:rsid w:val="0493386E"/>
    <w:rsid w:val="04BE02C3"/>
    <w:rsid w:val="04C4009A"/>
    <w:rsid w:val="04CA4768"/>
    <w:rsid w:val="0521434E"/>
    <w:rsid w:val="05777D63"/>
    <w:rsid w:val="059F06CA"/>
    <w:rsid w:val="05A21761"/>
    <w:rsid w:val="05C91D5D"/>
    <w:rsid w:val="05EF7AEC"/>
    <w:rsid w:val="05F354CF"/>
    <w:rsid w:val="06075F02"/>
    <w:rsid w:val="060F30D0"/>
    <w:rsid w:val="06353968"/>
    <w:rsid w:val="06C226A4"/>
    <w:rsid w:val="06CF2C8A"/>
    <w:rsid w:val="06D6070A"/>
    <w:rsid w:val="06F20C75"/>
    <w:rsid w:val="07002189"/>
    <w:rsid w:val="074359DF"/>
    <w:rsid w:val="07493882"/>
    <w:rsid w:val="07603318"/>
    <w:rsid w:val="076F31D4"/>
    <w:rsid w:val="078E4D13"/>
    <w:rsid w:val="07CE18DD"/>
    <w:rsid w:val="07E301FD"/>
    <w:rsid w:val="08337083"/>
    <w:rsid w:val="08444D9F"/>
    <w:rsid w:val="084C2A35"/>
    <w:rsid w:val="087460F6"/>
    <w:rsid w:val="08B408D6"/>
    <w:rsid w:val="090B630F"/>
    <w:rsid w:val="09524FC9"/>
    <w:rsid w:val="09547DC4"/>
    <w:rsid w:val="097B5A52"/>
    <w:rsid w:val="09CC1552"/>
    <w:rsid w:val="09CE2ADF"/>
    <w:rsid w:val="09E84293"/>
    <w:rsid w:val="0AA56449"/>
    <w:rsid w:val="0AB17097"/>
    <w:rsid w:val="0AB822A5"/>
    <w:rsid w:val="0ADF17F2"/>
    <w:rsid w:val="0AE51E3F"/>
    <w:rsid w:val="0B0B7F2A"/>
    <w:rsid w:val="0B2B6D61"/>
    <w:rsid w:val="0B5E4395"/>
    <w:rsid w:val="0B5F5FCF"/>
    <w:rsid w:val="0B89704E"/>
    <w:rsid w:val="0BA763C9"/>
    <w:rsid w:val="0BC52EBF"/>
    <w:rsid w:val="0BDE2087"/>
    <w:rsid w:val="0C2F4121"/>
    <w:rsid w:val="0C7A1F06"/>
    <w:rsid w:val="0CA27847"/>
    <w:rsid w:val="0CAC094D"/>
    <w:rsid w:val="0D1A16A4"/>
    <w:rsid w:val="0DDB7EB2"/>
    <w:rsid w:val="0E0C1868"/>
    <w:rsid w:val="0E172C2B"/>
    <w:rsid w:val="0E235AEB"/>
    <w:rsid w:val="0E39134A"/>
    <w:rsid w:val="0E452B29"/>
    <w:rsid w:val="0E7D517E"/>
    <w:rsid w:val="0EA61216"/>
    <w:rsid w:val="0EBF433E"/>
    <w:rsid w:val="0EF3685E"/>
    <w:rsid w:val="0EF713F1"/>
    <w:rsid w:val="0EF77D1B"/>
    <w:rsid w:val="0F426E96"/>
    <w:rsid w:val="0F455D56"/>
    <w:rsid w:val="0F5074B0"/>
    <w:rsid w:val="0F5921EB"/>
    <w:rsid w:val="0F876305"/>
    <w:rsid w:val="0F9F1623"/>
    <w:rsid w:val="0FC35D03"/>
    <w:rsid w:val="103D5E34"/>
    <w:rsid w:val="10437D3D"/>
    <w:rsid w:val="10521845"/>
    <w:rsid w:val="10C36408"/>
    <w:rsid w:val="10CC2B00"/>
    <w:rsid w:val="10D33EAD"/>
    <w:rsid w:val="10D81BC5"/>
    <w:rsid w:val="10DE4926"/>
    <w:rsid w:val="111D54A2"/>
    <w:rsid w:val="11421E5E"/>
    <w:rsid w:val="11504C73"/>
    <w:rsid w:val="115D5C83"/>
    <w:rsid w:val="11701DA9"/>
    <w:rsid w:val="117C2707"/>
    <w:rsid w:val="119079DF"/>
    <w:rsid w:val="119974ED"/>
    <w:rsid w:val="11A7127B"/>
    <w:rsid w:val="11B07678"/>
    <w:rsid w:val="11D62E23"/>
    <w:rsid w:val="11E3129F"/>
    <w:rsid w:val="11E71610"/>
    <w:rsid w:val="11E9006E"/>
    <w:rsid w:val="12117034"/>
    <w:rsid w:val="123E0DFD"/>
    <w:rsid w:val="123F5672"/>
    <w:rsid w:val="126B6035"/>
    <w:rsid w:val="128937B2"/>
    <w:rsid w:val="12936308"/>
    <w:rsid w:val="13334790"/>
    <w:rsid w:val="133C02AF"/>
    <w:rsid w:val="138C6520"/>
    <w:rsid w:val="142E6253"/>
    <w:rsid w:val="144C1007"/>
    <w:rsid w:val="14A36886"/>
    <w:rsid w:val="14AA5673"/>
    <w:rsid w:val="14AD503F"/>
    <w:rsid w:val="14B13257"/>
    <w:rsid w:val="1514416F"/>
    <w:rsid w:val="15CF79D4"/>
    <w:rsid w:val="15F36796"/>
    <w:rsid w:val="15F96D0A"/>
    <w:rsid w:val="15FD146F"/>
    <w:rsid w:val="160D6588"/>
    <w:rsid w:val="1616144D"/>
    <w:rsid w:val="16355E0A"/>
    <w:rsid w:val="16714FDF"/>
    <w:rsid w:val="16864F84"/>
    <w:rsid w:val="1694429A"/>
    <w:rsid w:val="16C25960"/>
    <w:rsid w:val="176579F6"/>
    <w:rsid w:val="176645F2"/>
    <w:rsid w:val="177A5800"/>
    <w:rsid w:val="17A20BD4"/>
    <w:rsid w:val="17B10539"/>
    <w:rsid w:val="180675BB"/>
    <w:rsid w:val="180768C5"/>
    <w:rsid w:val="18111062"/>
    <w:rsid w:val="185A00A3"/>
    <w:rsid w:val="18C91F4F"/>
    <w:rsid w:val="18E524E5"/>
    <w:rsid w:val="18EB5EE8"/>
    <w:rsid w:val="18EE58EF"/>
    <w:rsid w:val="18F733EE"/>
    <w:rsid w:val="18FC4FDB"/>
    <w:rsid w:val="19091AEC"/>
    <w:rsid w:val="190A6EA1"/>
    <w:rsid w:val="19303BCF"/>
    <w:rsid w:val="195902A5"/>
    <w:rsid w:val="19A21F94"/>
    <w:rsid w:val="19DF217C"/>
    <w:rsid w:val="19E110F4"/>
    <w:rsid w:val="19FE263C"/>
    <w:rsid w:val="1A1A2183"/>
    <w:rsid w:val="1A7F5B09"/>
    <w:rsid w:val="1A826A8E"/>
    <w:rsid w:val="1AAF0857"/>
    <w:rsid w:val="1ABA6BE8"/>
    <w:rsid w:val="1ABF6EB4"/>
    <w:rsid w:val="1AC978D8"/>
    <w:rsid w:val="1AD045D2"/>
    <w:rsid w:val="1AE2780D"/>
    <w:rsid w:val="1AFD323B"/>
    <w:rsid w:val="1B0B191F"/>
    <w:rsid w:val="1B1F4A64"/>
    <w:rsid w:val="1B3D393E"/>
    <w:rsid w:val="1B65127F"/>
    <w:rsid w:val="1B895FBB"/>
    <w:rsid w:val="1BD43EE5"/>
    <w:rsid w:val="1BE023E6"/>
    <w:rsid w:val="1C0B22F9"/>
    <w:rsid w:val="1C322F51"/>
    <w:rsid w:val="1C443F01"/>
    <w:rsid w:val="1C517F83"/>
    <w:rsid w:val="1C5E6DA7"/>
    <w:rsid w:val="1C7B464A"/>
    <w:rsid w:val="1C885EDE"/>
    <w:rsid w:val="1CA3450A"/>
    <w:rsid w:val="1CB60FDB"/>
    <w:rsid w:val="1CBA37F0"/>
    <w:rsid w:val="1CBD2B35"/>
    <w:rsid w:val="1CC672B9"/>
    <w:rsid w:val="1CF82A78"/>
    <w:rsid w:val="1D2A6E58"/>
    <w:rsid w:val="1D8838A3"/>
    <w:rsid w:val="1E00541B"/>
    <w:rsid w:val="1E0A4D56"/>
    <w:rsid w:val="1E412CB1"/>
    <w:rsid w:val="1E4538B6"/>
    <w:rsid w:val="1E7A743F"/>
    <w:rsid w:val="1EC60EFE"/>
    <w:rsid w:val="1EE93A54"/>
    <w:rsid w:val="1EF1209A"/>
    <w:rsid w:val="1F1F540C"/>
    <w:rsid w:val="1F251EA8"/>
    <w:rsid w:val="1F7D3CF4"/>
    <w:rsid w:val="1F7E48B7"/>
    <w:rsid w:val="20172E3C"/>
    <w:rsid w:val="202D6FD9"/>
    <w:rsid w:val="202E11D8"/>
    <w:rsid w:val="20E42C61"/>
    <w:rsid w:val="20EE3A94"/>
    <w:rsid w:val="20F11733"/>
    <w:rsid w:val="20FB7E55"/>
    <w:rsid w:val="21120551"/>
    <w:rsid w:val="211E0B0D"/>
    <w:rsid w:val="213D4B58"/>
    <w:rsid w:val="218C3402"/>
    <w:rsid w:val="21E30536"/>
    <w:rsid w:val="21F71AC8"/>
    <w:rsid w:val="22177DFE"/>
    <w:rsid w:val="221D07CB"/>
    <w:rsid w:val="222F54A5"/>
    <w:rsid w:val="224B1552"/>
    <w:rsid w:val="22575365"/>
    <w:rsid w:val="229A4F45"/>
    <w:rsid w:val="22EB365A"/>
    <w:rsid w:val="230B15F4"/>
    <w:rsid w:val="23325FCD"/>
    <w:rsid w:val="23752511"/>
    <w:rsid w:val="23920B29"/>
    <w:rsid w:val="23960DB3"/>
    <w:rsid w:val="239B6AB3"/>
    <w:rsid w:val="23D40B06"/>
    <w:rsid w:val="23DC685F"/>
    <w:rsid w:val="23E52E47"/>
    <w:rsid w:val="24265864"/>
    <w:rsid w:val="24474810"/>
    <w:rsid w:val="24501590"/>
    <w:rsid w:val="24593189"/>
    <w:rsid w:val="248B7865"/>
    <w:rsid w:val="24D35B72"/>
    <w:rsid w:val="24D6447F"/>
    <w:rsid w:val="25194B68"/>
    <w:rsid w:val="25395DA3"/>
    <w:rsid w:val="256419D4"/>
    <w:rsid w:val="25787682"/>
    <w:rsid w:val="259A1C3E"/>
    <w:rsid w:val="25B25DFE"/>
    <w:rsid w:val="25E45536"/>
    <w:rsid w:val="26114F50"/>
    <w:rsid w:val="263131BB"/>
    <w:rsid w:val="26437DB4"/>
    <w:rsid w:val="26446854"/>
    <w:rsid w:val="265C7223"/>
    <w:rsid w:val="269B5CA9"/>
    <w:rsid w:val="271F7FCB"/>
    <w:rsid w:val="27660B49"/>
    <w:rsid w:val="277272C6"/>
    <w:rsid w:val="27C70F4E"/>
    <w:rsid w:val="27F47291"/>
    <w:rsid w:val="27FD1429"/>
    <w:rsid w:val="28134BE3"/>
    <w:rsid w:val="28233866"/>
    <w:rsid w:val="28324A70"/>
    <w:rsid w:val="28354E06"/>
    <w:rsid w:val="28436888"/>
    <w:rsid w:val="28DA132C"/>
    <w:rsid w:val="292C667E"/>
    <w:rsid w:val="296609FB"/>
    <w:rsid w:val="29796396"/>
    <w:rsid w:val="29B11D74"/>
    <w:rsid w:val="29B155F7"/>
    <w:rsid w:val="2A3B3309"/>
    <w:rsid w:val="2A893FD5"/>
    <w:rsid w:val="2A9071E3"/>
    <w:rsid w:val="2A9F7E52"/>
    <w:rsid w:val="2B552424"/>
    <w:rsid w:val="2B937D0B"/>
    <w:rsid w:val="2BEC0C78"/>
    <w:rsid w:val="2C131B96"/>
    <w:rsid w:val="2C1837E7"/>
    <w:rsid w:val="2C1F5370"/>
    <w:rsid w:val="2C3B728A"/>
    <w:rsid w:val="2C6862B9"/>
    <w:rsid w:val="2C952DB1"/>
    <w:rsid w:val="2D185C47"/>
    <w:rsid w:val="2D2E332F"/>
    <w:rsid w:val="2DC434A2"/>
    <w:rsid w:val="2DEE5A55"/>
    <w:rsid w:val="2E126486"/>
    <w:rsid w:val="2E203A35"/>
    <w:rsid w:val="2E5D21BF"/>
    <w:rsid w:val="2E8D27BE"/>
    <w:rsid w:val="2EDD4AC2"/>
    <w:rsid w:val="2F0B70D0"/>
    <w:rsid w:val="2F2A4461"/>
    <w:rsid w:val="2FA13911"/>
    <w:rsid w:val="2FB1304E"/>
    <w:rsid w:val="2FD54735"/>
    <w:rsid w:val="309106AE"/>
    <w:rsid w:val="30960D42"/>
    <w:rsid w:val="30AD6F9D"/>
    <w:rsid w:val="30C43E10"/>
    <w:rsid w:val="30F2145C"/>
    <w:rsid w:val="31350C4C"/>
    <w:rsid w:val="313F155B"/>
    <w:rsid w:val="31487E64"/>
    <w:rsid w:val="31BA1F94"/>
    <w:rsid w:val="31BF3FBC"/>
    <w:rsid w:val="31C12931"/>
    <w:rsid w:val="321118B3"/>
    <w:rsid w:val="32150169"/>
    <w:rsid w:val="328475D5"/>
    <w:rsid w:val="32D94747"/>
    <w:rsid w:val="32EA1597"/>
    <w:rsid w:val="32FE549C"/>
    <w:rsid w:val="33524C7F"/>
    <w:rsid w:val="337E2F48"/>
    <w:rsid w:val="33976B2B"/>
    <w:rsid w:val="33CD760B"/>
    <w:rsid w:val="33D010D3"/>
    <w:rsid w:val="33FB5FDC"/>
    <w:rsid w:val="34614F45"/>
    <w:rsid w:val="34F53AC7"/>
    <w:rsid w:val="34FB53B9"/>
    <w:rsid w:val="35176A19"/>
    <w:rsid w:val="352F17D1"/>
    <w:rsid w:val="355020F2"/>
    <w:rsid w:val="35BA0307"/>
    <w:rsid w:val="35BA7547"/>
    <w:rsid w:val="35C8614C"/>
    <w:rsid w:val="36044CAC"/>
    <w:rsid w:val="36283E19"/>
    <w:rsid w:val="362A1E23"/>
    <w:rsid w:val="367F2495"/>
    <w:rsid w:val="36842C5E"/>
    <w:rsid w:val="36A12BF5"/>
    <w:rsid w:val="36BE4DFC"/>
    <w:rsid w:val="36C26364"/>
    <w:rsid w:val="36C501A3"/>
    <w:rsid w:val="36CE6CC9"/>
    <w:rsid w:val="36E47B9D"/>
    <w:rsid w:val="37411307"/>
    <w:rsid w:val="374A58BA"/>
    <w:rsid w:val="37500311"/>
    <w:rsid w:val="3792756B"/>
    <w:rsid w:val="37993847"/>
    <w:rsid w:val="37A74505"/>
    <w:rsid w:val="37B75977"/>
    <w:rsid w:val="380D2B03"/>
    <w:rsid w:val="38102A24"/>
    <w:rsid w:val="38321A3E"/>
    <w:rsid w:val="38601D60"/>
    <w:rsid w:val="386A3776"/>
    <w:rsid w:val="3879305C"/>
    <w:rsid w:val="38B71064"/>
    <w:rsid w:val="38E11F46"/>
    <w:rsid w:val="38F2407A"/>
    <w:rsid w:val="38FB4769"/>
    <w:rsid w:val="3956631D"/>
    <w:rsid w:val="395A5D68"/>
    <w:rsid w:val="39E52085"/>
    <w:rsid w:val="39F43E2D"/>
    <w:rsid w:val="3A040288"/>
    <w:rsid w:val="3A17357E"/>
    <w:rsid w:val="3A214F74"/>
    <w:rsid w:val="3A281EF8"/>
    <w:rsid w:val="3A782F7C"/>
    <w:rsid w:val="3A947029"/>
    <w:rsid w:val="3AAC0034"/>
    <w:rsid w:val="3AB47C79"/>
    <w:rsid w:val="3ABA0EF7"/>
    <w:rsid w:val="3B0350DF"/>
    <w:rsid w:val="3B1D370A"/>
    <w:rsid w:val="3B294910"/>
    <w:rsid w:val="3B2A722B"/>
    <w:rsid w:val="3B750FDD"/>
    <w:rsid w:val="3B7F24AA"/>
    <w:rsid w:val="3B88567F"/>
    <w:rsid w:val="3B90775B"/>
    <w:rsid w:val="3BAA5A37"/>
    <w:rsid w:val="3BB249FF"/>
    <w:rsid w:val="3BBB6A8C"/>
    <w:rsid w:val="3BD41BB4"/>
    <w:rsid w:val="3BE545AF"/>
    <w:rsid w:val="3C1E32AD"/>
    <w:rsid w:val="3C260259"/>
    <w:rsid w:val="3C3513D9"/>
    <w:rsid w:val="3C6E311A"/>
    <w:rsid w:val="3CE355F4"/>
    <w:rsid w:val="3CE446B6"/>
    <w:rsid w:val="3D5236AA"/>
    <w:rsid w:val="3D962E9A"/>
    <w:rsid w:val="3E1F3CF7"/>
    <w:rsid w:val="3EA63D2A"/>
    <w:rsid w:val="3EF63D5B"/>
    <w:rsid w:val="3F2D447B"/>
    <w:rsid w:val="3F505DBA"/>
    <w:rsid w:val="3F5078EC"/>
    <w:rsid w:val="3F667892"/>
    <w:rsid w:val="3F6E2720"/>
    <w:rsid w:val="3F776532"/>
    <w:rsid w:val="3F8548C3"/>
    <w:rsid w:val="3F945344"/>
    <w:rsid w:val="3FB46954"/>
    <w:rsid w:val="402936F4"/>
    <w:rsid w:val="40AE7E89"/>
    <w:rsid w:val="40C355D0"/>
    <w:rsid w:val="40C377CE"/>
    <w:rsid w:val="40C4524F"/>
    <w:rsid w:val="41535D3E"/>
    <w:rsid w:val="415A6F84"/>
    <w:rsid w:val="41A43AA3"/>
    <w:rsid w:val="41C35172"/>
    <w:rsid w:val="41C414C2"/>
    <w:rsid w:val="41F411C5"/>
    <w:rsid w:val="41FC110C"/>
    <w:rsid w:val="42305657"/>
    <w:rsid w:val="427E7AA4"/>
    <w:rsid w:val="427F791E"/>
    <w:rsid w:val="4290719A"/>
    <w:rsid w:val="42AA70D6"/>
    <w:rsid w:val="42BA6B83"/>
    <w:rsid w:val="42E3304C"/>
    <w:rsid w:val="42EA736E"/>
    <w:rsid w:val="4307070B"/>
    <w:rsid w:val="437050EE"/>
    <w:rsid w:val="43823006"/>
    <w:rsid w:val="438E7B8A"/>
    <w:rsid w:val="43E32BEE"/>
    <w:rsid w:val="43E9190D"/>
    <w:rsid w:val="43F17986"/>
    <w:rsid w:val="43F35A9F"/>
    <w:rsid w:val="43F536F6"/>
    <w:rsid w:val="441A72B9"/>
    <w:rsid w:val="44656A3A"/>
    <w:rsid w:val="45537C27"/>
    <w:rsid w:val="456F5F37"/>
    <w:rsid w:val="457965FB"/>
    <w:rsid w:val="45834899"/>
    <w:rsid w:val="458F1984"/>
    <w:rsid w:val="459F5D2A"/>
    <w:rsid w:val="45AD56DD"/>
    <w:rsid w:val="45E30135"/>
    <w:rsid w:val="45EB6847"/>
    <w:rsid w:val="45F31386"/>
    <w:rsid w:val="466D65DB"/>
    <w:rsid w:val="467D2532"/>
    <w:rsid w:val="4696345C"/>
    <w:rsid w:val="46C62C47"/>
    <w:rsid w:val="46D34F96"/>
    <w:rsid w:val="47083D88"/>
    <w:rsid w:val="475A449F"/>
    <w:rsid w:val="47601F3A"/>
    <w:rsid w:val="47CA478B"/>
    <w:rsid w:val="47FF4F45"/>
    <w:rsid w:val="480363EC"/>
    <w:rsid w:val="48285816"/>
    <w:rsid w:val="48302931"/>
    <w:rsid w:val="4843441C"/>
    <w:rsid w:val="4852727E"/>
    <w:rsid w:val="4883213A"/>
    <w:rsid w:val="48A6787F"/>
    <w:rsid w:val="48C56D61"/>
    <w:rsid w:val="48CC447F"/>
    <w:rsid w:val="48DD0D3F"/>
    <w:rsid w:val="48E06434"/>
    <w:rsid w:val="48E07B1E"/>
    <w:rsid w:val="48FE4B50"/>
    <w:rsid w:val="491301B1"/>
    <w:rsid w:val="492E2393"/>
    <w:rsid w:val="4932390F"/>
    <w:rsid w:val="494E5BD4"/>
    <w:rsid w:val="497603F2"/>
    <w:rsid w:val="49A0215B"/>
    <w:rsid w:val="49BE1AD2"/>
    <w:rsid w:val="49CB50E0"/>
    <w:rsid w:val="4A185B71"/>
    <w:rsid w:val="4A3F2F5D"/>
    <w:rsid w:val="4AD90601"/>
    <w:rsid w:val="4AF641C0"/>
    <w:rsid w:val="4B3F6C50"/>
    <w:rsid w:val="4B565FA9"/>
    <w:rsid w:val="4B93258A"/>
    <w:rsid w:val="4B9478C1"/>
    <w:rsid w:val="4BB079F9"/>
    <w:rsid w:val="4BBC594D"/>
    <w:rsid w:val="4BC507DB"/>
    <w:rsid w:val="4C1550E2"/>
    <w:rsid w:val="4C1705E5"/>
    <w:rsid w:val="4CA97B54"/>
    <w:rsid w:val="4CEE34A5"/>
    <w:rsid w:val="4CF40D6D"/>
    <w:rsid w:val="4D4644B1"/>
    <w:rsid w:val="4D966A75"/>
    <w:rsid w:val="4DF57B76"/>
    <w:rsid w:val="4E1C7A36"/>
    <w:rsid w:val="4E264AC2"/>
    <w:rsid w:val="4E4C7CF6"/>
    <w:rsid w:val="4E506F8B"/>
    <w:rsid w:val="4E6F2322"/>
    <w:rsid w:val="4E73165C"/>
    <w:rsid w:val="4EF547B2"/>
    <w:rsid w:val="4F1411D0"/>
    <w:rsid w:val="4F196647"/>
    <w:rsid w:val="4F597BFB"/>
    <w:rsid w:val="4F6A104C"/>
    <w:rsid w:val="4FA871BC"/>
    <w:rsid w:val="4FC768E4"/>
    <w:rsid w:val="4FE033BE"/>
    <w:rsid w:val="50197922"/>
    <w:rsid w:val="5045077D"/>
    <w:rsid w:val="505E3327"/>
    <w:rsid w:val="50DD7F9E"/>
    <w:rsid w:val="50E101BE"/>
    <w:rsid w:val="513C75D3"/>
    <w:rsid w:val="514A12B9"/>
    <w:rsid w:val="51532A7B"/>
    <w:rsid w:val="519F50F9"/>
    <w:rsid w:val="51A14D79"/>
    <w:rsid w:val="51BE212A"/>
    <w:rsid w:val="51D00A4E"/>
    <w:rsid w:val="525F1B91"/>
    <w:rsid w:val="526D6A4B"/>
    <w:rsid w:val="52C23F57"/>
    <w:rsid w:val="52D97475"/>
    <w:rsid w:val="52DC4F3A"/>
    <w:rsid w:val="53357FF2"/>
    <w:rsid w:val="533B26F8"/>
    <w:rsid w:val="535C3A24"/>
    <w:rsid w:val="53983A82"/>
    <w:rsid w:val="53BD285D"/>
    <w:rsid w:val="547C69E2"/>
    <w:rsid w:val="54813655"/>
    <w:rsid w:val="54A4666B"/>
    <w:rsid w:val="54C01AD7"/>
    <w:rsid w:val="54C13A1C"/>
    <w:rsid w:val="552A66DB"/>
    <w:rsid w:val="5552550A"/>
    <w:rsid w:val="55A23149"/>
    <w:rsid w:val="55E7527B"/>
    <w:rsid w:val="561A74D1"/>
    <w:rsid w:val="561E307F"/>
    <w:rsid w:val="5643006C"/>
    <w:rsid w:val="564D0C25"/>
    <w:rsid w:val="56CB2EF7"/>
    <w:rsid w:val="56E80E23"/>
    <w:rsid w:val="571436B2"/>
    <w:rsid w:val="571913F0"/>
    <w:rsid w:val="571E12FD"/>
    <w:rsid w:val="577A3C15"/>
    <w:rsid w:val="57937A63"/>
    <w:rsid w:val="57AF2DEA"/>
    <w:rsid w:val="57FA0669"/>
    <w:rsid w:val="580A6522"/>
    <w:rsid w:val="581A6C16"/>
    <w:rsid w:val="581E0EA0"/>
    <w:rsid w:val="5825660A"/>
    <w:rsid w:val="587C6CBB"/>
    <w:rsid w:val="58E23641"/>
    <w:rsid w:val="593815EC"/>
    <w:rsid w:val="598474ED"/>
    <w:rsid w:val="599C4B94"/>
    <w:rsid w:val="59B70AA6"/>
    <w:rsid w:val="5A2537F3"/>
    <w:rsid w:val="5A6B64E6"/>
    <w:rsid w:val="5AB70B64"/>
    <w:rsid w:val="5AC20240"/>
    <w:rsid w:val="5B0E738D"/>
    <w:rsid w:val="5B895D3C"/>
    <w:rsid w:val="5B9E55DE"/>
    <w:rsid w:val="5B9F3060"/>
    <w:rsid w:val="5BB43EFF"/>
    <w:rsid w:val="5BB67402"/>
    <w:rsid w:val="5BD91B30"/>
    <w:rsid w:val="5C3B2EDE"/>
    <w:rsid w:val="5C513FE6"/>
    <w:rsid w:val="5C5F7C1B"/>
    <w:rsid w:val="5C6D7C37"/>
    <w:rsid w:val="5C6F6AFF"/>
    <w:rsid w:val="5C7F2775"/>
    <w:rsid w:val="5CC91849"/>
    <w:rsid w:val="5CE24971"/>
    <w:rsid w:val="5D1447C2"/>
    <w:rsid w:val="5D6F7A58"/>
    <w:rsid w:val="5DAD753D"/>
    <w:rsid w:val="5DDC5E8E"/>
    <w:rsid w:val="5E7A120F"/>
    <w:rsid w:val="5EA004E1"/>
    <w:rsid w:val="5EAD2DE9"/>
    <w:rsid w:val="5ECA0C73"/>
    <w:rsid w:val="5EDC5A30"/>
    <w:rsid w:val="5F060BCE"/>
    <w:rsid w:val="5F1A53E0"/>
    <w:rsid w:val="5F47185C"/>
    <w:rsid w:val="5F6E07B0"/>
    <w:rsid w:val="5F6E7585"/>
    <w:rsid w:val="5F8B16DA"/>
    <w:rsid w:val="5FDA236E"/>
    <w:rsid w:val="5FFF3ECA"/>
    <w:rsid w:val="60045493"/>
    <w:rsid w:val="600C19FB"/>
    <w:rsid w:val="604B79B8"/>
    <w:rsid w:val="607D4847"/>
    <w:rsid w:val="60C55551"/>
    <w:rsid w:val="60D422E8"/>
    <w:rsid w:val="610C419D"/>
    <w:rsid w:val="61556C6F"/>
    <w:rsid w:val="61A869FC"/>
    <w:rsid w:val="626474B2"/>
    <w:rsid w:val="626A7356"/>
    <w:rsid w:val="62F60ADC"/>
    <w:rsid w:val="63447791"/>
    <w:rsid w:val="634C3904"/>
    <w:rsid w:val="63990CDC"/>
    <w:rsid w:val="63B61B9F"/>
    <w:rsid w:val="63C225A2"/>
    <w:rsid w:val="63C37A9B"/>
    <w:rsid w:val="643E0106"/>
    <w:rsid w:val="645D5138"/>
    <w:rsid w:val="647912E9"/>
    <w:rsid w:val="64B962E8"/>
    <w:rsid w:val="64D6547B"/>
    <w:rsid w:val="64DE698B"/>
    <w:rsid w:val="64E61973"/>
    <w:rsid w:val="65090AD4"/>
    <w:rsid w:val="652A1008"/>
    <w:rsid w:val="652B3A5D"/>
    <w:rsid w:val="653D2227"/>
    <w:rsid w:val="6543057D"/>
    <w:rsid w:val="65680AED"/>
    <w:rsid w:val="659E3379"/>
    <w:rsid w:val="65A9668B"/>
    <w:rsid w:val="65B81595"/>
    <w:rsid w:val="65FB38DF"/>
    <w:rsid w:val="66063815"/>
    <w:rsid w:val="66CF0C9D"/>
    <w:rsid w:val="66EF6A7C"/>
    <w:rsid w:val="670D33FA"/>
    <w:rsid w:val="67223341"/>
    <w:rsid w:val="67407C59"/>
    <w:rsid w:val="67456D7C"/>
    <w:rsid w:val="67537798"/>
    <w:rsid w:val="676550B0"/>
    <w:rsid w:val="676A1537"/>
    <w:rsid w:val="677248CD"/>
    <w:rsid w:val="677E05B6"/>
    <w:rsid w:val="67C87352"/>
    <w:rsid w:val="67D03517"/>
    <w:rsid w:val="67D740EA"/>
    <w:rsid w:val="67DD2945"/>
    <w:rsid w:val="67DD75E0"/>
    <w:rsid w:val="68112FCA"/>
    <w:rsid w:val="68132A8A"/>
    <w:rsid w:val="684A4429"/>
    <w:rsid w:val="68A62916"/>
    <w:rsid w:val="68BB1BE2"/>
    <w:rsid w:val="68E40DA4"/>
    <w:rsid w:val="692E211D"/>
    <w:rsid w:val="69495084"/>
    <w:rsid w:val="694B229A"/>
    <w:rsid w:val="697F1C3D"/>
    <w:rsid w:val="69FA141F"/>
    <w:rsid w:val="6A5807DE"/>
    <w:rsid w:val="6A5A768C"/>
    <w:rsid w:val="6A627C29"/>
    <w:rsid w:val="6A87283E"/>
    <w:rsid w:val="6A8958D1"/>
    <w:rsid w:val="6AD94841"/>
    <w:rsid w:val="6AFD2240"/>
    <w:rsid w:val="6BAE5660"/>
    <w:rsid w:val="6BB34F40"/>
    <w:rsid w:val="6BCF2A70"/>
    <w:rsid w:val="6BD3128F"/>
    <w:rsid w:val="6C2908F7"/>
    <w:rsid w:val="6C496F67"/>
    <w:rsid w:val="6CD7419C"/>
    <w:rsid w:val="6D036096"/>
    <w:rsid w:val="6D67600A"/>
    <w:rsid w:val="6DA203ED"/>
    <w:rsid w:val="6DE74FEF"/>
    <w:rsid w:val="6E1D7554"/>
    <w:rsid w:val="6E5A0455"/>
    <w:rsid w:val="6E5C309F"/>
    <w:rsid w:val="6E744EC2"/>
    <w:rsid w:val="6E936EBA"/>
    <w:rsid w:val="6F4E35B8"/>
    <w:rsid w:val="6F80528D"/>
    <w:rsid w:val="6FE93B2A"/>
    <w:rsid w:val="700E26D2"/>
    <w:rsid w:val="70411FBB"/>
    <w:rsid w:val="70413449"/>
    <w:rsid w:val="70447D89"/>
    <w:rsid w:val="70685117"/>
    <w:rsid w:val="70726F06"/>
    <w:rsid w:val="708F42B8"/>
    <w:rsid w:val="70A12DDE"/>
    <w:rsid w:val="71282329"/>
    <w:rsid w:val="712B4292"/>
    <w:rsid w:val="713737CC"/>
    <w:rsid w:val="723D4D6F"/>
    <w:rsid w:val="72540721"/>
    <w:rsid w:val="72767C4C"/>
    <w:rsid w:val="728D03BC"/>
    <w:rsid w:val="72A61068"/>
    <w:rsid w:val="72D035BF"/>
    <w:rsid w:val="72E07544"/>
    <w:rsid w:val="72F6635F"/>
    <w:rsid w:val="73042AC3"/>
    <w:rsid w:val="732A300A"/>
    <w:rsid w:val="73564618"/>
    <w:rsid w:val="73761AFD"/>
    <w:rsid w:val="73897499"/>
    <w:rsid w:val="738A4F1A"/>
    <w:rsid w:val="73C93D4D"/>
    <w:rsid w:val="73E1682F"/>
    <w:rsid w:val="73F445CA"/>
    <w:rsid w:val="73F9353E"/>
    <w:rsid w:val="740B2A1F"/>
    <w:rsid w:val="743E2692"/>
    <w:rsid w:val="744C4E25"/>
    <w:rsid w:val="74505E20"/>
    <w:rsid w:val="745820F0"/>
    <w:rsid w:val="74AC62F7"/>
    <w:rsid w:val="74C77E12"/>
    <w:rsid w:val="74F92D2C"/>
    <w:rsid w:val="74FD0AFC"/>
    <w:rsid w:val="751C3CF7"/>
    <w:rsid w:val="75201B39"/>
    <w:rsid w:val="75353E06"/>
    <w:rsid w:val="75CA4550"/>
    <w:rsid w:val="75D53884"/>
    <w:rsid w:val="75E83B00"/>
    <w:rsid w:val="75EF5689"/>
    <w:rsid w:val="76123C33"/>
    <w:rsid w:val="761C178A"/>
    <w:rsid w:val="7634617E"/>
    <w:rsid w:val="76401F90"/>
    <w:rsid w:val="76774D15"/>
    <w:rsid w:val="76CF057A"/>
    <w:rsid w:val="76FE10CA"/>
    <w:rsid w:val="773B521B"/>
    <w:rsid w:val="774C36F1"/>
    <w:rsid w:val="77C91D30"/>
    <w:rsid w:val="77F03ED5"/>
    <w:rsid w:val="783D0751"/>
    <w:rsid w:val="784C784B"/>
    <w:rsid w:val="78621B01"/>
    <w:rsid w:val="78A6432B"/>
    <w:rsid w:val="78CB70BB"/>
    <w:rsid w:val="790C33A8"/>
    <w:rsid w:val="79165FAC"/>
    <w:rsid w:val="79966BA7"/>
    <w:rsid w:val="799F5772"/>
    <w:rsid w:val="79A525DC"/>
    <w:rsid w:val="79DC358B"/>
    <w:rsid w:val="7A2D6D03"/>
    <w:rsid w:val="7A394769"/>
    <w:rsid w:val="7A5358BD"/>
    <w:rsid w:val="7A6A3E7E"/>
    <w:rsid w:val="7A8E221F"/>
    <w:rsid w:val="7AE947F5"/>
    <w:rsid w:val="7B18541B"/>
    <w:rsid w:val="7B234C91"/>
    <w:rsid w:val="7B240194"/>
    <w:rsid w:val="7B652565"/>
    <w:rsid w:val="7B7116E0"/>
    <w:rsid w:val="7B811E1A"/>
    <w:rsid w:val="7BAB64B8"/>
    <w:rsid w:val="7BBB3108"/>
    <w:rsid w:val="7BC67E6E"/>
    <w:rsid w:val="7BE505D2"/>
    <w:rsid w:val="7BF12B1D"/>
    <w:rsid w:val="7BF5086D"/>
    <w:rsid w:val="7BFE117C"/>
    <w:rsid w:val="7C003656"/>
    <w:rsid w:val="7C166823"/>
    <w:rsid w:val="7C40018F"/>
    <w:rsid w:val="7C7A5D13"/>
    <w:rsid w:val="7CA22675"/>
    <w:rsid w:val="7CA81E81"/>
    <w:rsid w:val="7CC70514"/>
    <w:rsid w:val="7CFC361E"/>
    <w:rsid w:val="7CFD581C"/>
    <w:rsid w:val="7D141E0C"/>
    <w:rsid w:val="7D207482"/>
    <w:rsid w:val="7D2A3552"/>
    <w:rsid w:val="7D3149F1"/>
    <w:rsid w:val="7D38437C"/>
    <w:rsid w:val="7D3F4B7A"/>
    <w:rsid w:val="7D921593"/>
    <w:rsid w:val="7DB704CD"/>
    <w:rsid w:val="7DBA7B84"/>
    <w:rsid w:val="7DBC3E60"/>
    <w:rsid w:val="7DDE3C10"/>
    <w:rsid w:val="7DEA41A0"/>
    <w:rsid w:val="7DFB573F"/>
    <w:rsid w:val="7DFC31C0"/>
    <w:rsid w:val="7DFE66C3"/>
    <w:rsid w:val="7E481FBB"/>
    <w:rsid w:val="7E554005"/>
    <w:rsid w:val="7E5657E7"/>
    <w:rsid w:val="7E5F7D85"/>
    <w:rsid w:val="7E8B46EC"/>
    <w:rsid w:val="7F207AA0"/>
    <w:rsid w:val="7F3157BC"/>
    <w:rsid w:val="7F3776C5"/>
    <w:rsid w:val="7F4B6365"/>
    <w:rsid w:val="7F855246"/>
    <w:rsid w:val="7FA66B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szCs w:val="22"/>
    </w:rPr>
  </w:style>
  <w:style w:type="paragraph" w:styleId="3">
    <w:name w:val="heading 2"/>
    <w:basedOn w:val="1"/>
    <w:next w:val="1"/>
    <w:unhideWhenUsed/>
    <w:qFormat/>
    <w:uiPriority w:val="0"/>
    <w:pPr>
      <w:keepNext/>
      <w:keepLines/>
      <w:spacing w:beforeLines="0" w:beforeAutospacing="0" w:afterLines="0" w:afterAutospacing="0" w:line="360" w:lineRule="auto"/>
      <w:ind w:firstLine="0" w:firstLineChars="0"/>
      <w:outlineLvl w:val="1"/>
    </w:pPr>
    <w:rPr>
      <w:rFonts w:ascii="Times New Roman" w:hAnsi="Times New Roman"/>
      <w:b/>
      <w:sz w:val="28"/>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240" w:lineRule="auto"/>
      <w:ind w:firstLine="420"/>
    </w:pPr>
    <w:rPr>
      <w:sz w:val="21"/>
    </w:rPr>
  </w:style>
  <w:style w:type="paragraph" w:styleId="6">
    <w:name w:val="Body Text"/>
    <w:basedOn w:val="7"/>
    <w:next w:val="7"/>
    <w:unhideWhenUsed/>
    <w:qFormat/>
    <w:uiPriority w:val="0"/>
    <w:pPr>
      <w:spacing w:after="120"/>
    </w:p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toc 1"/>
    <w:basedOn w:val="1"/>
    <w:next w:val="1"/>
    <w:qFormat/>
    <w:uiPriority w:val="0"/>
    <w:pPr>
      <w:tabs>
        <w:tab w:val="left" w:pos="420"/>
        <w:tab w:val="right" w:leader="dot" w:pos="8705"/>
      </w:tabs>
    </w:pPr>
    <w:rPr>
      <w:b/>
    </w:rPr>
  </w:style>
  <w:style w:type="paragraph" w:styleId="11">
    <w:name w:val="Body Text First Indent"/>
    <w:basedOn w:val="1"/>
    <w:next w:val="1"/>
    <w:qFormat/>
    <w:uiPriority w:val="0"/>
    <w:pPr>
      <w:adjustRightInd w:val="0"/>
      <w:snapToGrid w:val="0"/>
      <w:spacing w:after="120" w:line="240" w:lineRule="auto"/>
      <w:ind w:firstLine="420" w:firstLineChars="100"/>
    </w:pPr>
    <w:rPr>
      <w:sz w:val="21"/>
      <w:lang w:eastAsia="zh-TW"/>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Hyperlink"/>
    <w:qFormat/>
    <w:uiPriority w:val="0"/>
    <w:rPr>
      <w:color w:val="0000FF"/>
      <w:u w:val="single"/>
    </w:rPr>
  </w:style>
  <w:style w:type="paragraph" w:customStyle="1" w:styleId="17">
    <w:name w:val="正文格式"/>
    <w:basedOn w:val="1"/>
    <w:qFormat/>
    <w:uiPriority w:val="0"/>
    <w:pPr>
      <w:topLinePunct/>
      <w:ind w:firstLine="420" w:firstLineChars="200"/>
    </w:pPr>
    <w:rPr>
      <w:rFonts w:ascii="宋体" w:hAnsi="宋体"/>
      <w:bCs/>
      <w:szCs w:val="21"/>
    </w:rPr>
  </w:style>
  <w:style w:type="paragraph" w:customStyle="1" w:styleId="18">
    <w:name w:val="列出段落1"/>
    <w:basedOn w:val="1"/>
    <w:qFormat/>
    <w:uiPriority w:val="0"/>
    <w:pPr>
      <w:ind w:firstLine="420" w:firstLineChars="200"/>
    </w:pPr>
  </w:style>
  <w:style w:type="character" w:customStyle="1" w:styleId="19">
    <w:name w:val="font41"/>
    <w:basedOn w:val="14"/>
    <w:qFormat/>
    <w:uiPriority w:val="0"/>
    <w:rPr>
      <w:rFonts w:hint="eastAsia" w:ascii="宋体" w:hAnsi="宋体" w:eastAsia="宋体" w:cs="宋体"/>
      <w:color w:val="000000"/>
      <w:sz w:val="22"/>
      <w:szCs w:val="22"/>
      <w:u w:val="single"/>
    </w:rPr>
  </w:style>
  <w:style w:type="character" w:customStyle="1" w:styleId="20">
    <w:name w:val="font11"/>
    <w:basedOn w:val="14"/>
    <w:qFormat/>
    <w:uiPriority w:val="0"/>
    <w:rPr>
      <w:rFonts w:hint="eastAsia" w:ascii="宋体" w:hAnsi="宋体" w:eastAsia="宋体" w:cs="宋体"/>
      <w:color w:val="000000"/>
      <w:sz w:val="22"/>
      <w:szCs w:val="22"/>
      <w:u w:val="none"/>
    </w:rPr>
  </w:style>
  <w:style w:type="character" w:customStyle="1" w:styleId="21">
    <w:name w:val="font21"/>
    <w:basedOn w:val="14"/>
    <w:qFormat/>
    <w:uiPriority w:val="0"/>
    <w:rPr>
      <w:rFonts w:hint="eastAsia" w:ascii="宋体" w:hAnsi="宋体" w:eastAsia="宋体" w:cs="宋体"/>
      <w:color w:val="000000"/>
      <w:sz w:val="22"/>
      <w:szCs w:val="22"/>
      <w:u w:val="none"/>
    </w:rPr>
  </w:style>
  <w:style w:type="character" w:customStyle="1" w:styleId="22">
    <w:name w:val="font01"/>
    <w:basedOn w:val="14"/>
    <w:qFormat/>
    <w:uiPriority w:val="0"/>
    <w:rPr>
      <w:rFonts w:hint="eastAsia" w:ascii="宋体" w:hAnsi="宋体" w:eastAsia="宋体" w:cs="宋体"/>
      <w:color w:val="000000"/>
      <w:sz w:val="22"/>
      <w:szCs w:val="22"/>
      <w:u w:val="single"/>
    </w:rPr>
  </w:style>
  <w:style w:type="character" w:customStyle="1" w:styleId="23">
    <w:name w:val="font51"/>
    <w:basedOn w:val="14"/>
    <w:qFormat/>
    <w:uiPriority w:val="0"/>
    <w:rPr>
      <w:rFonts w:hint="eastAsia" w:ascii="宋体" w:hAnsi="宋体" w:eastAsia="宋体" w:cs="宋体"/>
      <w:color w:val="000000"/>
      <w:sz w:val="20"/>
      <w:szCs w:val="20"/>
      <w:u w:val="none"/>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List Paragraph"/>
    <w:basedOn w:val="1"/>
    <w:qFormat/>
    <w:uiPriority w:val="34"/>
    <w:pPr>
      <w:widowControl/>
      <w:ind w:firstLine="420" w:firstLineChars="200"/>
      <w:jc w:val="left"/>
    </w:pPr>
    <w:rPr>
      <w:kern w:val="0"/>
      <w:sz w:val="20"/>
      <w:szCs w:val="20"/>
    </w:rPr>
  </w:style>
  <w:style w:type="character" w:customStyle="1" w:styleId="26">
    <w:name w:val="font31"/>
    <w:basedOn w:val="14"/>
    <w:qFormat/>
    <w:uiPriority w:val="0"/>
    <w:rPr>
      <w:rFonts w:hint="eastAsia" w:ascii="仿宋" w:hAnsi="仿宋" w:eastAsia="仿宋" w:cs="仿宋"/>
      <w:color w:val="000000"/>
      <w:sz w:val="21"/>
      <w:szCs w:val="21"/>
      <w:u w:val="none"/>
    </w:rPr>
  </w:style>
  <w:style w:type="paragraph" w:customStyle="1" w:styleId="27">
    <w:name w:val="样式 小四 首行缩进:  0.74 厘米 行距: 1.5 倍行距 Char"/>
    <w:basedOn w:val="1"/>
    <w:qFormat/>
    <w:uiPriority w:val="0"/>
    <w:pPr>
      <w:spacing w:line="360" w:lineRule="auto"/>
      <w:ind w:firstLine="420"/>
    </w:pPr>
    <w:rPr>
      <w:rFonts w:cs="宋体"/>
      <w:sz w:val="28"/>
      <w:szCs w:val="28"/>
      <w:lang w:bidi="th-TH"/>
    </w:rPr>
  </w:style>
  <w:style w:type="character" w:customStyle="1" w:styleId="28">
    <w:name w:val="index"/>
    <w:basedOn w:val="14"/>
    <w:qFormat/>
    <w:uiPriority w:val="0"/>
  </w:style>
  <w:style w:type="paragraph" w:customStyle="1" w:styleId="29">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0">
    <w:name w:val="font81"/>
    <w:basedOn w:val="14"/>
    <w:qFormat/>
    <w:uiPriority w:val="0"/>
    <w:rPr>
      <w:rFonts w:hint="eastAsia" w:ascii="宋体" w:hAnsi="宋体" w:eastAsia="宋体" w:cs="宋体"/>
      <w:b/>
      <w:color w:val="000000"/>
      <w:sz w:val="24"/>
      <w:szCs w:val="24"/>
      <w:u w:val="none"/>
    </w:rPr>
  </w:style>
  <w:style w:type="paragraph" w:customStyle="1" w:styleId="31">
    <w:name w:val="Table Paragraph"/>
    <w:basedOn w:val="1"/>
    <w:qFormat/>
    <w:uiPriority w:val="1"/>
    <w:rPr>
      <w:rFonts w:ascii="Calibri" w:hAnsi="Calibri" w:eastAsia="Calibri" w:cs="Calibri"/>
      <w:lang w:val="fr-FR" w:eastAsia="fr-FR" w:bidi="fr-FR"/>
    </w:rPr>
  </w:style>
  <w:style w:type="paragraph" w:customStyle="1" w:styleId="32">
    <w:name w:val="样式 标题 2h2Heading 2 HiddenHeading 2 CCBSheading 2第一章 标题 2H2...1"/>
    <w:basedOn w:val="3"/>
    <w:qFormat/>
    <w:uiPriority w:val="0"/>
    <w:pPr>
      <w:numPr>
        <w:ilvl w:val="1"/>
        <w:numId w:val="2"/>
      </w:numPr>
      <w:topLinePunct/>
      <w:adjustRightInd w:val="0"/>
      <w:snapToGrid w:val="0"/>
      <w:spacing w:before="0" w:after="0" w:line="480" w:lineRule="atLeast"/>
      <w:ind w:firstLineChars="0"/>
      <w:jc w:val="left"/>
      <w:textAlignment w:val="center"/>
    </w:pPr>
    <w:rPr>
      <w:rFonts w:ascii="宋体" w:hAnsi="宋体" w:eastAsia="宋体" w:cs="宋体"/>
      <w:color w:val="000000"/>
      <w:kern w:val="0"/>
      <w:sz w:val="28"/>
    </w:rPr>
  </w:style>
  <w:style w:type="paragraph" w:customStyle="1" w:styleId="33">
    <w:name w:val="样式3"/>
    <w:basedOn w:val="1"/>
    <w:qFormat/>
    <w:uiPriority w:val="0"/>
    <w:pPr>
      <w:spacing w:line="360" w:lineRule="auto"/>
      <w:ind w:firstLine="437"/>
    </w:pPr>
    <w:rPr>
      <w:szCs w:val="21"/>
    </w:rPr>
  </w:style>
  <w:style w:type="paragraph" w:customStyle="1" w:styleId="34">
    <w:name w:val="GEDI正文样式"/>
    <w:basedOn w:val="1"/>
    <w:qFormat/>
    <w:uiPriority w:val="0"/>
    <w:pPr>
      <w:adjustRightInd w:val="0"/>
      <w:snapToGrid w:val="0"/>
      <w:spacing w:line="480" w:lineRule="atLeast"/>
      <w:ind w:firstLine="48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2734</Words>
  <Characters>2846</Characters>
  <Lines>0</Lines>
  <Paragraphs>0</Paragraphs>
  <TotalTime>0</TotalTime>
  <ScaleCrop>false</ScaleCrop>
  <LinksUpToDate>false</LinksUpToDate>
  <CharactersWithSpaces>2862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2021-01-06T02:09:00Z</dcterms:created>
  <dc:creator>Administrator</dc:creator>
  <cp:lastModifiedBy>林杰韬</cp:lastModifiedBy>
  <cp:lastPrinted>2024-04-01T01:48:00Z</cp:lastPrinted>
  <dcterms:modified xsi:type="dcterms:W3CDTF">2026-06-09T08:54:57Z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F216739382F34AD798D5658CF6E14DB5_13</vt:lpwstr>
  </property>
  <property fmtid="{D5CDD505-2E9C-101B-9397-08002B2CF9AE}" pid="4" name="KSOTemplateDocerSaveRecord">
    <vt:lpwstr>eyJoZGlkIjoiYmVhNDQyNjYwODU4MmY1YjBjZGY3ZDVmNjZmMTBlMjAiLCJ1c2VySWQiOiIxMTcwNzg4ODg1In0=</vt:lpwstr>
  </property>
</Properties>
</file>