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DFB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4C61C1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03D4F20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b/>
          <w:bCs/>
          <w:color w:val="auto"/>
          <w:sz w:val="24"/>
          <w:szCs w:val="24"/>
          <w:lang w:val="en-US" w:eastAsia="zh-CN"/>
        </w:rPr>
      </w:pPr>
      <w:r>
        <w:rPr>
          <w:rFonts w:ascii="宋体" w:hAnsi="宋体"/>
        </w:rPr>
        <w:drawing>
          <wp:anchor distT="0" distB="0" distL="114300" distR="114300" simplePos="0" relativeHeight="251659264" behindDoc="0" locked="0" layoutInCell="1" allowOverlap="1">
            <wp:simplePos x="0" y="0"/>
            <wp:positionH relativeFrom="column">
              <wp:posOffset>-2118360</wp:posOffset>
            </wp:positionH>
            <wp:positionV relativeFrom="paragraph">
              <wp:posOffset>-1502410</wp:posOffset>
            </wp:positionV>
            <wp:extent cx="9010015" cy="2736850"/>
            <wp:effectExtent l="0" t="0" r="12065" b="6350"/>
            <wp:wrapNone/>
            <wp:docPr id="1" name="图片 6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1" descr="模板-3"/>
                    <pic:cNvPicPr>
                      <a:picLocks noChangeAspect="1"/>
                    </pic:cNvPicPr>
                  </pic:nvPicPr>
                  <pic:blipFill>
                    <a:blip r:embed="rId5"/>
                    <a:stretch>
                      <a:fillRect/>
                    </a:stretch>
                  </pic:blipFill>
                  <pic:spPr>
                    <a:xfrm>
                      <a:off x="0" y="0"/>
                      <a:ext cx="9010015" cy="2736850"/>
                    </a:xfrm>
                    <a:prstGeom prst="rect">
                      <a:avLst/>
                    </a:prstGeom>
                    <a:noFill/>
                    <a:ln>
                      <a:noFill/>
                    </a:ln>
                  </pic:spPr>
                </pic:pic>
              </a:graphicData>
            </a:graphic>
          </wp:anchor>
        </w:drawing>
      </w:r>
    </w:p>
    <w:p w14:paraId="50D677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187C9E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53C8A0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0ACD00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190475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768786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5A6823BC">
      <w:pPr>
        <w:spacing w:line="360" w:lineRule="auto"/>
        <w:jc w:val="center"/>
        <w:rPr>
          <w:rFonts w:hint="eastAsia"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南网综能数字服务（广州）有限公司</w:t>
      </w:r>
    </w:p>
    <w:p w14:paraId="5069D1A1">
      <w:pPr>
        <w:spacing w:line="360" w:lineRule="auto"/>
        <w:jc w:val="center"/>
        <w:rPr>
          <w:rFonts w:hint="eastAsia"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虚拟电厂机房互联网专线相关服务项目</w:t>
      </w:r>
    </w:p>
    <w:p w14:paraId="3CB2D135">
      <w:pPr>
        <w:spacing w:line="360" w:lineRule="auto"/>
        <w:jc w:val="center"/>
        <w:rPr>
          <w:rFonts w:hint="default"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零星采购</w:t>
      </w:r>
    </w:p>
    <w:p w14:paraId="54A8BDF2">
      <w:pPr>
        <w:spacing w:line="360" w:lineRule="auto"/>
        <w:jc w:val="center"/>
        <w:rPr>
          <w:rFonts w:hint="default" w:ascii="宋体" w:hAnsi="宋体" w:cs="Arial"/>
          <w:b/>
          <w:color w:val="auto"/>
          <w:spacing w:val="10"/>
          <w:sz w:val="44"/>
          <w:szCs w:val="44"/>
          <w:highlight w:val="none"/>
          <w:lang w:val="en-US" w:eastAsia="zh-CN"/>
        </w:rPr>
      </w:pPr>
      <w:r>
        <w:rPr>
          <w:rFonts w:hint="eastAsia" w:ascii="宋体" w:hAnsi="宋体" w:cs="Arial"/>
          <w:b/>
          <w:color w:val="auto"/>
          <w:spacing w:val="10"/>
          <w:sz w:val="44"/>
          <w:szCs w:val="44"/>
          <w:highlight w:val="none"/>
          <w:lang w:val="en-US" w:eastAsia="zh-CN"/>
        </w:rPr>
        <w:t>技术规范书</w:t>
      </w:r>
    </w:p>
    <w:p w14:paraId="6E56856B">
      <w:pPr>
        <w:spacing w:line="360" w:lineRule="auto"/>
        <w:rPr>
          <w:rFonts w:ascii="宋体" w:hAnsi="宋体" w:cs="Arial"/>
          <w:b/>
          <w:sz w:val="30"/>
          <w:szCs w:val="30"/>
        </w:rPr>
      </w:pPr>
    </w:p>
    <w:p w14:paraId="186323E2">
      <w:pPr>
        <w:pStyle w:val="3"/>
        <w:numPr>
          <w:ilvl w:val="0"/>
          <w:numId w:val="0"/>
        </w:numPr>
        <w:tabs>
          <w:tab w:val="left" w:pos="420"/>
        </w:tabs>
        <w:ind w:leftChars="0"/>
      </w:pPr>
    </w:p>
    <w:p w14:paraId="5D4596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48F30B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148597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0E4D63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699FB5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1DE2BD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51AF40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7FAE2A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655668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2C43A2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bCs/>
          <w:color w:val="auto"/>
          <w:sz w:val="24"/>
          <w:szCs w:val="24"/>
          <w:lang w:val="en-US" w:eastAsia="zh-CN"/>
        </w:rPr>
      </w:pPr>
    </w:p>
    <w:p w14:paraId="5A4B44C3">
      <w:pPr>
        <w:pStyle w:val="10"/>
        <w:rPr>
          <w:rFonts w:hint="eastAsia" w:ascii="宋体" w:hAnsi="宋体" w:eastAsia="宋体" w:cs="宋体"/>
          <w:b/>
          <w:bCs/>
          <w:color w:val="auto"/>
          <w:sz w:val="24"/>
          <w:szCs w:val="24"/>
          <w:lang w:val="en-US" w:eastAsia="zh-CN"/>
        </w:rPr>
      </w:pPr>
    </w:p>
    <w:p w14:paraId="636347FF">
      <w:pPr>
        <w:pStyle w:val="11"/>
        <w:rPr>
          <w:rFonts w:hint="eastAsia"/>
          <w:lang w:val="en-US" w:eastAsia="zh-CN"/>
        </w:rPr>
      </w:pPr>
    </w:p>
    <w:p w14:paraId="1C1AC2A6">
      <w:pPr>
        <w:pStyle w:val="2"/>
        <w:numPr>
          <w:ilvl w:val="1"/>
          <w:numId w:val="0"/>
        </w:numPr>
        <w:ind w:leftChars="0"/>
        <w:rPr>
          <w:rFonts w:hint="eastAsia"/>
          <w:lang w:val="en-US" w:eastAsia="zh-CN"/>
        </w:rPr>
        <w:sectPr>
          <w:footerReference r:id="rId3" w:type="default"/>
          <w:pgSz w:w="11906" w:h="16838"/>
          <w:pgMar w:top="1440" w:right="1800" w:bottom="1440" w:left="1800" w:header="851" w:footer="992" w:gutter="0"/>
          <w:cols w:space="425" w:num="1"/>
          <w:docGrid w:type="lines" w:linePitch="312" w:charSpace="0"/>
        </w:sectPr>
      </w:pPr>
    </w:p>
    <w:p w14:paraId="58562D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48"/>
          <w:szCs w:val="48"/>
          <w:lang w:val="en-US" w:eastAsia="zh-CN"/>
        </w:rPr>
      </w:pPr>
      <w:r>
        <w:rPr>
          <w:rFonts w:hint="eastAsia" w:ascii="宋体" w:hAnsi="宋体" w:eastAsia="宋体" w:cs="宋体"/>
          <w:b/>
          <w:bCs w:val="0"/>
          <w:sz w:val="48"/>
          <w:szCs w:val="48"/>
          <w:lang w:val="en-US" w:eastAsia="zh-CN"/>
        </w:rPr>
        <w:t>技术规范书</w:t>
      </w:r>
    </w:p>
    <w:p w14:paraId="3AFD0331">
      <w:pPr>
        <w:pStyle w:val="3"/>
        <w:bidi w:val="0"/>
        <w:rPr>
          <w:rFonts w:hint="eastAsia"/>
        </w:rPr>
      </w:pPr>
      <w:bookmarkStart w:id="0" w:name="_Toc17586"/>
      <w:bookmarkStart w:id="1" w:name="_Toc266713645"/>
      <w:bookmarkStart w:id="2" w:name="_Toc198545910"/>
      <w:bookmarkStart w:id="3" w:name="_Toc19589"/>
      <w:bookmarkStart w:id="4" w:name="_Toc25821"/>
      <w:bookmarkStart w:id="5" w:name="_Toc32374"/>
      <w:r>
        <w:rPr>
          <w:rFonts w:hint="eastAsia"/>
          <w:lang w:val="en-US" w:eastAsia="zh-CN"/>
        </w:rPr>
        <w:t>1</w:t>
      </w:r>
      <w:r>
        <w:rPr>
          <w:rFonts w:hint="eastAsia"/>
        </w:rPr>
        <w:t>总则</w:t>
      </w:r>
      <w:bookmarkEnd w:id="0"/>
      <w:bookmarkEnd w:id="1"/>
      <w:bookmarkEnd w:id="2"/>
      <w:bookmarkEnd w:id="3"/>
      <w:bookmarkEnd w:id="4"/>
      <w:bookmarkEnd w:id="5"/>
    </w:p>
    <w:p w14:paraId="01DD656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1.1</w:t>
      </w:r>
      <w:r>
        <w:rPr>
          <w:rFonts w:hint="eastAsia" w:ascii="宋体" w:hAnsi="宋体"/>
          <w:bCs/>
          <w:sz w:val="24"/>
        </w:rPr>
        <w:t>本标书仅描述基本的技术需求，并未对一切技术细节做出规定，也未充分引述有关标准和技术条文，投标方应根据需求目标提供进一步具体的可满足要求的技术指标。</w:t>
      </w:r>
    </w:p>
    <w:p w14:paraId="65085E3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rPr>
      </w:pPr>
      <w:bookmarkStart w:id="6" w:name="_bookmark1"/>
      <w:bookmarkEnd w:id="6"/>
      <w:r>
        <w:rPr>
          <w:rFonts w:hint="eastAsia" w:ascii="宋体" w:hAnsi="宋体"/>
          <w:bCs/>
          <w:sz w:val="24"/>
          <w:lang w:val="en-US" w:eastAsia="zh-CN"/>
        </w:rPr>
        <w:t>1.2</w:t>
      </w:r>
      <w:r>
        <w:rPr>
          <w:rFonts w:hint="eastAsia" w:ascii="宋体" w:hAnsi="宋体" w:eastAsia="宋体" w:cs="宋体"/>
          <w:sz w:val="24"/>
          <w:szCs w:val="24"/>
        </w:rPr>
        <w:t>本</w:t>
      </w:r>
      <w:r>
        <w:rPr>
          <w:rFonts w:hint="eastAsia" w:ascii="宋体" w:hAnsi="宋体"/>
          <w:bCs/>
          <w:sz w:val="24"/>
        </w:rPr>
        <w:t>标书</w:t>
      </w:r>
      <w:r>
        <w:rPr>
          <w:rFonts w:hint="eastAsia" w:ascii="宋体" w:hAnsi="宋体" w:eastAsia="宋体" w:cs="宋体"/>
          <w:sz w:val="24"/>
          <w:szCs w:val="24"/>
        </w:rPr>
        <w:t>的内容如有遗漏，</w:t>
      </w:r>
      <w:r>
        <w:rPr>
          <w:rFonts w:hint="eastAsia" w:ascii="宋体" w:hAnsi="宋体" w:cs="宋体"/>
          <w:sz w:val="24"/>
          <w:szCs w:val="24"/>
          <w:lang w:eastAsia="zh-CN"/>
        </w:rPr>
        <w:t>报价方</w:t>
      </w:r>
      <w:r>
        <w:rPr>
          <w:rFonts w:hint="eastAsia" w:ascii="宋体" w:hAnsi="宋体" w:eastAsia="宋体" w:cs="宋体"/>
          <w:sz w:val="24"/>
          <w:szCs w:val="24"/>
        </w:rPr>
        <w:t>可予以补充，并对补充的内容或技术的必要性进行具体的论述。如需发生费用的应在报价中体现，否则一旦</w:t>
      </w:r>
      <w:r>
        <w:rPr>
          <w:rFonts w:hint="eastAsia" w:ascii="宋体" w:hAnsi="宋体" w:cs="宋体"/>
          <w:sz w:val="24"/>
          <w:szCs w:val="24"/>
          <w:lang w:val="en-US" w:eastAsia="zh-CN"/>
        </w:rPr>
        <w:t>成交</w:t>
      </w:r>
      <w:r>
        <w:rPr>
          <w:rFonts w:hint="eastAsia" w:ascii="宋体" w:hAnsi="宋体" w:eastAsia="宋体" w:cs="宋体"/>
          <w:sz w:val="24"/>
          <w:szCs w:val="24"/>
        </w:rPr>
        <w:t>将认为卖方对其补充部分为免费提供。</w:t>
      </w:r>
    </w:p>
    <w:p w14:paraId="76C0953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rPr>
      </w:pPr>
      <w:r>
        <w:rPr>
          <w:rFonts w:hint="eastAsia" w:ascii="宋体" w:hAnsi="宋体" w:eastAsia="宋体" w:cs="宋体"/>
          <w:sz w:val="24"/>
          <w:szCs w:val="24"/>
          <w:lang w:val="en-US" w:eastAsia="zh-CN"/>
        </w:rPr>
        <w:t>1.3</w:t>
      </w:r>
      <w:r>
        <w:rPr>
          <w:rFonts w:hint="eastAsia" w:ascii="宋体" w:hAnsi="宋体" w:eastAsia="宋体" w:cs="宋体"/>
          <w:sz w:val="24"/>
          <w:szCs w:val="24"/>
        </w:rPr>
        <w:t>本</w:t>
      </w:r>
      <w:r>
        <w:rPr>
          <w:rFonts w:hint="eastAsia" w:ascii="宋体" w:hAnsi="宋体"/>
          <w:bCs/>
          <w:sz w:val="24"/>
        </w:rPr>
        <w:t>标书</w:t>
      </w:r>
      <w:r>
        <w:rPr>
          <w:rFonts w:hint="eastAsia" w:ascii="宋体" w:hAnsi="宋体" w:eastAsia="宋体" w:cs="宋体"/>
          <w:sz w:val="24"/>
          <w:szCs w:val="24"/>
        </w:rPr>
        <w:t>作为</w:t>
      </w:r>
      <w:r>
        <w:rPr>
          <w:rFonts w:hint="eastAsia" w:ascii="宋体" w:hAnsi="宋体" w:cs="宋体"/>
          <w:sz w:val="24"/>
          <w:szCs w:val="24"/>
          <w:lang w:eastAsia="zh-CN"/>
        </w:rPr>
        <w:t>报价方</w:t>
      </w:r>
      <w:r>
        <w:rPr>
          <w:rFonts w:hint="eastAsia" w:ascii="宋体" w:hAnsi="宋体" w:eastAsia="宋体" w:cs="宋体"/>
          <w:sz w:val="24"/>
          <w:szCs w:val="24"/>
        </w:rPr>
        <w:t>编写项目方案设计建议书的依据，对于其中的某些部分，</w:t>
      </w:r>
      <w:r>
        <w:rPr>
          <w:rFonts w:hint="eastAsia" w:ascii="宋体" w:hAnsi="宋体" w:cs="宋体"/>
          <w:sz w:val="24"/>
          <w:szCs w:val="24"/>
          <w:lang w:eastAsia="zh-CN"/>
        </w:rPr>
        <w:t>报价方</w:t>
      </w:r>
      <w:r>
        <w:rPr>
          <w:rFonts w:hint="eastAsia" w:ascii="宋体" w:hAnsi="宋体" w:eastAsia="宋体" w:cs="宋体"/>
          <w:sz w:val="24"/>
          <w:szCs w:val="24"/>
        </w:rPr>
        <w:t>如不能满足要求，应在</w:t>
      </w:r>
      <w:r>
        <w:rPr>
          <w:rFonts w:hint="eastAsia" w:ascii="宋体" w:hAnsi="宋体" w:eastAsia="宋体" w:cs="宋体"/>
          <w:sz w:val="24"/>
          <w:szCs w:val="24"/>
          <w:lang w:val="en-US" w:eastAsia="zh-CN"/>
        </w:rPr>
        <w:t>响应文件</w:t>
      </w:r>
      <w:r>
        <w:rPr>
          <w:rFonts w:hint="eastAsia" w:ascii="宋体" w:hAnsi="宋体" w:eastAsia="宋体" w:cs="宋体"/>
          <w:sz w:val="24"/>
          <w:szCs w:val="24"/>
        </w:rPr>
        <w:t>中提出说明，否则，</w:t>
      </w:r>
      <w:r>
        <w:rPr>
          <w:rFonts w:hint="eastAsia" w:ascii="宋体" w:hAnsi="宋体" w:cs="宋体"/>
          <w:sz w:val="24"/>
          <w:szCs w:val="24"/>
          <w:lang w:eastAsia="zh-CN"/>
        </w:rPr>
        <w:t>采购方</w:t>
      </w:r>
      <w:r>
        <w:rPr>
          <w:rFonts w:hint="eastAsia" w:ascii="宋体" w:hAnsi="宋体" w:eastAsia="宋体" w:cs="宋体"/>
          <w:sz w:val="24"/>
          <w:szCs w:val="24"/>
        </w:rPr>
        <w:t>即认为</w:t>
      </w:r>
      <w:r>
        <w:rPr>
          <w:rFonts w:hint="eastAsia" w:ascii="宋体" w:hAnsi="宋体" w:cs="宋体"/>
          <w:sz w:val="24"/>
          <w:szCs w:val="24"/>
          <w:lang w:eastAsia="zh-CN"/>
        </w:rPr>
        <w:t>报价方</w:t>
      </w:r>
      <w:r>
        <w:rPr>
          <w:rFonts w:hint="eastAsia" w:ascii="宋体" w:hAnsi="宋体" w:eastAsia="宋体" w:cs="宋体"/>
          <w:sz w:val="24"/>
          <w:szCs w:val="24"/>
        </w:rPr>
        <w:t>提供的服务或设备可以满足本</w:t>
      </w:r>
      <w:r>
        <w:rPr>
          <w:rFonts w:hint="eastAsia" w:ascii="宋体" w:hAnsi="宋体" w:cs="宋体"/>
          <w:sz w:val="24"/>
          <w:szCs w:val="24"/>
          <w:lang w:val="en-US" w:eastAsia="zh-CN"/>
        </w:rPr>
        <w:t>技术</w:t>
      </w:r>
      <w:r>
        <w:rPr>
          <w:rFonts w:hint="eastAsia" w:ascii="宋体" w:hAnsi="宋体" w:eastAsia="宋体" w:cs="宋体"/>
          <w:sz w:val="24"/>
          <w:szCs w:val="24"/>
        </w:rPr>
        <w:t>规范书的要求。</w:t>
      </w:r>
    </w:p>
    <w:p w14:paraId="380C2F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1.4</w:t>
      </w:r>
      <w:r>
        <w:rPr>
          <w:rFonts w:hint="eastAsia" w:ascii="宋体" w:hAnsi="宋体"/>
          <w:bCs/>
          <w:sz w:val="24"/>
        </w:rPr>
        <w:t>投标方必须仔细阅读采购文件的全部条款，并作出明确响应。如采购文件带“★”号的条款及要求，报价方必须满足，若有一项不满足将可能导致废标。</w:t>
      </w:r>
    </w:p>
    <w:p w14:paraId="527718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1.5</w:t>
      </w:r>
      <w:r>
        <w:rPr>
          <w:rFonts w:hint="eastAsia" w:ascii="宋体" w:hAnsi="宋体" w:eastAsia="宋体" w:cs="宋体"/>
          <w:sz w:val="24"/>
          <w:szCs w:val="24"/>
        </w:rPr>
        <w:t>本</w:t>
      </w:r>
      <w:r>
        <w:rPr>
          <w:rFonts w:hint="eastAsia" w:ascii="宋体" w:hAnsi="宋体"/>
          <w:bCs/>
          <w:sz w:val="24"/>
        </w:rPr>
        <w:t>标书经买、卖双方确认后作为订货合同的技术附件，与合同正文具有同等的法律效力。</w:t>
      </w:r>
    </w:p>
    <w:p w14:paraId="39A9F53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sz w:val="24"/>
        </w:rPr>
      </w:pPr>
      <w:r>
        <w:rPr>
          <w:rFonts w:hint="eastAsia" w:ascii="宋体" w:hAnsi="宋体"/>
          <w:bCs/>
          <w:sz w:val="24"/>
          <w:lang w:val="en-US" w:eastAsia="zh-CN"/>
        </w:rPr>
        <w:t>1.6</w:t>
      </w:r>
      <w:r>
        <w:rPr>
          <w:rFonts w:hint="eastAsia" w:ascii="宋体" w:hAnsi="宋体"/>
          <w:bCs/>
          <w:sz w:val="24"/>
        </w:rPr>
        <w:t>本标书未尽事宜，由买、卖双方协商确定。</w:t>
      </w:r>
    </w:p>
    <w:p w14:paraId="455DBB1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Theme="minorEastAsia"/>
          <w:bCs/>
          <w:sz w:val="24"/>
          <w:lang w:eastAsia="zh-CN"/>
        </w:rPr>
      </w:pPr>
      <w:r>
        <w:rPr>
          <w:rFonts w:hint="eastAsia" w:ascii="宋体" w:hAnsi="宋体"/>
          <w:bCs/>
          <w:sz w:val="24"/>
          <w:lang w:val="en-US" w:eastAsia="zh-CN"/>
        </w:rPr>
        <w:t>1.7</w:t>
      </w:r>
      <w:r>
        <w:rPr>
          <w:rFonts w:hint="eastAsia" w:ascii="宋体" w:hAnsi="宋体"/>
          <w:bCs/>
          <w:sz w:val="24"/>
        </w:rPr>
        <w:t>本标书的最终解释权归招标方</w:t>
      </w:r>
      <w:r>
        <w:rPr>
          <w:rFonts w:hint="eastAsia" w:ascii="宋体" w:hAnsi="宋体"/>
          <w:bCs/>
          <w:sz w:val="24"/>
          <w:lang w:eastAsia="zh-CN"/>
        </w:rPr>
        <w:t>。</w:t>
      </w:r>
    </w:p>
    <w:p w14:paraId="45C99C94">
      <w:pPr>
        <w:pStyle w:val="13"/>
        <w:ind w:left="0" w:leftChars="0" w:firstLine="0" w:firstLineChars="0"/>
        <w:rPr>
          <w:rFonts w:hint="eastAsia" w:ascii="宋体" w:hAnsi="宋体"/>
          <w:bCs/>
          <w:sz w:val="24"/>
        </w:rPr>
      </w:pPr>
    </w:p>
    <w:p w14:paraId="1B7DA790">
      <w:pPr>
        <w:pStyle w:val="3"/>
        <w:bidi w:val="0"/>
        <w:rPr>
          <w:rFonts w:hint="eastAsia"/>
        </w:rPr>
      </w:pPr>
      <w:r>
        <w:rPr>
          <w:rFonts w:hint="eastAsia"/>
          <w:lang w:val="en-US" w:eastAsia="zh-CN"/>
        </w:rPr>
        <w:t>2规范性引用文件</w:t>
      </w:r>
    </w:p>
    <w:p w14:paraId="7A453E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下列文件对于本文件的应用是必不可少的，凡是注日期的引用文件，仅注日期的版本适用于本文件；凡是不注日期的引用文件，其最新版本（包括所有的修改单）适用于本文件。</w:t>
      </w:r>
    </w:p>
    <w:p w14:paraId="52555C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•YD/T 1476-2006 基于边界网关协议/多协议标记交换的虚拟专用网（BGP/MPLS VPN）技术要求</w:t>
      </w:r>
    </w:p>
    <w:p w14:paraId="083753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•YD/T 1190-2002 基于网络的虚拟IP专用网(IP-VPN)框架</w:t>
      </w:r>
    </w:p>
    <w:p w14:paraId="33345D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•YD 5199-2011 分组传送网（PTN）工程设计暂行规定</w:t>
      </w:r>
    </w:p>
    <w:p w14:paraId="66308D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•3GPP TS 23.003 移动通信网络接入点名称（APN）技术规范</w:t>
      </w:r>
    </w:p>
    <w:p w14:paraId="2FD9F0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lang w:eastAsia="zh-CN"/>
        </w:rPr>
      </w:pPr>
      <w:r>
        <w:rPr>
          <w:rFonts w:hint="eastAsia" w:ascii="宋体" w:hAnsi="宋体"/>
          <w:bCs/>
          <w:sz w:val="24"/>
          <w:lang w:eastAsia="zh-CN"/>
        </w:rPr>
        <w:t>•国家通信网络安全防护管理相关规定</w:t>
      </w:r>
    </w:p>
    <w:p w14:paraId="223C438C">
      <w:pPr>
        <w:pStyle w:val="13"/>
        <w:rPr>
          <w:rFonts w:hint="eastAsia"/>
        </w:rPr>
      </w:pPr>
    </w:p>
    <w:p w14:paraId="2BC0BB58">
      <w:pPr>
        <w:pStyle w:val="3"/>
        <w:bidi w:val="0"/>
        <w:rPr>
          <w:rFonts w:hint="default" w:eastAsia="仿宋_GB2312"/>
          <w:lang w:val="en-US" w:eastAsia="zh-CN"/>
        </w:rPr>
      </w:pPr>
      <w:r>
        <w:rPr>
          <w:rFonts w:hint="eastAsia"/>
          <w:lang w:val="en-US" w:eastAsia="zh-CN"/>
        </w:rPr>
        <w:t>3技术要求</w:t>
      </w:r>
    </w:p>
    <w:p w14:paraId="746A095F">
      <w:pPr>
        <w:pStyle w:val="2"/>
        <w:numPr>
          <w:ilvl w:val="1"/>
          <w:numId w:val="0"/>
        </w:numPr>
        <w:bidi w:val="0"/>
        <w:ind w:leftChars="0"/>
        <w:rPr>
          <w:rFonts w:hint="default"/>
          <w:lang w:val="en-US" w:eastAsia="zh-CN"/>
        </w:rPr>
      </w:pPr>
      <w:r>
        <w:rPr>
          <w:rFonts w:hint="eastAsia"/>
          <w:lang w:val="en-US" w:eastAsia="zh-CN"/>
        </w:rPr>
        <w:t>3.1总体技术要求</w:t>
      </w:r>
    </w:p>
    <w:p w14:paraId="63296C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1.运营商需提供符合本规范的专用传输电路，保障移动APN业务端到端传输的可靠性、安全性、低时延性，实现南网综能数字服务（广州）有限公司内网与物联网终端的专属互通。</w:t>
      </w:r>
    </w:p>
    <w:p w14:paraId="69C9B0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2.专线网络需与公众互联网完全物理/逻辑隔离，杜绝数据泄露、非法接入等安全风险，满足行业业务安全传输要求。</w:t>
      </w:r>
    </w:p>
    <w:p w14:paraId="66E33B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eastAsia="zh-CN"/>
        </w:rPr>
      </w:pPr>
      <w:r>
        <w:rPr>
          <w:rFonts w:hint="eastAsia" w:ascii="宋体" w:hAnsi="宋体"/>
          <w:bCs/>
          <w:sz w:val="24"/>
          <w:lang w:eastAsia="zh-CN"/>
        </w:rPr>
        <w:t>3.服务提供方需保证网络设备、传输链路的兼容性与稳定性，支持业务平滑扩容、故障快速恢复，满足南网综能数字服务（广州）有限公司7×24小时业务运行需求。</w:t>
      </w:r>
    </w:p>
    <w:p w14:paraId="669F10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Theme="minorEastAsia"/>
          <w:bCs/>
          <w:sz w:val="24"/>
          <w:lang w:eastAsia="zh-CN"/>
        </w:rPr>
      </w:pPr>
      <w:r>
        <w:rPr>
          <w:rFonts w:hint="eastAsia" w:ascii="宋体" w:hAnsi="宋体"/>
          <w:bCs/>
          <w:sz w:val="24"/>
          <w:lang w:eastAsia="zh-CN"/>
        </w:rPr>
        <w:t>4.本规范书作为业务合作合同的技术附件，与合同正文具有同等法律效力，双方需严格遵照执行。</w:t>
      </w:r>
    </w:p>
    <w:p w14:paraId="314F1D8D">
      <w:pPr>
        <w:pStyle w:val="2"/>
        <w:numPr>
          <w:ilvl w:val="1"/>
          <w:numId w:val="0"/>
        </w:numPr>
        <w:bidi w:val="0"/>
        <w:ind w:leftChars="0"/>
        <w:rPr>
          <w:rFonts w:hint="default"/>
          <w:lang w:val="en-US" w:eastAsia="zh-CN"/>
        </w:rPr>
      </w:pPr>
      <w:r>
        <w:rPr>
          <w:rFonts w:hint="eastAsia"/>
          <w:lang w:val="en-US" w:eastAsia="zh-CN"/>
        </w:rPr>
        <w:t>3.2业务与功能要求</w:t>
      </w:r>
    </w:p>
    <w:p w14:paraId="3BD68F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3.2.1 业务承载范围</w:t>
      </w:r>
    </w:p>
    <w:p w14:paraId="5FF41E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本专线专门用于承载南网综能数字服务（广州）有限公司移动APN专用数据业务，包括但不限于物联网终端数据采集、远程控制、行业专网通信、物联网数据传输等，禁止传输公众互联网业务及非法数据。</w:t>
      </w:r>
    </w:p>
    <w:p w14:paraId="60D03D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3.2.2 核心功能要求</w:t>
      </w:r>
    </w:p>
    <w:p w14:paraId="6BA876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1.专属APN接入：专线仅对接南网综能数字服务（广州）有限公司指定专用APN，实现物联网终端仅能通过该APN接入南网综能数字服务（广州）有限公司内网，禁止接入其他网络。</w:t>
      </w:r>
    </w:p>
    <w:p w14:paraId="425CE4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2.网络隔离：采用MPLS VPN、GRE隧道等技术，实现南网综能数字服务（广州）有限公司APN业务数据与公众网络、其他南网综能数字服务（广州）有限公司业务数据的逻辑隔离，保障数据传输私密性。</w:t>
      </w:r>
    </w:p>
    <w:p w14:paraId="521022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3.带宽独享：专线提供约定带宽的独享传输通道，无带宽抢占，保障业务传输速率稳定。</w:t>
      </w:r>
    </w:p>
    <w:p w14:paraId="7734F9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4.地址规划：为南网综能数字服务（广州）有限公司分配专属私有IP地址段，支持静态IP/动态IP分配，南网综能数字服务（广州）有限公司自行规划分配，不能和运营商在用IP冲突。</w:t>
      </w:r>
    </w:p>
    <w:p w14:paraId="2811CE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5.接入控制：支持SIM卡绑定、APN权限管控、终端接入认证，仅授权终端可接入专用APN网络，拒绝非法终端接入。</w:t>
      </w:r>
    </w:p>
    <w:p w14:paraId="313544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6.业务可扩展性：支持带宽扩容、终端数量扩容、多节点接入扩展，满足南网综能数字服务（广州）有限公司业务发展需求。</w:t>
      </w:r>
    </w:p>
    <w:p w14:paraId="175135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7.故障自愈：核心传输链路具备冗余备份，故障时自动切换，保障业务不中断。</w:t>
      </w:r>
    </w:p>
    <w:p w14:paraId="7DFE55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lang w:val="en-US" w:eastAsia="zh-CN"/>
        </w:rPr>
      </w:pPr>
      <w:r>
        <w:rPr>
          <w:rFonts w:hint="eastAsia" w:ascii="宋体" w:hAnsi="宋体"/>
          <w:bCs/>
          <w:sz w:val="24"/>
          <w:lang w:val="en-US" w:eastAsia="zh-CN"/>
        </w:rPr>
        <w:t>8.运营商提供的专线要求可利旧原有的物联网卡，无需更换新卡，由新专线运营商自行配置APN通道及物联网卡APN配置，招标方无需进行任何配置工作。</w:t>
      </w:r>
    </w:p>
    <w:p w14:paraId="4D6611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3.2.3 业务性能指标</w:t>
      </w:r>
    </w:p>
    <w:p w14:paraId="22DA75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1.带宽规格：支持</w:t>
      </w:r>
      <w:r>
        <w:rPr>
          <w:rFonts w:hint="eastAsia" w:ascii="宋体" w:hAnsi="宋体" w:eastAsia="宋体" w:cs="宋体"/>
          <w:sz w:val="24"/>
          <w:szCs w:val="24"/>
          <w:highlight w:val="none"/>
          <w:lang w:val="en-US" w:eastAsia="zh-CN"/>
        </w:rPr>
        <w:t>2M、4M、8M、10M、20M、30M、50M、100M、300M、1G</w:t>
      </w:r>
      <w:r>
        <w:rPr>
          <w:rFonts w:hint="eastAsia" w:ascii="宋体" w:hAnsi="宋体"/>
          <w:bCs/>
          <w:sz w:val="24"/>
          <w:lang w:val="en-US" w:eastAsia="zh-CN"/>
        </w:rPr>
        <w:t>等多种带宽可选，上下行带宽对称。</w:t>
      </w:r>
    </w:p>
    <w:p w14:paraId="5C245A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2.传输时延：端到端平均传输时延≤50ms，最大时延≤80ms。</w:t>
      </w:r>
    </w:p>
    <w:p w14:paraId="419FC7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3.丢包率：专线链路年平均丢包率≤0.1%。</w:t>
      </w:r>
    </w:p>
    <w:p w14:paraId="430EA4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4.抖动：传输链路抖动≤20ms。</w:t>
      </w:r>
    </w:p>
    <w:p w14:paraId="765CDA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可用性：专线年度可用率≥99.9%，年度累计中断时长≤10分钟。</w:t>
      </w:r>
    </w:p>
    <w:p w14:paraId="12F5E21D">
      <w:pPr>
        <w:pStyle w:val="2"/>
        <w:numPr>
          <w:ilvl w:val="1"/>
          <w:numId w:val="0"/>
        </w:numPr>
        <w:bidi w:val="0"/>
        <w:ind w:leftChars="0"/>
        <w:rPr>
          <w:rFonts w:hint="default"/>
          <w:lang w:val="en-US" w:eastAsia="zh-CN"/>
        </w:rPr>
      </w:pPr>
      <w:r>
        <w:rPr>
          <w:rFonts w:hint="eastAsia"/>
          <w:lang w:val="en-US" w:eastAsia="zh-CN"/>
        </w:rPr>
        <w:t>3.3网络架构与技术要求</w:t>
      </w:r>
    </w:p>
    <w:p w14:paraId="0E2035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3.3.1 整体网络架构</w:t>
      </w:r>
    </w:p>
    <w:p w14:paraId="3B5B3F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移动APN业务采用南网综能数字服务（广州）有限公司侧→接入网→传输网→核心网的端到端架构，分为南网综能数字服务（广州）有限公司接入层、运营商传输层、核心网对接层三部分：</w:t>
      </w:r>
    </w:p>
    <w:p w14:paraId="66FFA1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南网综能数字服务（广州）有限公司接入层：部署CPE设备、南网综能数字服务（广州）有限公司路由器，（CPE和南网综能数字服务（广州）有限公司路由器，属于南网综能数字服务（广州）有限公司侧提供，非运营商提供）实现专线接入、内网数据交互、终端接入管控。</w:t>
      </w:r>
    </w:p>
    <w:p w14:paraId="06B14A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2.运营商传输层：依托SPN/PTN/SDH/MSTP传输网络，构建端到端专用传输通道，实现南网综能数字服务（广州）有限公司侧与核心网的专线连接。</w:t>
      </w:r>
    </w:p>
    <w:p w14:paraId="65E4EC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3.核心网对接层：通过UPF网关完成APN业务对接，实现隧道建立、数据转发、APN认证。</w:t>
      </w:r>
    </w:p>
    <w:p w14:paraId="39190D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3.3.2 传输网络要求</w:t>
      </w:r>
    </w:p>
    <w:p w14:paraId="66B652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1.传输方式：采用光纤专线接入，优先选用SPN分组传送网，保障传输稳定性与抗干扰能力。</w:t>
      </w:r>
    </w:p>
    <w:p w14:paraId="3D7AD2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2.链路冗余：干线传输链路采用双路由备份，节点设备具备冗余配置，避免单点故障导致业务中断。</w:t>
      </w:r>
    </w:p>
    <w:p w14:paraId="0BE0A2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3.接口标准：</w:t>
      </w:r>
    </w:p>
    <w:p w14:paraId="2F7250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南网综能数字服务（广州）有限公司侧接入接口：支持FE、GE、E1（2Mbps）等标准接口，根据南网综能数字服务（广州）有限公司带宽需求匹配。</w:t>
      </w:r>
    </w:p>
    <w:p w14:paraId="20177C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核心网对接接口：支持GE/10GE标准以太网接口，兼容核心网设备对接要求。</w:t>
      </w:r>
    </w:p>
    <w:p w14:paraId="213AEE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4.网络同步：传输网络时钟同步精度符合国家通信行业标准，保障数据传输同步性。</w:t>
      </w:r>
    </w:p>
    <w:p w14:paraId="1FB471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3.3.3 APN业务技术要求</w:t>
      </w:r>
    </w:p>
    <w:p w14:paraId="432EB6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1.APN配置：运营商为南网综能数字服务（广州）有限公司配置唯一专用APN名称，完成UPF侧APN参数配置、路由配置、隧道策略配置。</w:t>
      </w:r>
    </w:p>
    <w:p w14:paraId="1463C8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2.隧道技术：采用GRE/IPSec VPN隧道技术（单个APN，GRE和IPSEC隧道不能同时选），实现南网综能数字服务（广州）有限公司内网与核心网之间的加密传输，隧道建立时延≤3s。</w:t>
      </w:r>
    </w:p>
    <w:p w14:paraId="2C60AF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3.路由规划：采用静态路由或BGP路由协议，实现南网综能数字服务（广州）有限公司内网路由与核心网路由的精准互通，杜绝路由环路与泄露。</w:t>
      </w:r>
    </w:p>
    <w:p w14:paraId="730E6F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4.QoS保障：为APN业务配置专属QoS策略，保障高优先级业务（如控制指令、实时数据）优先传输，带宽占用率不低于约定值。</w:t>
      </w:r>
    </w:p>
    <w:p w14:paraId="42704842">
      <w:pPr>
        <w:pStyle w:val="2"/>
        <w:numPr>
          <w:ilvl w:val="1"/>
          <w:numId w:val="0"/>
        </w:numPr>
        <w:bidi w:val="0"/>
        <w:ind w:leftChars="0"/>
        <w:rPr>
          <w:rFonts w:hint="default"/>
          <w:lang w:val="en-US" w:eastAsia="zh-CN"/>
        </w:rPr>
      </w:pPr>
      <w:r>
        <w:rPr>
          <w:rFonts w:hint="eastAsia"/>
          <w:lang w:val="en-US" w:eastAsia="zh-CN"/>
        </w:rPr>
        <w:t>3.4设备规范要求</w:t>
      </w:r>
    </w:p>
    <w:p w14:paraId="33FC76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3.4.1 南网综能数字服务（广州）有限公司侧CPE设备</w:t>
      </w:r>
    </w:p>
    <w:p w14:paraId="344355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1.设备性能：支持专线接入、协议转换、VPN隧道、路由转发、ACL访问控制等功能，满足专线带宽传输需求。</w:t>
      </w:r>
    </w:p>
    <w:p w14:paraId="59C4B7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2.接口配置：具备至少2个FE/GE以太网接口、1个E1接口（可选），支持与南网综能数字服务（广州）有限公司内网设备无缝对接。</w:t>
      </w:r>
    </w:p>
    <w:p w14:paraId="2CDA79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3.可靠性：设备平均无故障工作时间（MTBF）≥10万小时，支持电源冗余、热插拔。</w:t>
      </w:r>
    </w:p>
    <w:p w14:paraId="4C22BF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4.管理功能：支持远程监控、配置管理、状态上报，便于运营商运维管控。</w:t>
      </w:r>
    </w:p>
    <w:p w14:paraId="2F8B53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5.安全要求：支持访问控制、端口隔离、攻击防护，防范非法入侵与数据篡改。</w:t>
      </w:r>
    </w:p>
    <w:p w14:paraId="1DA851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3.4.2 运营商侧设备</w:t>
      </w:r>
    </w:p>
    <w:p w14:paraId="1B485B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1.传输设备、核心网网关设备需符合国家及行业通信设备标准，具备工信部入网许可。</w:t>
      </w:r>
    </w:p>
    <w:p w14:paraId="3DCCDD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2.设备支持扩容升级，兼容现有网络及未来网络演进需求。</w:t>
      </w:r>
    </w:p>
    <w:p w14:paraId="2B381A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3.具备完善的故障检测、告警、定位功能，支持运维平台统一管理。</w:t>
      </w:r>
    </w:p>
    <w:p w14:paraId="590AD7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3.4.3 设备安装与部署</w:t>
      </w:r>
    </w:p>
    <w:p w14:paraId="7FB58D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1.运营商负责CPE设备的安装、调试、配置，南网综能数字服务（广州）有限公司提供符合要求的机房环境（电源、接地、机柜、温湿度）。</w:t>
      </w:r>
    </w:p>
    <w:p w14:paraId="4C2909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2.设备部署需符合通信工程施工规范，布线规整、接地可靠，满足防雷、防静电要求。</w:t>
      </w:r>
    </w:p>
    <w:p w14:paraId="703D83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3.南网综能数字服务（广州）有限公司侧设备与内网设备对接需经双方调试确认，保障网络互通正常。</w:t>
      </w:r>
    </w:p>
    <w:p w14:paraId="3A2BD14B">
      <w:pPr>
        <w:pStyle w:val="2"/>
        <w:numPr>
          <w:ilvl w:val="1"/>
          <w:numId w:val="0"/>
        </w:numPr>
        <w:bidi w:val="0"/>
        <w:ind w:leftChars="0"/>
        <w:rPr>
          <w:rFonts w:hint="eastAsia"/>
          <w:lang w:val="en-US" w:eastAsia="zh-CN"/>
        </w:rPr>
      </w:pPr>
      <w:r>
        <w:rPr>
          <w:rFonts w:hint="eastAsia"/>
          <w:lang w:val="en-US" w:eastAsia="zh-CN"/>
        </w:rPr>
        <w:t>3.5网络安全要求</w:t>
      </w:r>
    </w:p>
    <w:p w14:paraId="2F664E4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3.5.1 数据安全</w:t>
      </w:r>
    </w:p>
    <w:p w14:paraId="3570A3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1.专线采用GRE隧道等隧道传输，APN业务数据全程加密，防止数据窃听、篡改、劫持。</w:t>
      </w:r>
    </w:p>
    <w:p w14:paraId="283F22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2.禁止任何形式的数据监听、流量分析，南网综能数字服务（广州）有限公司数据仅在专属通道内传输，运营商不得非法获取、使用。</w:t>
      </w:r>
    </w:p>
    <w:p w14:paraId="610AC2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3.5.2 接入安全</w:t>
      </w:r>
    </w:p>
    <w:p w14:paraId="6CAB50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1.严格终端接入认证，仅开通专用APN权限的SIM卡可接入网络，实现卡、终端、APN三重绑定。</w:t>
      </w:r>
    </w:p>
    <w:p w14:paraId="5A5E603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2.配置防火墙、访问控制列表（ACL），限制非法IP、非法端口访问，防范网络攻击。</w:t>
      </w:r>
    </w:p>
    <w:p w14:paraId="7F0008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3.5.3 网络防护</w:t>
      </w:r>
    </w:p>
    <w:p w14:paraId="3B10BA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1.专线网络与公众互联网物理/逻辑隔离，无直接互通链路，杜绝公网安全风险渗透。</w:t>
      </w:r>
    </w:p>
    <w:p w14:paraId="0A3E36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2.核心设备定期进行安全漏洞扫描、补丁升级，防范病毒、木马攻击。</w:t>
      </w:r>
    </w:p>
    <w:p w14:paraId="6F418B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3.建立网络安全应急机制，及时处置安全事件，保障业务安全运行。</w:t>
      </w:r>
    </w:p>
    <w:p w14:paraId="7CF271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bCs/>
          <w:sz w:val="24"/>
          <w:lang w:val="en-US" w:eastAsia="zh-CN"/>
        </w:rPr>
      </w:pPr>
      <w:r>
        <w:rPr>
          <w:rFonts w:hint="eastAsia" w:ascii="宋体" w:hAnsi="宋体"/>
          <w:bCs/>
          <w:sz w:val="24"/>
          <w:lang w:val="en-US" w:eastAsia="zh-CN"/>
        </w:rPr>
        <w:t>3.5.4 信息安全保障</w:t>
      </w:r>
    </w:p>
    <w:p w14:paraId="65BD45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1.运营商提供的服务应满足电力系统信息安全要求，达到国家信息安全等级保护4级标准。</w:t>
      </w:r>
    </w:p>
    <w:p w14:paraId="27000A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2.运营商应针对不同业务及应用的通信资源，向南网综能数字服务（广州）有限公司提供详细的信息安全保障方案，并说明其信息安全保障水平，可能存在的漏洞等。</w:t>
      </w:r>
    </w:p>
    <w:p w14:paraId="5BEFF4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3.运营商应对广东电网提供的涉密资料（南网综能数字服务（广州）有限公司对涉密资料进行说明）进行保密，任何无关人员不得涉及相关资料。</w:t>
      </w:r>
    </w:p>
    <w:p w14:paraId="02DA48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4.运营商应对南网综能数字服务（广州）有限公司的业务提供透明通道，不得对业务信息进行任何截取、处理。</w:t>
      </w:r>
    </w:p>
    <w:p w14:paraId="14A0B9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5.因中标方原因，导致招标方被上级单位或网络安全管理单位通报、行政处罚等，中标方应承担连带责任；单次通报视情节严重情况，扣罚1-50/人天，单次行政处罚视情节严重情况，扣罚10-100/人天。人天单价参照最新版《中国南方电网有限责任公司信息化项目预算编制与计算方法》执行。</w:t>
      </w:r>
    </w:p>
    <w:p w14:paraId="478FDA54">
      <w:pPr>
        <w:pStyle w:val="2"/>
        <w:numPr>
          <w:ilvl w:val="1"/>
          <w:numId w:val="0"/>
        </w:numPr>
        <w:bidi w:val="0"/>
        <w:ind w:leftChars="0"/>
        <w:rPr>
          <w:rFonts w:hint="eastAsia"/>
          <w:lang w:val="en-US" w:eastAsia="zh-CN"/>
        </w:rPr>
      </w:pPr>
      <w:r>
        <w:rPr>
          <w:rFonts w:hint="eastAsia"/>
          <w:lang w:val="en-US" w:eastAsia="zh-CN"/>
        </w:rPr>
        <w:t>3.5物联网APN卡技术要求</w:t>
      </w:r>
    </w:p>
    <w:p w14:paraId="2ED981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3.5.1物联网卡应当满足电力系统分散式资源的各种场景要求，包括但不限于市区、农村、山区、地下停车库、政府部门、变电站等场景。</w:t>
      </w:r>
    </w:p>
    <w:p w14:paraId="3454F9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3.5.2在广东省内能提供覆盖广泛优秀的网络通信保障，具备5G网络优势，在网络覆盖率、稳定性和数据传输速度等方面有优势。</w:t>
      </w:r>
    </w:p>
    <w:p w14:paraId="754B84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3.5.3如客户在物联网卡使用场景所在地遇到信号问题，能提供诊断和信号改进方案甚至跟进处理</w:t>
      </w:r>
    </w:p>
    <w:p w14:paraId="406FF9FD">
      <w:pPr>
        <w:pStyle w:val="2"/>
        <w:numPr>
          <w:ilvl w:val="1"/>
          <w:numId w:val="0"/>
        </w:numPr>
        <w:bidi w:val="0"/>
        <w:ind w:leftChars="0"/>
        <w:rPr>
          <w:rFonts w:hint="eastAsia"/>
          <w:lang w:val="en-US" w:eastAsia="zh-CN"/>
        </w:rPr>
      </w:pPr>
      <w:r>
        <w:rPr>
          <w:rFonts w:hint="eastAsia"/>
          <w:lang w:val="en-US" w:eastAsia="zh-CN"/>
        </w:rPr>
        <w:t>3.6固话技术要求</w:t>
      </w:r>
    </w:p>
    <w:p w14:paraId="4BE3B0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3.6.1固定电话通信在线率不低于99%。</w:t>
      </w:r>
    </w:p>
    <w:p w14:paraId="5A85FD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3.6.2按键与拨号配置： 物理面板必须配备标准的 12 键 DTMF 拨号键盘（包含 0-9, *, #），并提供独立的重拨（Redial）、静音（Mute）与免提（Speaker/Hands-free）快捷功能键。</w:t>
      </w:r>
      <w:bookmarkStart w:id="7" w:name="_GoBack"/>
      <w:bookmarkEnd w:id="7"/>
    </w:p>
    <w:p w14:paraId="75C40E0C">
      <w:pPr>
        <w:pStyle w:val="13"/>
        <w:rPr>
          <w:rFonts w:hint="eastAsia"/>
          <w:lang w:val="en-US" w:eastAsia="zh-CN"/>
        </w:rPr>
      </w:pPr>
    </w:p>
    <w:p w14:paraId="38A0A19C">
      <w:pPr>
        <w:pStyle w:val="3"/>
        <w:bidi w:val="0"/>
        <w:rPr>
          <w:rFonts w:hint="eastAsia"/>
        </w:rPr>
      </w:pPr>
      <w:r>
        <w:rPr>
          <w:rFonts w:hint="eastAsia"/>
          <w:lang w:val="en-US" w:eastAsia="zh-CN"/>
        </w:rPr>
        <w:t>4技术服务和技术培训</w:t>
      </w:r>
    </w:p>
    <w:p w14:paraId="5F396257">
      <w:pPr>
        <w:pStyle w:val="2"/>
        <w:numPr>
          <w:ilvl w:val="1"/>
          <w:numId w:val="0"/>
        </w:numPr>
        <w:bidi w:val="0"/>
        <w:ind w:left="575" w:leftChars="0" w:hanging="575" w:firstLineChars="0"/>
        <w:rPr>
          <w:rFonts w:hint="eastAsia"/>
          <w:lang w:val="en-US" w:eastAsia="zh-CN"/>
        </w:rPr>
      </w:pPr>
      <w:r>
        <w:rPr>
          <w:rFonts w:hint="eastAsia"/>
          <w:lang w:val="en-US" w:eastAsia="zh-CN"/>
        </w:rPr>
        <w:t>4.1总体要求</w:t>
      </w:r>
    </w:p>
    <w:p w14:paraId="5D35B9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4.1.1运营商应设置专职人员与南网综能数字服务（广州）有限公司主管部门建立日常的沟通机制，当人员变更时应及时告知南网综能数字服务（广州）有限公司相关接口人。</w:t>
      </w:r>
    </w:p>
    <w:p w14:paraId="1B5267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4.1.2对于南网综能数字服务（广州）有限公司的通信保障及重大活动保障要求，由南网综能数字服务（广州）有限公司向运营商通报通信资源的潜在需求及计划，运营商应针对需求，制定相应的保障方案，提前规划与预留通信资源。</w:t>
      </w:r>
    </w:p>
    <w:p w14:paraId="020138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4.1.3运营商应为南网综能数字服务（广州）有限公司提供通信资源的运行状态的监控手段，以保证南网综能数字服务（广州）有限公司相关部门能及时了解通道情况。针对以时间（小时、分、秒）、流量等为单位计费的业务，应为南网综能数字服务（广州）有限公司提供相应的实时计费系统，以便南网综能数字服务（广州）有限公司可以实时了解计费情况。</w:t>
      </w:r>
    </w:p>
    <w:p w14:paraId="79163C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4.1.4通信通道承载业务后，运营商在进行网络割接、线路迁移、业务倒换等可能对业务通道产生中断的操作时，应在每月20号前将下月运行计划以书面形式报送南网综能数字服务（广州）有限公司，并提供影响分析报告及相应解决方案，由双方共同商讨决定。</w:t>
      </w:r>
    </w:p>
    <w:p w14:paraId="15DB31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4.1.5业务应用的通信通道发生故障，运营商应及时组织抢修，同时通知南网综能数字服务（广州）有限公司相关单位通信专业管理和运行部门。并将事故原因和修复结果于3个工作日内通知南网综能数字服务（广州）有限公司。</w:t>
      </w:r>
    </w:p>
    <w:p w14:paraId="4D0407D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4.1.6运营商应将服务提供到南网综能数字服务（广州）有限公司相关业务端口，即运营商将其通信设备配置及端口配线架（根据南网综能数字服务（广州）有限公司需求确定）到电网业务所在通信机房，运营商设备配置的施工建设和后期维护由运营商自身负责，即谁建设谁维护的原则。</w:t>
      </w:r>
    </w:p>
    <w:p w14:paraId="7A04A9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4.1.7运营商应向南网综能数字服务（广州）有限公司提供SLA服务制度（包括业务质量、日常监控、故障处理、投诉处理、网络通报、应急保障、日常维护、质量分析、南网综能数字服务（广州）有限公司拜访、专家服务等内容），并为南网综能数字服务（广州）有限公司提供最高级别（SLA）的服务。</w:t>
      </w:r>
    </w:p>
    <w:p w14:paraId="561D55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4.1.8公司定期对运营商的通信质量进行考评，对于发生的大面积掉线事故（超过30%的设备掉线）以及超过3次单个台区的掉线事故，公司有权对其进行追责。</w:t>
      </w:r>
    </w:p>
    <w:p w14:paraId="6EA670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lang w:val="en-US" w:eastAsia="zh-CN"/>
        </w:rPr>
      </w:pPr>
      <w:r>
        <w:rPr>
          <w:rFonts w:hint="eastAsia" w:ascii="宋体" w:hAnsi="宋体"/>
          <w:bCs/>
          <w:sz w:val="24"/>
          <w:lang w:val="en-US" w:eastAsia="zh-CN"/>
        </w:rPr>
        <w:t>4.1.9 运营商需配合南网综能数字服务（广州）有限公司根据广东电网的要求提供相关技术文档及资源，以满足专线接入广东电网网络要求。</w:t>
      </w:r>
    </w:p>
    <w:p w14:paraId="2334BC2A">
      <w:pPr>
        <w:pStyle w:val="2"/>
        <w:numPr>
          <w:ilvl w:val="1"/>
          <w:numId w:val="0"/>
        </w:numPr>
        <w:bidi w:val="0"/>
        <w:ind w:leftChars="0"/>
        <w:rPr>
          <w:rFonts w:hint="eastAsia"/>
          <w:lang w:val="en-US" w:eastAsia="zh-CN"/>
        </w:rPr>
      </w:pPr>
      <w:r>
        <w:rPr>
          <w:rFonts w:hint="eastAsia"/>
          <w:lang w:val="en-US" w:eastAsia="zh-CN"/>
        </w:rPr>
        <w:t>4.2服务标准</w:t>
      </w:r>
    </w:p>
    <w:p w14:paraId="022563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4.2.1运营商在通信资源已具备的日常应用情况下应按以下标准提供相应的服务。</w:t>
      </w:r>
    </w:p>
    <w:tbl>
      <w:tblPr>
        <w:tblStyle w:val="14"/>
        <w:tblW w:w="8339" w:type="dxa"/>
        <w:jc w:val="center"/>
        <w:tblLayout w:type="fixed"/>
        <w:tblCellMar>
          <w:top w:w="0" w:type="dxa"/>
          <w:left w:w="108" w:type="dxa"/>
          <w:bottom w:w="0" w:type="dxa"/>
          <w:right w:w="108" w:type="dxa"/>
        </w:tblCellMar>
      </w:tblPr>
      <w:tblGrid>
        <w:gridCol w:w="1158"/>
        <w:gridCol w:w="2285"/>
        <w:gridCol w:w="4896"/>
      </w:tblGrid>
      <w:tr w14:paraId="38A7E4E1">
        <w:trPr>
          <w:trHeight w:val="364" w:hRule="atLeast"/>
          <w:jc w:val="center"/>
        </w:trPr>
        <w:tc>
          <w:tcPr>
            <w:tcW w:w="3443" w:type="dxa"/>
            <w:gridSpan w:val="2"/>
            <w:tcBorders>
              <w:top w:val="single" w:color="auto" w:sz="4" w:space="0"/>
              <w:left w:val="single" w:color="auto" w:sz="4" w:space="0"/>
              <w:bottom w:val="single" w:color="auto" w:sz="4" w:space="0"/>
              <w:right w:val="single" w:color="auto" w:sz="4" w:space="0"/>
            </w:tcBorders>
            <w:noWrap w:val="0"/>
            <w:vAlign w:val="center"/>
          </w:tcPr>
          <w:p w14:paraId="543A1B0B">
            <w:pPr>
              <w:widowControl/>
              <w:adjustRightInd w:val="0"/>
              <w:snapToGrid w:val="0"/>
              <w:jc w:val="center"/>
              <w:rPr>
                <w:rFonts w:ascii="宋体" w:hAnsi="宋体" w:cs="宋体"/>
                <w:b/>
                <w:bCs/>
                <w:kern w:val="0"/>
                <w:sz w:val="18"/>
                <w:szCs w:val="18"/>
              </w:rPr>
            </w:pPr>
            <w:r>
              <w:rPr>
                <w:rFonts w:hint="eastAsia" w:ascii="宋体" w:hAnsi="宋体" w:cs="宋体"/>
                <w:b/>
                <w:bCs/>
                <w:kern w:val="0"/>
                <w:sz w:val="18"/>
                <w:szCs w:val="18"/>
              </w:rPr>
              <w:t>服务项目</w:t>
            </w:r>
          </w:p>
        </w:tc>
        <w:tc>
          <w:tcPr>
            <w:tcW w:w="4896" w:type="dxa"/>
            <w:tcBorders>
              <w:top w:val="single" w:color="auto" w:sz="4" w:space="0"/>
              <w:left w:val="nil"/>
              <w:bottom w:val="single" w:color="auto" w:sz="4" w:space="0"/>
              <w:right w:val="single" w:color="auto" w:sz="4" w:space="0"/>
            </w:tcBorders>
            <w:noWrap w:val="0"/>
            <w:vAlign w:val="center"/>
          </w:tcPr>
          <w:p w14:paraId="2B8125E2">
            <w:pPr>
              <w:widowControl/>
              <w:adjustRightInd w:val="0"/>
              <w:snapToGrid w:val="0"/>
              <w:jc w:val="center"/>
              <w:rPr>
                <w:rFonts w:ascii="宋体" w:hAnsi="宋体" w:cs="宋体"/>
                <w:b/>
                <w:bCs/>
                <w:kern w:val="0"/>
                <w:sz w:val="18"/>
                <w:szCs w:val="18"/>
              </w:rPr>
            </w:pPr>
            <w:r>
              <w:rPr>
                <w:rFonts w:hint="eastAsia" w:ascii="宋体" w:hAnsi="宋体" w:cs="宋体"/>
                <w:b/>
                <w:bCs/>
                <w:kern w:val="0"/>
                <w:sz w:val="18"/>
                <w:szCs w:val="18"/>
              </w:rPr>
              <w:t>服务标准</w:t>
            </w:r>
          </w:p>
        </w:tc>
      </w:tr>
      <w:tr w14:paraId="10504687">
        <w:trPr>
          <w:trHeight w:val="345" w:hRule="atLeast"/>
          <w:jc w:val="center"/>
        </w:trPr>
        <w:tc>
          <w:tcPr>
            <w:tcW w:w="1158" w:type="dxa"/>
            <w:vMerge w:val="restart"/>
            <w:tcBorders>
              <w:top w:val="nil"/>
              <w:left w:val="single" w:color="auto" w:sz="4" w:space="0"/>
              <w:bottom w:val="single" w:color="auto" w:sz="4" w:space="0"/>
              <w:right w:val="single" w:color="auto" w:sz="4" w:space="0"/>
            </w:tcBorders>
            <w:noWrap w:val="0"/>
            <w:vAlign w:val="center"/>
          </w:tcPr>
          <w:p w14:paraId="43D28E9E">
            <w:pPr>
              <w:widowControl/>
              <w:adjustRightInd w:val="0"/>
              <w:snapToGrid w:val="0"/>
              <w:jc w:val="left"/>
              <w:rPr>
                <w:rFonts w:ascii="宋体" w:hAnsi="宋体" w:cs="宋体"/>
                <w:kern w:val="0"/>
                <w:sz w:val="18"/>
                <w:szCs w:val="18"/>
              </w:rPr>
            </w:pPr>
            <w:r>
              <w:rPr>
                <w:rFonts w:hint="eastAsia" w:ascii="宋体" w:hAnsi="宋体" w:cs="宋体"/>
                <w:kern w:val="0"/>
                <w:sz w:val="18"/>
                <w:szCs w:val="18"/>
              </w:rPr>
              <w:t>业务开通</w:t>
            </w:r>
          </w:p>
        </w:tc>
        <w:tc>
          <w:tcPr>
            <w:tcW w:w="2285" w:type="dxa"/>
            <w:tcBorders>
              <w:top w:val="nil"/>
              <w:left w:val="single" w:color="auto" w:sz="4" w:space="0"/>
              <w:bottom w:val="single" w:color="auto" w:sz="4" w:space="0"/>
              <w:right w:val="single" w:color="auto" w:sz="4" w:space="0"/>
            </w:tcBorders>
            <w:noWrap w:val="0"/>
            <w:vAlign w:val="center"/>
          </w:tcPr>
          <w:p w14:paraId="67393DE9">
            <w:pPr>
              <w:widowControl/>
              <w:adjustRightInd w:val="0"/>
              <w:snapToGrid w:val="0"/>
              <w:jc w:val="left"/>
              <w:rPr>
                <w:rFonts w:ascii="宋体" w:hAnsi="宋体" w:cs="宋体"/>
                <w:kern w:val="0"/>
                <w:sz w:val="18"/>
                <w:szCs w:val="18"/>
              </w:rPr>
            </w:pPr>
            <w:r>
              <w:rPr>
                <w:rFonts w:hint="eastAsia" w:ascii="宋体" w:hAnsi="宋体" w:cs="宋体"/>
                <w:kern w:val="0"/>
                <w:sz w:val="18"/>
                <w:szCs w:val="18"/>
              </w:rPr>
              <w:t>业务开通时限</w:t>
            </w:r>
          </w:p>
        </w:tc>
        <w:tc>
          <w:tcPr>
            <w:tcW w:w="4896" w:type="dxa"/>
            <w:tcBorders>
              <w:top w:val="nil"/>
              <w:left w:val="nil"/>
              <w:bottom w:val="single" w:color="auto" w:sz="4" w:space="0"/>
              <w:right w:val="single" w:color="auto" w:sz="4" w:space="0"/>
            </w:tcBorders>
            <w:noWrap w:val="0"/>
            <w:vAlign w:val="center"/>
          </w:tcPr>
          <w:p w14:paraId="56F4785D">
            <w:pPr>
              <w:widowControl/>
              <w:adjustRightInd w:val="0"/>
              <w:snapToGrid w:val="0"/>
              <w:jc w:val="left"/>
              <w:rPr>
                <w:rFonts w:ascii="宋体" w:hAnsi="宋体" w:cs="宋体"/>
                <w:kern w:val="0"/>
                <w:sz w:val="18"/>
                <w:szCs w:val="18"/>
              </w:rPr>
            </w:pPr>
            <w:r>
              <w:rPr>
                <w:rFonts w:hint="eastAsia" w:ascii="宋体" w:hAnsi="宋体" w:cs="宋体"/>
                <w:kern w:val="0"/>
                <w:sz w:val="18"/>
                <w:szCs w:val="18"/>
              </w:rPr>
              <w:t>专线调通4个工作日</w:t>
            </w:r>
          </w:p>
        </w:tc>
      </w:tr>
      <w:tr w14:paraId="146ED5CD">
        <w:trPr>
          <w:trHeight w:val="263" w:hRule="atLeast"/>
          <w:jc w:val="center"/>
        </w:trPr>
        <w:tc>
          <w:tcPr>
            <w:tcW w:w="1158" w:type="dxa"/>
            <w:vMerge w:val="continue"/>
            <w:tcBorders>
              <w:top w:val="nil"/>
              <w:left w:val="single" w:color="auto" w:sz="4" w:space="0"/>
              <w:bottom w:val="single" w:color="auto" w:sz="4" w:space="0"/>
              <w:right w:val="single" w:color="auto" w:sz="4" w:space="0"/>
            </w:tcBorders>
            <w:noWrap w:val="0"/>
            <w:vAlign w:val="center"/>
          </w:tcPr>
          <w:p w14:paraId="278CA743">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6569EC37">
            <w:pPr>
              <w:widowControl/>
              <w:adjustRightInd w:val="0"/>
              <w:snapToGrid w:val="0"/>
              <w:jc w:val="left"/>
              <w:rPr>
                <w:rFonts w:ascii="宋体" w:hAnsi="宋体" w:cs="宋体"/>
                <w:kern w:val="0"/>
                <w:sz w:val="18"/>
                <w:szCs w:val="18"/>
              </w:rPr>
            </w:pPr>
            <w:r>
              <w:rPr>
                <w:rFonts w:hint="eastAsia" w:ascii="宋体" w:hAnsi="宋体" w:cs="宋体"/>
                <w:kern w:val="0"/>
                <w:sz w:val="18"/>
                <w:szCs w:val="18"/>
              </w:rPr>
              <w:t>开通进度反馈</w:t>
            </w:r>
          </w:p>
        </w:tc>
        <w:tc>
          <w:tcPr>
            <w:tcW w:w="4896" w:type="dxa"/>
            <w:tcBorders>
              <w:top w:val="nil"/>
              <w:left w:val="nil"/>
              <w:bottom w:val="single" w:color="auto" w:sz="4" w:space="0"/>
              <w:right w:val="single" w:color="auto" w:sz="4" w:space="0"/>
            </w:tcBorders>
            <w:noWrap w:val="0"/>
            <w:vAlign w:val="center"/>
          </w:tcPr>
          <w:p w14:paraId="73F6A909">
            <w:pPr>
              <w:widowControl/>
              <w:adjustRightInd w:val="0"/>
              <w:snapToGrid w:val="0"/>
              <w:jc w:val="left"/>
              <w:rPr>
                <w:rFonts w:ascii="宋体" w:hAnsi="宋体" w:cs="宋体"/>
                <w:kern w:val="0"/>
                <w:sz w:val="18"/>
                <w:szCs w:val="18"/>
              </w:rPr>
            </w:pPr>
            <w:r>
              <w:rPr>
                <w:rFonts w:hint="eastAsia" w:ascii="宋体" w:hAnsi="宋体" w:cs="宋体"/>
                <w:kern w:val="0"/>
                <w:sz w:val="18"/>
                <w:szCs w:val="18"/>
              </w:rPr>
              <w:t>3个工作日</w:t>
            </w:r>
          </w:p>
        </w:tc>
      </w:tr>
      <w:tr w14:paraId="26DAA9E5">
        <w:trPr>
          <w:trHeight w:val="409" w:hRule="atLeast"/>
          <w:jc w:val="center"/>
        </w:trPr>
        <w:tc>
          <w:tcPr>
            <w:tcW w:w="1158" w:type="dxa"/>
            <w:vMerge w:val="continue"/>
            <w:tcBorders>
              <w:top w:val="nil"/>
              <w:left w:val="single" w:color="auto" w:sz="4" w:space="0"/>
              <w:bottom w:val="single" w:color="auto" w:sz="4" w:space="0"/>
              <w:right w:val="single" w:color="auto" w:sz="4" w:space="0"/>
            </w:tcBorders>
            <w:noWrap w:val="0"/>
            <w:vAlign w:val="center"/>
          </w:tcPr>
          <w:p w14:paraId="73F7B91E">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3491598F">
            <w:pPr>
              <w:widowControl/>
              <w:adjustRightInd w:val="0"/>
              <w:snapToGrid w:val="0"/>
              <w:jc w:val="left"/>
              <w:rPr>
                <w:rFonts w:ascii="宋体" w:hAnsi="宋体" w:cs="宋体"/>
                <w:kern w:val="0"/>
                <w:sz w:val="18"/>
                <w:szCs w:val="18"/>
              </w:rPr>
            </w:pPr>
            <w:r>
              <w:rPr>
                <w:rFonts w:hint="eastAsia" w:ascii="宋体" w:hAnsi="宋体" w:cs="宋体"/>
                <w:kern w:val="0"/>
                <w:sz w:val="18"/>
                <w:szCs w:val="18"/>
              </w:rPr>
              <w:t>业务开通测试报告</w:t>
            </w:r>
          </w:p>
        </w:tc>
        <w:tc>
          <w:tcPr>
            <w:tcW w:w="4896" w:type="dxa"/>
            <w:tcBorders>
              <w:top w:val="nil"/>
              <w:left w:val="nil"/>
              <w:bottom w:val="single" w:color="auto" w:sz="4" w:space="0"/>
              <w:right w:val="single" w:color="auto" w:sz="4" w:space="0"/>
            </w:tcBorders>
            <w:noWrap w:val="0"/>
            <w:vAlign w:val="center"/>
          </w:tcPr>
          <w:p w14:paraId="4D05C64A">
            <w:pPr>
              <w:widowControl/>
              <w:adjustRightInd w:val="0"/>
              <w:snapToGrid w:val="0"/>
              <w:jc w:val="left"/>
              <w:rPr>
                <w:rFonts w:ascii="宋体" w:hAnsi="宋体" w:cs="宋体"/>
                <w:kern w:val="0"/>
                <w:sz w:val="18"/>
                <w:szCs w:val="18"/>
              </w:rPr>
            </w:pPr>
            <w:r>
              <w:rPr>
                <w:rFonts w:hint="eastAsia" w:ascii="宋体" w:hAnsi="宋体" w:cs="宋体"/>
                <w:kern w:val="0"/>
                <w:sz w:val="18"/>
                <w:szCs w:val="18"/>
              </w:rPr>
              <w:t>开通后2个工作日内提供</w:t>
            </w:r>
          </w:p>
        </w:tc>
      </w:tr>
      <w:tr w14:paraId="79477374">
        <w:trPr>
          <w:trHeight w:val="264" w:hRule="atLeast"/>
          <w:jc w:val="center"/>
        </w:trPr>
        <w:tc>
          <w:tcPr>
            <w:tcW w:w="1158" w:type="dxa"/>
            <w:vMerge w:val="continue"/>
            <w:tcBorders>
              <w:top w:val="nil"/>
              <w:left w:val="single" w:color="auto" w:sz="4" w:space="0"/>
              <w:bottom w:val="single" w:color="auto" w:sz="4" w:space="0"/>
              <w:right w:val="single" w:color="auto" w:sz="4" w:space="0"/>
            </w:tcBorders>
            <w:noWrap w:val="0"/>
            <w:vAlign w:val="center"/>
          </w:tcPr>
          <w:p w14:paraId="6EF46E09">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7259FC25">
            <w:pPr>
              <w:widowControl/>
              <w:adjustRightInd w:val="0"/>
              <w:snapToGrid w:val="0"/>
              <w:jc w:val="left"/>
              <w:rPr>
                <w:rFonts w:ascii="宋体" w:hAnsi="宋体" w:cs="宋体"/>
                <w:kern w:val="0"/>
                <w:sz w:val="18"/>
                <w:szCs w:val="18"/>
              </w:rPr>
            </w:pPr>
            <w:r>
              <w:rPr>
                <w:rFonts w:hint="eastAsia" w:ascii="宋体" w:hAnsi="宋体" w:cs="宋体"/>
                <w:kern w:val="0"/>
                <w:sz w:val="18"/>
                <w:szCs w:val="18"/>
              </w:rPr>
              <w:t>电路资料交付</w:t>
            </w:r>
          </w:p>
        </w:tc>
        <w:tc>
          <w:tcPr>
            <w:tcW w:w="4896" w:type="dxa"/>
            <w:tcBorders>
              <w:top w:val="nil"/>
              <w:left w:val="nil"/>
              <w:bottom w:val="single" w:color="auto" w:sz="4" w:space="0"/>
              <w:right w:val="single" w:color="auto" w:sz="4" w:space="0"/>
            </w:tcBorders>
            <w:noWrap w:val="0"/>
            <w:vAlign w:val="center"/>
          </w:tcPr>
          <w:p w14:paraId="7A3CAE2F">
            <w:pPr>
              <w:widowControl/>
              <w:adjustRightInd w:val="0"/>
              <w:snapToGrid w:val="0"/>
              <w:jc w:val="left"/>
              <w:rPr>
                <w:rFonts w:ascii="宋体" w:hAnsi="宋体" w:cs="宋体"/>
                <w:kern w:val="0"/>
                <w:sz w:val="18"/>
                <w:szCs w:val="18"/>
              </w:rPr>
            </w:pPr>
            <w:r>
              <w:rPr>
                <w:rFonts w:hint="eastAsia" w:ascii="宋体" w:hAnsi="宋体" w:cs="宋体"/>
                <w:kern w:val="0"/>
                <w:sz w:val="18"/>
                <w:szCs w:val="18"/>
              </w:rPr>
              <w:t>开通后2个工作日内提供</w:t>
            </w:r>
          </w:p>
        </w:tc>
      </w:tr>
      <w:tr w14:paraId="0B6F371B">
        <w:trPr>
          <w:trHeight w:val="348" w:hRule="atLeast"/>
          <w:jc w:val="center"/>
        </w:trPr>
        <w:tc>
          <w:tcPr>
            <w:tcW w:w="1158" w:type="dxa"/>
            <w:vMerge w:val="restart"/>
            <w:tcBorders>
              <w:top w:val="nil"/>
              <w:left w:val="single" w:color="auto" w:sz="4" w:space="0"/>
              <w:right w:val="single" w:color="auto" w:sz="4" w:space="0"/>
            </w:tcBorders>
            <w:noWrap w:val="0"/>
            <w:vAlign w:val="center"/>
          </w:tcPr>
          <w:p w14:paraId="3C275966">
            <w:pPr>
              <w:widowControl/>
              <w:adjustRightInd w:val="0"/>
              <w:snapToGrid w:val="0"/>
              <w:jc w:val="left"/>
              <w:rPr>
                <w:rFonts w:ascii="宋体" w:hAnsi="宋体" w:cs="宋体"/>
                <w:kern w:val="0"/>
                <w:sz w:val="18"/>
                <w:szCs w:val="18"/>
              </w:rPr>
            </w:pPr>
            <w:r>
              <w:rPr>
                <w:rFonts w:hint="eastAsia" w:ascii="宋体" w:hAnsi="宋体" w:cs="宋体"/>
                <w:kern w:val="0"/>
                <w:sz w:val="18"/>
                <w:szCs w:val="18"/>
              </w:rPr>
              <w:t>网络运行维护</w:t>
            </w:r>
          </w:p>
        </w:tc>
        <w:tc>
          <w:tcPr>
            <w:tcW w:w="2285" w:type="dxa"/>
            <w:vMerge w:val="restart"/>
            <w:tcBorders>
              <w:top w:val="single" w:color="auto" w:sz="4" w:space="0"/>
              <w:left w:val="single" w:color="auto" w:sz="4" w:space="0"/>
              <w:bottom w:val="single" w:color="auto" w:sz="4" w:space="0"/>
              <w:right w:val="single" w:color="auto" w:sz="4" w:space="0"/>
            </w:tcBorders>
            <w:noWrap w:val="0"/>
            <w:vAlign w:val="center"/>
          </w:tcPr>
          <w:p w14:paraId="074B3566">
            <w:pPr>
              <w:widowControl/>
              <w:adjustRightInd w:val="0"/>
              <w:snapToGrid w:val="0"/>
              <w:jc w:val="left"/>
              <w:rPr>
                <w:rFonts w:hint="eastAsia" w:ascii="宋体" w:hAnsi="宋体" w:cs="宋体"/>
                <w:kern w:val="0"/>
                <w:sz w:val="18"/>
                <w:szCs w:val="18"/>
              </w:rPr>
            </w:pPr>
            <w:r>
              <w:rPr>
                <w:rFonts w:hint="eastAsia" w:ascii="宋体" w:hAnsi="宋体" w:cs="宋体"/>
                <w:kern w:val="0"/>
                <w:sz w:val="18"/>
                <w:szCs w:val="18"/>
              </w:rPr>
              <w:t>网络可用率</w:t>
            </w:r>
          </w:p>
          <w:p w14:paraId="6C95927F">
            <w:pPr>
              <w:widowControl/>
              <w:adjustRightInd w:val="0"/>
              <w:snapToGrid w:val="0"/>
              <w:jc w:val="left"/>
              <w:rPr>
                <w:rFonts w:ascii="宋体" w:hAnsi="宋体" w:cs="宋体"/>
                <w:kern w:val="0"/>
                <w:sz w:val="18"/>
                <w:szCs w:val="18"/>
              </w:rPr>
            </w:pPr>
            <w:r>
              <w:rPr>
                <w:rFonts w:hint="eastAsia" w:ascii="宋体" w:hAnsi="宋体" w:cs="宋体"/>
                <w:kern w:val="0"/>
                <w:sz w:val="18"/>
                <w:szCs w:val="18"/>
              </w:rPr>
              <w:t>（网络可用时间/统计期内的总时间）</w:t>
            </w:r>
          </w:p>
        </w:tc>
        <w:tc>
          <w:tcPr>
            <w:tcW w:w="4896" w:type="dxa"/>
            <w:tcBorders>
              <w:top w:val="nil"/>
              <w:left w:val="nil"/>
              <w:bottom w:val="single" w:color="auto" w:sz="4" w:space="0"/>
              <w:right w:val="single" w:color="auto" w:sz="4" w:space="0"/>
            </w:tcBorders>
            <w:noWrap w:val="0"/>
            <w:vAlign w:val="center"/>
          </w:tcPr>
          <w:p w14:paraId="1A7CC6A4">
            <w:pPr>
              <w:spacing w:line="360" w:lineRule="auto"/>
              <w:rPr>
                <w:rFonts w:ascii="宋体" w:hAnsi="宋体" w:cs="宋体"/>
                <w:kern w:val="0"/>
                <w:sz w:val="18"/>
                <w:szCs w:val="18"/>
              </w:rPr>
            </w:pPr>
            <w:r>
              <w:rPr>
                <w:rFonts w:hint="eastAsia" w:ascii="宋体" w:hAnsi="宋体" w:cs="宋体"/>
                <w:kern w:val="0"/>
                <w:sz w:val="18"/>
                <w:szCs w:val="18"/>
              </w:rPr>
              <w:t>专线通道年中断时间累计不超过10分钟。</w:t>
            </w:r>
          </w:p>
        </w:tc>
      </w:tr>
      <w:tr w14:paraId="3D6091A6">
        <w:trPr>
          <w:trHeight w:val="348" w:hRule="atLeast"/>
          <w:jc w:val="center"/>
        </w:trPr>
        <w:tc>
          <w:tcPr>
            <w:tcW w:w="1158" w:type="dxa"/>
            <w:vMerge w:val="continue"/>
            <w:tcBorders>
              <w:top w:val="nil"/>
              <w:left w:val="single" w:color="auto" w:sz="4" w:space="0"/>
              <w:right w:val="single" w:color="auto" w:sz="4" w:space="0"/>
            </w:tcBorders>
            <w:noWrap w:val="0"/>
            <w:vAlign w:val="center"/>
          </w:tcPr>
          <w:p w14:paraId="794F6358">
            <w:pPr>
              <w:widowControl/>
              <w:adjustRightInd w:val="0"/>
              <w:snapToGrid w:val="0"/>
              <w:jc w:val="left"/>
              <w:rPr>
                <w:rFonts w:hint="eastAsia" w:ascii="宋体" w:hAnsi="宋体" w:cs="宋体"/>
                <w:kern w:val="0"/>
                <w:sz w:val="18"/>
                <w:szCs w:val="18"/>
              </w:rPr>
            </w:pPr>
          </w:p>
        </w:tc>
        <w:tc>
          <w:tcPr>
            <w:tcW w:w="2285" w:type="dxa"/>
            <w:vMerge w:val="continue"/>
            <w:tcBorders>
              <w:top w:val="single" w:color="auto" w:sz="4" w:space="0"/>
              <w:left w:val="single" w:color="auto" w:sz="4" w:space="0"/>
              <w:bottom w:val="single" w:color="auto" w:sz="4" w:space="0"/>
              <w:right w:val="single" w:color="auto" w:sz="4" w:space="0"/>
            </w:tcBorders>
            <w:noWrap w:val="0"/>
            <w:vAlign w:val="center"/>
          </w:tcPr>
          <w:p w14:paraId="4806F02C">
            <w:pPr>
              <w:widowControl/>
              <w:adjustRightInd w:val="0"/>
              <w:snapToGrid w:val="0"/>
              <w:jc w:val="left"/>
              <w:rPr>
                <w:rFonts w:hint="eastAsia" w:ascii="宋体" w:hAnsi="宋体" w:cs="宋体"/>
                <w:kern w:val="0"/>
                <w:sz w:val="18"/>
                <w:szCs w:val="18"/>
              </w:rPr>
            </w:pPr>
          </w:p>
        </w:tc>
        <w:tc>
          <w:tcPr>
            <w:tcW w:w="4896" w:type="dxa"/>
            <w:tcBorders>
              <w:top w:val="nil"/>
              <w:left w:val="nil"/>
              <w:bottom w:val="single" w:color="auto" w:sz="4" w:space="0"/>
              <w:right w:val="single" w:color="auto" w:sz="4" w:space="0"/>
            </w:tcBorders>
            <w:noWrap w:val="0"/>
            <w:vAlign w:val="center"/>
          </w:tcPr>
          <w:p w14:paraId="2FEE2A45">
            <w:pPr>
              <w:widowControl/>
              <w:adjustRightInd w:val="0"/>
              <w:snapToGrid w:val="0"/>
              <w:jc w:val="left"/>
              <w:rPr>
                <w:rFonts w:hint="eastAsia" w:ascii="宋体" w:hAnsi="宋体" w:cs="宋体"/>
                <w:kern w:val="0"/>
                <w:sz w:val="18"/>
                <w:szCs w:val="18"/>
              </w:rPr>
            </w:pPr>
            <w:r>
              <w:rPr>
                <w:rFonts w:hint="eastAsia" w:ascii="宋体" w:hAnsi="宋体" w:cs="宋体"/>
                <w:kern w:val="0"/>
                <w:sz w:val="18"/>
                <w:szCs w:val="18"/>
                <w:lang w:val="en-US" w:eastAsia="zh-CN"/>
              </w:rPr>
              <w:t>专线等重点保障业务</w:t>
            </w:r>
            <w:r>
              <w:rPr>
                <w:rFonts w:hint="eastAsia" w:ascii="宋体" w:hAnsi="宋体" w:cs="宋体"/>
                <w:kern w:val="0"/>
                <w:sz w:val="18"/>
                <w:szCs w:val="18"/>
              </w:rPr>
              <w:t>或专线通道99.9%</w:t>
            </w:r>
          </w:p>
        </w:tc>
      </w:tr>
      <w:tr w14:paraId="191CA844">
        <w:trPr>
          <w:trHeight w:val="264" w:hRule="atLeast"/>
          <w:jc w:val="center"/>
        </w:trPr>
        <w:tc>
          <w:tcPr>
            <w:tcW w:w="1158" w:type="dxa"/>
            <w:vMerge w:val="continue"/>
            <w:tcBorders>
              <w:left w:val="single" w:color="auto" w:sz="4" w:space="0"/>
              <w:right w:val="single" w:color="auto" w:sz="4" w:space="0"/>
            </w:tcBorders>
            <w:noWrap w:val="0"/>
            <w:vAlign w:val="center"/>
          </w:tcPr>
          <w:p w14:paraId="1BE8FF5F">
            <w:pPr>
              <w:widowControl/>
              <w:adjustRightInd w:val="0"/>
              <w:snapToGrid w:val="0"/>
              <w:jc w:val="left"/>
              <w:rPr>
                <w:rFonts w:ascii="宋体" w:hAnsi="宋体" w:cs="宋体"/>
                <w:kern w:val="0"/>
                <w:sz w:val="18"/>
                <w:szCs w:val="18"/>
              </w:rPr>
            </w:pPr>
          </w:p>
        </w:tc>
        <w:tc>
          <w:tcPr>
            <w:tcW w:w="2285" w:type="dxa"/>
            <w:tcBorders>
              <w:top w:val="single" w:color="auto" w:sz="4" w:space="0"/>
              <w:left w:val="single" w:color="auto" w:sz="4" w:space="0"/>
              <w:bottom w:val="single" w:color="auto" w:sz="4" w:space="0"/>
              <w:right w:val="single" w:color="auto" w:sz="4" w:space="0"/>
            </w:tcBorders>
            <w:noWrap w:val="0"/>
            <w:vAlign w:val="center"/>
          </w:tcPr>
          <w:p w14:paraId="6DBB7AF6">
            <w:pPr>
              <w:widowControl/>
              <w:adjustRightInd w:val="0"/>
              <w:snapToGrid w:val="0"/>
              <w:jc w:val="left"/>
              <w:rPr>
                <w:rFonts w:ascii="宋体" w:hAnsi="宋体" w:cs="宋体"/>
                <w:kern w:val="0"/>
                <w:sz w:val="18"/>
                <w:szCs w:val="18"/>
              </w:rPr>
            </w:pPr>
            <w:r>
              <w:rPr>
                <w:rFonts w:hint="eastAsia" w:ascii="宋体" w:hAnsi="宋体" w:cs="宋体"/>
                <w:kern w:val="0"/>
                <w:sz w:val="18"/>
                <w:szCs w:val="18"/>
              </w:rPr>
              <w:t>网络巡检</w:t>
            </w:r>
          </w:p>
        </w:tc>
        <w:tc>
          <w:tcPr>
            <w:tcW w:w="4896" w:type="dxa"/>
            <w:tcBorders>
              <w:top w:val="nil"/>
              <w:left w:val="nil"/>
              <w:bottom w:val="single" w:color="auto" w:sz="4" w:space="0"/>
              <w:right w:val="single" w:color="auto" w:sz="4" w:space="0"/>
            </w:tcBorders>
            <w:noWrap w:val="0"/>
            <w:vAlign w:val="center"/>
          </w:tcPr>
          <w:p w14:paraId="0D096B28">
            <w:pPr>
              <w:widowControl/>
              <w:adjustRightInd w:val="0"/>
              <w:snapToGrid w:val="0"/>
              <w:jc w:val="left"/>
              <w:rPr>
                <w:rFonts w:ascii="宋体" w:hAnsi="宋体" w:cs="宋体"/>
                <w:kern w:val="0"/>
                <w:sz w:val="18"/>
                <w:szCs w:val="18"/>
              </w:rPr>
            </w:pPr>
            <w:r>
              <w:rPr>
                <w:rFonts w:hint="eastAsia" w:ascii="宋体" w:hAnsi="宋体" w:cs="宋体"/>
                <w:kern w:val="0"/>
                <w:sz w:val="18"/>
                <w:szCs w:val="18"/>
              </w:rPr>
              <w:t>7×24小时</w:t>
            </w:r>
          </w:p>
        </w:tc>
      </w:tr>
      <w:tr w14:paraId="76B564D0">
        <w:trPr>
          <w:trHeight w:val="264" w:hRule="atLeast"/>
          <w:jc w:val="center"/>
        </w:trPr>
        <w:tc>
          <w:tcPr>
            <w:tcW w:w="1158" w:type="dxa"/>
            <w:vMerge w:val="continue"/>
            <w:tcBorders>
              <w:left w:val="single" w:color="auto" w:sz="4" w:space="0"/>
              <w:right w:val="single" w:color="auto" w:sz="4" w:space="0"/>
            </w:tcBorders>
            <w:noWrap w:val="0"/>
            <w:vAlign w:val="center"/>
          </w:tcPr>
          <w:p w14:paraId="7B1F8A37">
            <w:pPr>
              <w:widowControl/>
              <w:adjustRightInd w:val="0"/>
              <w:snapToGrid w:val="0"/>
              <w:jc w:val="left"/>
              <w:rPr>
                <w:rFonts w:ascii="宋体" w:hAnsi="宋体" w:cs="宋体"/>
                <w:kern w:val="0"/>
                <w:sz w:val="18"/>
                <w:szCs w:val="18"/>
              </w:rPr>
            </w:pPr>
          </w:p>
        </w:tc>
        <w:tc>
          <w:tcPr>
            <w:tcW w:w="2285" w:type="dxa"/>
            <w:tcBorders>
              <w:top w:val="single" w:color="auto" w:sz="4" w:space="0"/>
              <w:left w:val="nil"/>
              <w:bottom w:val="single" w:color="auto" w:sz="4" w:space="0"/>
              <w:right w:val="single" w:color="auto" w:sz="4" w:space="0"/>
            </w:tcBorders>
            <w:noWrap w:val="0"/>
            <w:vAlign w:val="center"/>
          </w:tcPr>
          <w:p w14:paraId="4B1F214F">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故障受理</w:t>
            </w:r>
          </w:p>
        </w:tc>
        <w:tc>
          <w:tcPr>
            <w:tcW w:w="4896" w:type="dxa"/>
            <w:tcBorders>
              <w:top w:val="nil"/>
              <w:left w:val="nil"/>
              <w:bottom w:val="single" w:color="auto" w:sz="4" w:space="0"/>
              <w:right w:val="single" w:color="auto" w:sz="4" w:space="0"/>
            </w:tcBorders>
            <w:noWrap w:val="0"/>
            <w:vAlign w:val="top"/>
          </w:tcPr>
          <w:p w14:paraId="64632F18">
            <w:pPr>
              <w:widowControl/>
              <w:adjustRightInd w:val="0"/>
              <w:snapToGrid w:val="0"/>
              <w:jc w:val="left"/>
              <w:rPr>
                <w:rFonts w:ascii="宋体" w:hAnsi="宋体" w:cs="宋体"/>
                <w:kern w:val="0"/>
                <w:sz w:val="18"/>
                <w:szCs w:val="18"/>
              </w:rPr>
            </w:pPr>
            <w:r>
              <w:rPr>
                <w:rFonts w:hint="eastAsia" w:ascii="宋体" w:hAnsi="宋体" w:cs="宋体"/>
                <w:kern w:val="0"/>
                <w:sz w:val="18"/>
                <w:szCs w:val="18"/>
              </w:rPr>
              <w:t>7×24小时</w:t>
            </w:r>
          </w:p>
        </w:tc>
      </w:tr>
      <w:tr w14:paraId="39B90852">
        <w:trPr>
          <w:trHeight w:val="264" w:hRule="atLeast"/>
          <w:jc w:val="center"/>
        </w:trPr>
        <w:tc>
          <w:tcPr>
            <w:tcW w:w="1158" w:type="dxa"/>
            <w:vMerge w:val="continue"/>
            <w:tcBorders>
              <w:left w:val="single" w:color="auto" w:sz="4" w:space="0"/>
              <w:right w:val="single" w:color="auto" w:sz="4" w:space="0"/>
            </w:tcBorders>
            <w:noWrap w:val="0"/>
            <w:vAlign w:val="center"/>
          </w:tcPr>
          <w:p w14:paraId="118C08AB">
            <w:pPr>
              <w:widowControl/>
              <w:adjustRightInd w:val="0"/>
              <w:snapToGrid w:val="0"/>
              <w:jc w:val="left"/>
              <w:rPr>
                <w:rFonts w:ascii="宋体" w:hAnsi="宋体" w:cs="宋体"/>
                <w:kern w:val="0"/>
                <w:sz w:val="18"/>
                <w:szCs w:val="18"/>
              </w:rPr>
            </w:pPr>
          </w:p>
        </w:tc>
        <w:tc>
          <w:tcPr>
            <w:tcW w:w="2285" w:type="dxa"/>
            <w:vMerge w:val="restart"/>
            <w:tcBorders>
              <w:top w:val="nil"/>
              <w:left w:val="single" w:color="auto" w:sz="4" w:space="0"/>
              <w:bottom w:val="single" w:color="auto" w:sz="4" w:space="0"/>
              <w:right w:val="single" w:color="auto" w:sz="4" w:space="0"/>
            </w:tcBorders>
            <w:noWrap w:val="0"/>
            <w:vAlign w:val="center"/>
          </w:tcPr>
          <w:p w14:paraId="2BF2460D">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故障受理方式</w:t>
            </w:r>
          </w:p>
        </w:tc>
        <w:tc>
          <w:tcPr>
            <w:tcW w:w="4896" w:type="dxa"/>
            <w:tcBorders>
              <w:top w:val="nil"/>
              <w:left w:val="nil"/>
              <w:bottom w:val="single" w:color="auto" w:sz="4" w:space="0"/>
              <w:right w:val="single" w:color="auto" w:sz="4" w:space="0"/>
            </w:tcBorders>
            <w:noWrap w:val="0"/>
            <w:vAlign w:val="top"/>
          </w:tcPr>
          <w:p w14:paraId="5826803F">
            <w:pPr>
              <w:widowControl/>
              <w:adjustRightInd w:val="0"/>
              <w:snapToGrid w:val="0"/>
              <w:jc w:val="left"/>
              <w:rPr>
                <w:rFonts w:ascii="宋体" w:hAnsi="宋体" w:cs="宋体"/>
                <w:kern w:val="0"/>
                <w:sz w:val="18"/>
                <w:szCs w:val="18"/>
              </w:rPr>
            </w:pPr>
            <w:r>
              <w:rPr>
                <w:rFonts w:hint="eastAsia" w:ascii="宋体" w:hAnsi="宋体" w:cs="宋体"/>
                <w:kern w:val="0"/>
                <w:sz w:val="18"/>
                <w:szCs w:val="18"/>
                <w:lang w:eastAsia="zh-CN"/>
              </w:rPr>
              <w:t>南网综能数字服务（广州）有限公司</w:t>
            </w:r>
            <w:r>
              <w:rPr>
                <w:rFonts w:hint="eastAsia" w:ascii="宋体" w:hAnsi="宋体" w:cs="宋体"/>
                <w:kern w:val="0"/>
                <w:sz w:val="18"/>
                <w:szCs w:val="18"/>
              </w:rPr>
              <w:t>经理负责工作协调</w:t>
            </w:r>
          </w:p>
        </w:tc>
      </w:tr>
      <w:tr w14:paraId="018564F3">
        <w:trPr>
          <w:trHeight w:val="264" w:hRule="atLeast"/>
          <w:jc w:val="center"/>
        </w:trPr>
        <w:tc>
          <w:tcPr>
            <w:tcW w:w="1158" w:type="dxa"/>
            <w:vMerge w:val="continue"/>
            <w:tcBorders>
              <w:left w:val="single" w:color="auto" w:sz="4" w:space="0"/>
              <w:right w:val="single" w:color="auto" w:sz="4" w:space="0"/>
            </w:tcBorders>
            <w:noWrap w:val="0"/>
            <w:vAlign w:val="center"/>
          </w:tcPr>
          <w:p w14:paraId="0C2DB6C7">
            <w:pPr>
              <w:widowControl/>
              <w:adjustRightInd w:val="0"/>
              <w:snapToGrid w:val="0"/>
              <w:jc w:val="left"/>
              <w:rPr>
                <w:rFonts w:ascii="宋体" w:hAnsi="宋体" w:cs="宋体"/>
                <w:kern w:val="0"/>
                <w:sz w:val="18"/>
                <w:szCs w:val="18"/>
              </w:rPr>
            </w:pPr>
          </w:p>
        </w:tc>
        <w:tc>
          <w:tcPr>
            <w:tcW w:w="2285" w:type="dxa"/>
            <w:vMerge w:val="continue"/>
            <w:tcBorders>
              <w:top w:val="nil"/>
              <w:left w:val="single" w:color="auto" w:sz="4" w:space="0"/>
              <w:bottom w:val="single" w:color="auto" w:sz="4" w:space="0"/>
              <w:right w:val="single" w:color="auto" w:sz="4" w:space="0"/>
            </w:tcBorders>
            <w:noWrap w:val="0"/>
            <w:vAlign w:val="center"/>
          </w:tcPr>
          <w:p w14:paraId="5039FEDA">
            <w:pPr>
              <w:widowControl/>
              <w:adjustRightInd w:val="0"/>
              <w:snapToGrid w:val="0"/>
              <w:jc w:val="left"/>
              <w:rPr>
                <w:rFonts w:ascii="宋体" w:hAnsi="宋体" w:cs="宋体"/>
                <w:kern w:val="0"/>
                <w:sz w:val="18"/>
                <w:szCs w:val="18"/>
              </w:rPr>
            </w:pPr>
          </w:p>
        </w:tc>
        <w:tc>
          <w:tcPr>
            <w:tcW w:w="4896" w:type="dxa"/>
            <w:tcBorders>
              <w:top w:val="nil"/>
              <w:left w:val="nil"/>
              <w:bottom w:val="single" w:color="auto" w:sz="4" w:space="0"/>
              <w:right w:val="single" w:color="auto" w:sz="4" w:space="0"/>
            </w:tcBorders>
            <w:noWrap w:val="0"/>
            <w:vAlign w:val="top"/>
          </w:tcPr>
          <w:p w14:paraId="7C32FD70">
            <w:pPr>
              <w:widowControl/>
              <w:adjustRightInd w:val="0"/>
              <w:snapToGrid w:val="0"/>
              <w:jc w:val="left"/>
              <w:rPr>
                <w:rFonts w:ascii="宋体" w:hAnsi="宋体" w:cs="宋体"/>
                <w:kern w:val="0"/>
                <w:sz w:val="18"/>
                <w:szCs w:val="18"/>
              </w:rPr>
            </w:pPr>
            <w:r>
              <w:rPr>
                <w:rFonts w:hint="eastAsia" w:ascii="宋体" w:hAnsi="宋体" w:cs="宋体"/>
                <w:kern w:val="0"/>
                <w:sz w:val="18"/>
                <w:szCs w:val="18"/>
              </w:rPr>
              <w:t>专人专岗进行故障处理</w:t>
            </w:r>
          </w:p>
        </w:tc>
      </w:tr>
      <w:tr w14:paraId="5B753FA5">
        <w:trPr>
          <w:trHeight w:val="264" w:hRule="atLeast"/>
          <w:jc w:val="center"/>
        </w:trPr>
        <w:tc>
          <w:tcPr>
            <w:tcW w:w="1158" w:type="dxa"/>
            <w:vMerge w:val="continue"/>
            <w:tcBorders>
              <w:left w:val="single" w:color="auto" w:sz="4" w:space="0"/>
              <w:right w:val="single" w:color="auto" w:sz="4" w:space="0"/>
            </w:tcBorders>
            <w:noWrap w:val="0"/>
            <w:vAlign w:val="center"/>
          </w:tcPr>
          <w:p w14:paraId="1FEC378D">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1E189F1F">
            <w:pPr>
              <w:widowControl/>
              <w:adjustRightInd w:val="0"/>
              <w:snapToGrid w:val="0"/>
              <w:jc w:val="left"/>
              <w:rPr>
                <w:rFonts w:ascii="宋体" w:hAnsi="宋体" w:cs="宋体"/>
                <w:kern w:val="0"/>
                <w:sz w:val="18"/>
                <w:szCs w:val="18"/>
              </w:rPr>
            </w:pPr>
            <w:r>
              <w:rPr>
                <w:rFonts w:hint="eastAsia" w:ascii="宋体" w:hAnsi="宋体" w:cs="宋体"/>
                <w:kern w:val="0"/>
                <w:sz w:val="18"/>
                <w:szCs w:val="18"/>
              </w:rPr>
              <w:t>业务恢复时间</w:t>
            </w:r>
          </w:p>
        </w:tc>
        <w:tc>
          <w:tcPr>
            <w:tcW w:w="4896" w:type="dxa"/>
            <w:tcBorders>
              <w:top w:val="nil"/>
              <w:left w:val="nil"/>
              <w:bottom w:val="single" w:color="auto" w:sz="4" w:space="0"/>
              <w:right w:val="single" w:color="auto" w:sz="4" w:space="0"/>
            </w:tcBorders>
            <w:noWrap w:val="0"/>
            <w:vAlign w:val="center"/>
          </w:tcPr>
          <w:p w14:paraId="0851D61D">
            <w:pPr>
              <w:widowControl/>
              <w:adjustRightInd w:val="0"/>
              <w:snapToGrid w:val="0"/>
              <w:jc w:val="left"/>
              <w:rPr>
                <w:rFonts w:ascii="宋体" w:hAnsi="宋体" w:cs="宋体"/>
                <w:kern w:val="0"/>
                <w:sz w:val="18"/>
                <w:szCs w:val="18"/>
              </w:rPr>
            </w:pPr>
            <w:r>
              <w:rPr>
                <w:rFonts w:hint="eastAsia" w:ascii="宋体" w:hAnsi="宋体" w:cs="宋体"/>
                <w:kern w:val="0"/>
                <w:sz w:val="18"/>
                <w:szCs w:val="18"/>
              </w:rPr>
              <w:t>接到</w:t>
            </w:r>
            <w:r>
              <w:rPr>
                <w:rFonts w:hint="eastAsia" w:ascii="宋体" w:hAnsi="宋体" w:cs="宋体"/>
                <w:kern w:val="0"/>
                <w:sz w:val="18"/>
                <w:szCs w:val="18"/>
                <w:lang w:eastAsia="zh-CN"/>
              </w:rPr>
              <w:t>南网综能数字服务（广州）有限公司</w:t>
            </w:r>
            <w:r>
              <w:rPr>
                <w:rFonts w:hint="eastAsia" w:ascii="宋体" w:hAnsi="宋体" w:cs="宋体"/>
                <w:kern w:val="0"/>
                <w:sz w:val="18"/>
                <w:szCs w:val="18"/>
              </w:rPr>
              <w:t>故障申告,到业务恢复的时间≤2小时</w:t>
            </w:r>
          </w:p>
        </w:tc>
      </w:tr>
      <w:tr w14:paraId="4D6D7A0B">
        <w:trPr>
          <w:trHeight w:val="267" w:hRule="atLeast"/>
          <w:jc w:val="center"/>
        </w:trPr>
        <w:tc>
          <w:tcPr>
            <w:tcW w:w="1158" w:type="dxa"/>
            <w:vMerge w:val="continue"/>
            <w:tcBorders>
              <w:left w:val="single" w:color="auto" w:sz="4" w:space="0"/>
              <w:right w:val="single" w:color="auto" w:sz="4" w:space="0"/>
            </w:tcBorders>
            <w:noWrap w:val="0"/>
            <w:vAlign w:val="center"/>
          </w:tcPr>
          <w:p w14:paraId="7E622F85">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457F6356">
            <w:pPr>
              <w:widowControl/>
              <w:adjustRightInd w:val="0"/>
              <w:snapToGrid w:val="0"/>
              <w:jc w:val="left"/>
              <w:rPr>
                <w:rFonts w:ascii="宋体" w:hAnsi="宋体" w:cs="宋体"/>
                <w:kern w:val="0"/>
                <w:sz w:val="18"/>
                <w:szCs w:val="18"/>
              </w:rPr>
            </w:pPr>
            <w:r>
              <w:rPr>
                <w:rFonts w:hint="eastAsia" w:ascii="宋体" w:hAnsi="宋体" w:cs="宋体"/>
                <w:kern w:val="0"/>
                <w:sz w:val="18"/>
                <w:szCs w:val="18"/>
              </w:rPr>
              <w:t>响应时间</w:t>
            </w:r>
          </w:p>
        </w:tc>
        <w:tc>
          <w:tcPr>
            <w:tcW w:w="4896" w:type="dxa"/>
            <w:tcBorders>
              <w:top w:val="nil"/>
              <w:left w:val="nil"/>
              <w:bottom w:val="single" w:color="auto" w:sz="4" w:space="0"/>
              <w:right w:val="single" w:color="auto" w:sz="4" w:space="0"/>
            </w:tcBorders>
            <w:noWrap w:val="0"/>
            <w:vAlign w:val="top"/>
          </w:tcPr>
          <w:p w14:paraId="79488ECF">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故障申告受理后，首次对</w:t>
            </w:r>
            <w:r>
              <w:rPr>
                <w:rFonts w:hint="eastAsia" w:ascii="宋体" w:hAnsi="宋体" w:cs="宋体"/>
                <w:kern w:val="0"/>
                <w:sz w:val="18"/>
                <w:szCs w:val="18"/>
                <w:lang w:eastAsia="zh-CN"/>
              </w:rPr>
              <w:t>南网综能数字服务（广州）有限公司</w:t>
            </w:r>
            <w:r>
              <w:rPr>
                <w:rFonts w:hint="eastAsia" w:ascii="宋体" w:hAnsi="宋体" w:cs="宋体"/>
                <w:kern w:val="0"/>
                <w:sz w:val="18"/>
                <w:szCs w:val="18"/>
              </w:rPr>
              <w:t>反馈的时间15分钟</w:t>
            </w:r>
          </w:p>
        </w:tc>
      </w:tr>
      <w:tr w14:paraId="3D97B66C">
        <w:trPr>
          <w:trHeight w:val="264" w:hRule="atLeast"/>
          <w:jc w:val="center"/>
        </w:trPr>
        <w:tc>
          <w:tcPr>
            <w:tcW w:w="1158" w:type="dxa"/>
            <w:vMerge w:val="continue"/>
            <w:tcBorders>
              <w:left w:val="single" w:color="auto" w:sz="4" w:space="0"/>
              <w:right w:val="single" w:color="auto" w:sz="4" w:space="0"/>
            </w:tcBorders>
            <w:noWrap w:val="0"/>
            <w:vAlign w:val="center"/>
          </w:tcPr>
          <w:p w14:paraId="02A7AA3E">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73B03045">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故障处理反馈</w:t>
            </w:r>
          </w:p>
        </w:tc>
        <w:tc>
          <w:tcPr>
            <w:tcW w:w="4896" w:type="dxa"/>
            <w:tcBorders>
              <w:top w:val="nil"/>
              <w:left w:val="nil"/>
              <w:bottom w:val="single" w:color="auto" w:sz="4" w:space="0"/>
              <w:right w:val="single" w:color="auto" w:sz="4" w:space="0"/>
            </w:tcBorders>
            <w:noWrap w:val="0"/>
            <w:vAlign w:val="center"/>
          </w:tcPr>
          <w:p w14:paraId="563E65C0">
            <w:pPr>
              <w:widowControl/>
              <w:adjustRightInd w:val="0"/>
              <w:snapToGrid w:val="0"/>
              <w:jc w:val="left"/>
              <w:rPr>
                <w:rFonts w:ascii="宋体" w:hAnsi="宋体" w:cs="宋体"/>
                <w:kern w:val="0"/>
                <w:sz w:val="18"/>
                <w:szCs w:val="18"/>
              </w:rPr>
            </w:pPr>
            <w:r>
              <w:rPr>
                <w:rFonts w:hint="eastAsia" w:ascii="宋体" w:hAnsi="宋体" w:cs="宋体"/>
                <w:kern w:val="0"/>
                <w:sz w:val="18"/>
                <w:szCs w:val="18"/>
              </w:rPr>
              <w:t>每1小时反馈</w:t>
            </w:r>
          </w:p>
        </w:tc>
      </w:tr>
      <w:tr w14:paraId="40D3B848">
        <w:trPr>
          <w:trHeight w:val="282" w:hRule="atLeast"/>
          <w:jc w:val="center"/>
        </w:trPr>
        <w:tc>
          <w:tcPr>
            <w:tcW w:w="1158" w:type="dxa"/>
            <w:vMerge w:val="continue"/>
            <w:tcBorders>
              <w:left w:val="single" w:color="auto" w:sz="4" w:space="0"/>
              <w:right w:val="single" w:color="auto" w:sz="4" w:space="0"/>
            </w:tcBorders>
            <w:noWrap w:val="0"/>
            <w:vAlign w:val="center"/>
          </w:tcPr>
          <w:p w14:paraId="4C74594A">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6658FE5F">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故障升级</w:t>
            </w:r>
          </w:p>
        </w:tc>
        <w:tc>
          <w:tcPr>
            <w:tcW w:w="4896" w:type="dxa"/>
            <w:tcBorders>
              <w:top w:val="nil"/>
              <w:left w:val="nil"/>
              <w:bottom w:val="single" w:color="auto" w:sz="4" w:space="0"/>
              <w:right w:val="single" w:color="auto" w:sz="4" w:space="0"/>
            </w:tcBorders>
            <w:noWrap w:val="0"/>
            <w:vAlign w:val="top"/>
          </w:tcPr>
          <w:p w14:paraId="56FECD17">
            <w:pPr>
              <w:widowControl/>
              <w:adjustRightInd w:val="0"/>
              <w:snapToGrid w:val="0"/>
              <w:jc w:val="left"/>
              <w:rPr>
                <w:rFonts w:ascii="宋体" w:hAnsi="宋体" w:cs="宋体"/>
                <w:kern w:val="0"/>
                <w:sz w:val="18"/>
                <w:szCs w:val="18"/>
              </w:rPr>
            </w:pPr>
            <w:r>
              <w:rPr>
                <w:rFonts w:hint="eastAsia" w:ascii="宋体" w:hAnsi="宋体" w:cs="宋体"/>
                <w:kern w:val="0"/>
                <w:sz w:val="18"/>
                <w:szCs w:val="18"/>
              </w:rPr>
              <w:t>提供处理故障升级机制</w:t>
            </w:r>
          </w:p>
        </w:tc>
      </w:tr>
      <w:tr w14:paraId="34C6922C">
        <w:trPr>
          <w:trHeight w:val="344" w:hRule="atLeast"/>
          <w:jc w:val="center"/>
        </w:trPr>
        <w:tc>
          <w:tcPr>
            <w:tcW w:w="1158" w:type="dxa"/>
            <w:vMerge w:val="continue"/>
            <w:tcBorders>
              <w:left w:val="single" w:color="auto" w:sz="4" w:space="0"/>
              <w:right w:val="single" w:color="auto" w:sz="4" w:space="0"/>
            </w:tcBorders>
            <w:noWrap w:val="0"/>
            <w:vAlign w:val="center"/>
          </w:tcPr>
          <w:p w14:paraId="0F33EC4D">
            <w:pPr>
              <w:widowControl/>
              <w:adjustRightInd w:val="0"/>
              <w:snapToGrid w:val="0"/>
              <w:jc w:val="left"/>
              <w:rPr>
                <w:rFonts w:ascii="宋体" w:hAnsi="宋体" w:cs="宋体"/>
                <w:kern w:val="0"/>
                <w:sz w:val="18"/>
                <w:szCs w:val="18"/>
              </w:rPr>
            </w:pPr>
          </w:p>
        </w:tc>
        <w:tc>
          <w:tcPr>
            <w:tcW w:w="2285" w:type="dxa"/>
            <w:vMerge w:val="restart"/>
            <w:tcBorders>
              <w:top w:val="nil"/>
              <w:left w:val="single" w:color="auto" w:sz="4" w:space="0"/>
              <w:bottom w:val="single" w:color="auto" w:sz="4" w:space="0"/>
              <w:right w:val="single" w:color="auto" w:sz="4" w:space="0"/>
            </w:tcBorders>
            <w:noWrap w:val="0"/>
            <w:vAlign w:val="center"/>
          </w:tcPr>
          <w:p w14:paraId="2BF913CC">
            <w:pPr>
              <w:widowControl/>
              <w:adjustRightInd w:val="0"/>
              <w:snapToGrid w:val="0"/>
              <w:jc w:val="left"/>
              <w:rPr>
                <w:rFonts w:ascii="宋体" w:hAnsi="宋体" w:cs="宋体"/>
                <w:kern w:val="0"/>
                <w:sz w:val="18"/>
                <w:szCs w:val="18"/>
              </w:rPr>
            </w:pPr>
            <w:r>
              <w:rPr>
                <w:rFonts w:hint="eastAsia" w:ascii="宋体" w:hAnsi="宋体" w:cs="宋体"/>
                <w:kern w:val="0"/>
                <w:sz w:val="18"/>
                <w:szCs w:val="18"/>
              </w:rPr>
              <w:t>故障处理报告</w:t>
            </w:r>
          </w:p>
        </w:tc>
        <w:tc>
          <w:tcPr>
            <w:tcW w:w="4896" w:type="dxa"/>
            <w:tcBorders>
              <w:top w:val="nil"/>
              <w:left w:val="nil"/>
              <w:bottom w:val="single" w:color="auto" w:sz="4" w:space="0"/>
              <w:right w:val="single" w:color="auto" w:sz="4" w:space="0"/>
            </w:tcBorders>
            <w:noWrap w:val="0"/>
            <w:vAlign w:val="top"/>
          </w:tcPr>
          <w:p w14:paraId="3B8DA6A9">
            <w:pPr>
              <w:widowControl/>
              <w:adjustRightInd w:val="0"/>
              <w:snapToGrid w:val="0"/>
              <w:jc w:val="left"/>
              <w:rPr>
                <w:rFonts w:ascii="宋体" w:hAnsi="宋体" w:cs="宋体"/>
                <w:kern w:val="0"/>
                <w:sz w:val="18"/>
                <w:szCs w:val="18"/>
              </w:rPr>
            </w:pPr>
            <w:r>
              <w:rPr>
                <w:rFonts w:hint="eastAsia" w:ascii="宋体" w:hAnsi="宋体" w:cs="宋体"/>
                <w:kern w:val="0"/>
                <w:sz w:val="18"/>
                <w:szCs w:val="18"/>
              </w:rPr>
              <w:t>重大故障和超时故障在故障处理完成后1个工作日内提供</w:t>
            </w:r>
          </w:p>
        </w:tc>
      </w:tr>
      <w:tr w14:paraId="1D58E156">
        <w:trPr>
          <w:trHeight w:val="285" w:hRule="atLeast"/>
          <w:jc w:val="center"/>
        </w:trPr>
        <w:tc>
          <w:tcPr>
            <w:tcW w:w="1158" w:type="dxa"/>
            <w:vMerge w:val="continue"/>
            <w:tcBorders>
              <w:left w:val="single" w:color="auto" w:sz="4" w:space="0"/>
              <w:right w:val="single" w:color="auto" w:sz="4" w:space="0"/>
            </w:tcBorders>
            <w:noWrap w:val="0"/>
            <w:vAlign w:val="center"/>
          </w:tcPr>
          <w:p w14:paraId="47483810">
            <w:pPr>
              <w:widowControl/>
              <w:adjustRightInd w:val="0"/>
              <w:snapToGrid w:val="0"/>
              <w:jc w:val="left"/>
              <w:rPr>
                <w:rFonts w:ascii="宋体" w:hAnsi="宋体" w:cs="宋体"/>
                <w:kern w:val="0"/>
                <w:sz w:val="18"/>
                <w:szCs w:val="18"/>
              </w:rPr>
            </w:pPr>
          </w:p>
        </w:tc>
        <w:tc>
          <w:tcPr>
            <w:tcW w:w="2285" w:type="dxa"/>
            <w:vMerge w:val="continue"/>
            <w:tcBorders>
              <w:top w:val="nil"/>
              <w:left w:val="single" w:color="auto" w:sz="4" w:space="0"/>
              <w:bottom w:val="single" w:color="auto" w:sz="4" w:space="0"/>
              <w:right w:val="single" w:color="auto" w:sz="4" w:space="0"/>
            </w:tcBorders>
            <w:noWrap w:val="0"/>
            <w:vAlign w:val="center"/>
          </w:tcPr>
          <w:p w14:paraId="507E986F">
            <w:pPr>
              <w:widowControl/>
              <w:adjustRightInd w:val="0"/>
              <w:snapToGrid w:val="0"/>
              <w:jc w:val="left"/>
              <w:rPr>
                <w:rFonts w:ascii="宋体" w:hAnsi="宋体" w:cs="宋体"/>
                <w:kern w:val="0"/>
                <w:sz w:val="18"/>
                <w:szCs w:val="18"/>
              </w:rPr>
            </w:pPr>
          </w:p>
        </w:tc>
        <w:tc>
          <w:tcPr>
            <w:tcW w:w="4896" w:type="dxa"/>
            <w:tcBorders>
              <w:top w:val="nil"/>
              <w:left w:val="nil"/>
              <w:bottom w:val="single" w:color="auto" w:sz="4" w:space="0"/>
              <w:right w:val="single" w:color="auto" w:sz="4" w:space="0"/>
            </w:tcBorders>
            <w:noWrap w:val="0"/>
            <w:vAlign w:val="top"/>
          </w:tcPr>
          <w:p w14:paraId="7FC369F9">
            <w:pPr>
              <w:widowControl/>
              <w:adjustRightInd w:val="0"/>
              <w:snapToGrid w:val="0"/>
              <w:jc w:val="left"/>
              <w:rPr>
                <w:rFonts w:ascii="宋体" w:hAnsi="宋体" w:cs="宋体"/>
                <w:kern w:val="0"/>
                <w:sz w:val="18"/>
                <w:szCs w:val="18"/>
              </w:rPr>
            </w:pPr>
            <w:r>
              <w:rPr>
                <w:rFonts w:hint="eastAsia" w:ascii="宋体" w:hAnsi="宋体" w:cs="宋体"/>
                <w:kern w:val="0"/>
                <w:sz w:val="18"/>
                <w:szCs w:val="18"/>
              </w:rPr>
              <w:t>其它故障在故障处理完成后3个工作日内提供</w:t>
            </w:r>
          </w:p>
        </w:tc>
      </w:tr>
      <w:tr w14:paraId="20FFD409">
        <w:trPr>
          <w:trHeight w:val="303" w:hRule="atLeast"/>
          <w:jc w:val="center"/>
        </w:trPr>
        <w:tc>
          <w:tcPr>
            <w:tcW w:w="1158" w:type="dxa"/>
            <w:vMerge w:val="continue"/>
            <w:tcBorders>
              <w:left w:val="single" w:color="auto" w:sz="4" w:space="0"/>
              <w:bottom w:val="single" w:color="auto" w:sz="4" w:space="0"/>
              <w:right w:val="single" w:color="auto" w:sz="4" w:space="0"/>
            </w:tcBorders>
            <w:noWrap w:val="0"/>
            <w:vAlign w:val="center"/>
          </w:tcPr>
          <w:p w14:paraId="7B4D9495">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2264C33D">
            <w:pPr>
              <w:widowControl/>
              <w:adjustRightInd w:val="0"/>
              <w:snapToGrid w:val="0"/>
              <w:jc w:val="left"/>
              <w:rPr>
                <w:rFonts w:ascii="宋体" w:hAnsi="宋体" w:cs="宋体"/>
                <w:kern w:val="0"/>
                <w:sz w:val="18"/>
                <w:szCs w:val="18"/>
              </w:rPr>
            </w:pPr>
            <w:r>
              <w:rPr>
                <w:rFonts w:hint="eastAsia" w:ascii="宋体" w:hAnsi="宋体" w:cs="宋体"/>
                <w:kern w:val="0"/>
                <w:sz w:val="18"/>
                <w:szCs w:val="18"/>
              </w:rPr>
              <w:t>网络割接</w:t>
            </w:r>
          </w:p>
        </w:tc>
        <w:tc>
          <w:tcPr>
            <w:tcW w:w="4896" w:type="dxa"/>
            <w:tcBorders>
              <w:top w:val="nil"/>
              <w:left w:val="nil"/>
              <w:bottom w:val="single" w:color="auto" w:sz="4" w:space="0"/>
              <w:right w:val="single" w:color="auto" w:sz="4" w:space="0"/>
            </w:tcBorders>
            <w:noWrap w:val="0"/>
            <w:vAlign w:val="top"/>
          </w:tcPr>
          <w:p w14:paraId="2D9314B1">
            <w:pPr>
              <w:widowControl/>
              <w:adjustRightInd w:val="0"/>
              <w:snapToGrid w:val="0"/>
              <w:jc w:val="left"/>
              <w:rPr>
                <w:rFonts w:ascii="宋体" w:hAnsi="宋体" w:cs="宋体"/>
                <w:kern w:val="0"/>
                <w:sz w:val="18"/>
                <w:szCs w:val="18"/>
              </w:rPr>
            </w:pPr>
            <w:r>
              <w:rPr>
                <w:rFonts w:hint="eastAsia" w:ascii="宋体" w:hAnsi="宋体" w:cs="宋体"/>
                <w:kern w:val="0"/>
                <w:sz w:val="18"/>
                <w:szCs w:val="18"/>
              </w:rPr>
              <w:t>提前72小时电话、邮件通知业务部门</w:t>
            </w:r>
          </w:p>
        </w:tc>
      </w:tr>
      <w:tr w14:paraId="46973AF5">
        <w:trPr>
          <w:trHeight w:val="264" w:hRule="atLeast"/>
          <w:jc w:val="center"/>
        </w:trPr>
        <w:tc>
          <w:tcPr>
            <w:tcW w:w="1158" w:type="dxa"/>
            <w:vMerge w:val="restart"/>
            <w:tcBorders>
              <w:top w:val="nil"/>
              <w:left w:val="single" w:color="auto" w:sz="4" w:space="0"/>
              <w:bottom w:val="single" w:color="auto" w:sz="4" w:space="0"/>
              <w:right w:val="single" w:color="auto" w:sz="4" w:space="0"/>
            </w:tcBorders>
            <w:noWrap w:val="0"/>
            <w:vAlign w:val="center"/>
          </w:tcPr>
          <w:p w14:paraId="49577B27">
            <w:pPr>
              <w:widowControl/>
              <w:adjustRightInd w:val="0"/>
              <w:snapToGrid w:val="0"/>
              <w:jc w:val="left"/>
              <w:rPr>
                <w:rFonts w:hint="eastAsia" w:ascii="宋体" w:hAnsi="宋体" w:cs="宋体"/>
                <w:kern w:val="0"/>
                <w:sz w:val="18"/>
                <w:szCs w:val="18"/>
              </w:rPr>
            </w:pPr>
            <w:r>
              <w:rPr>
                <w:rFonts w:hint="eastAsia" w:ascii="宋体" w:hAnsi="宋体" w:cs="宋体"/>
                <w:kern w:val="0"/>
                <w:sz w:val="18"/>
                <w:szCs w:val="18"/>
              </w:rPr>
              <w:t>售后附加</w:t>
            </w:r>
          </w:p>
          <w:p w14:paraId="0C64E10C">
            <w:pPr>
              <w:widowControl/>
              <w:adjustRightInd w:val="0"/>
              <w:snapToGrid w:val="0"/>
              <w:jc w:val="left"/>
              <w:rPr>
                <w:rFonts w:ascii="宋体" w:hAnsi="宋体" w:cs="宋体"/>
                <w:kern w:val="0"/>
                <w:sz w:val="18"/>
                <w:szCs w:val="18"/>
              </w:rPr>
            </w:pPr>
            <w:r>
              <w:rPr>
                <w:rFonts w:hint="eastAsia" w:ascii="宋体" w:hAnsi="宋体" w:cs="宋体"/>
                <w:kern w:val="0"/>
                <w:sz w:val="18"/>
                <w:szCs w:val="18"/>
              </w:rPr>
              <w:t>服务</w:t>
            </w:r>
          </w:p>
        </w:tc>
        <w:tc>
          <w:tcPr>
            <w:tcW w:w="2285" w:type="dxa"/>
            <w:tcBorders>
              <w:top w:val="nil"/>
              <w:left w:val="nil"/>
              <w:bottom w:val="single" w:color="auto" w:sz="4" w:space="0"/>
              <w:right w:val="single" w:color="auto" w:sz="4" w:space="0"/>
            </w:tcBorders>
            <w:noWrap w:val="0"/>
            <w:vAlign w:val="center"/>
          </w:tcPr>
          <w:p w14:paraId="33DAEC5B">
            <w:pPr>
              <w:widowControl/>
              <w:adjustRightInd w:val="0"/>
              <w:snapToGrid w:val="0"/>
              <w:jc w:val="left"/>
              <w:rPr>
                <w:rFonts w:ascii="宋体" w:hAnsi="宋体" w:cs="宋体"/>
                <w:kern w:val="0"/>
                <w:sz w:val="18"/>
                <w:szCs w:val="18"/>
              </w:rPr>
            </w:pPr>
            <w:r>
              <w:rPr>
                <w:rFonts w:hint="eastAsia" w:ascii="宋体" w:hAnsi="宋体" w:cs="宋体"/>
                <w:kern w:val="0"/>
                <w:sz w:val="18"/>
                <w:szCs w:val="18"/>
              </w:rPr>
              <w:t>专人专岗维护</w:t>
            </w:r>
          </w:p>
        </w:tc>
        <w:tc>
          <w:tcPr>
            <w:tcW w:w="4896" w:type="dxa"/>
            <w:tcBorders>
              <w:top w:val="nil"/>
              <w:left w:val="nil"/>
              <w:bottom w:val="single" w:color="auto" w:sz="4" w:space="0"/>
              <w:right w:val="single" w:color="auto" w:sz="4" w:space="0"/>
            </w:tcBorders>
            <w:noWrap w:val="0"/>
            <w:vAlign w:val="center"/>
          </w:tcPr>
          <w:p w14:paraId="38E12A85">
            <w:pPr>
              <w:widowControl/>
              <w:adjustRightInd w:val="0"/>
              <w:snapToGrid w:val="0"/>
              <w:jc w:val="left"/>
              <w:rPr>
                <w:rFonts w:ascii="宋体" w:hAnsi="宋体" w:cs="宋体"/>
                <w:kern w:val="0"/>
                <w:sz w:val="18"/>
                <w:szCs w:val="18"/>
              </w:rPr>
            </w:pPr>
            <w:r>
              <w:rPr>
                <w:rFonts w:hint="eastAsia" w:ascii="宋体" w:hAnsi="宋体" w:cs="宋体"/>
                <w:kern w:val="0"/>
                <w:sz w:val="18"/>
                <w:szCs w:val="18"/>
              </w:rPr>
              <w:t>配备专人专岗维护</w:t>
            </w:r>
          </w:p>
        </w:tc>
      </w:tr>
      <w:tr w14:paraId="5BC983E6">
        <w:trPr>
          <w:trHeight w:val="283" w:hRule="atLeast"/>
          <w:jc w:val="center"/>
        </w:trPr>
        <w:tc>
          <w:tcPr>
            <w:tcW w:w="1158" w:type="dxa"/>
            <w:vMerge w:val="continue"/>
            <w:tcBorders>
              <w:top w:val="nil"/>
              <w:left w:val="single" w:color="auto" w:sz="4" w:space="0"/>
              <w:bottom w:val="single" w:color="auto" w:sz="4" w:space="0"/>
              <w:right w:val="single" w:color="auto" w:sz="4" w:space="0"/>
            </w:tcBorders>
            <w:noWrap w:val="0"/>
            <w:vAlign w:val="center"/>
          </w:tcPr>
          <w:p w14:paraId="250B103F">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352F1C49">
            <w:pPr>
              <w:widowControl/>
              <w:adjustRightInd w:val="0"/>
              <w:snapToGrid w:val="0"/>
              <w:jc w:val="left"/>
              <w:rPr>
                <w:rFonts w:ascii="宋体" w:hAnsi="宋体" w:cs="宋体"/>
                <w:kern w:val="0"/>
                <w:sz w:val="18"/>
                <w:szCs w:val="18"/>
              </w:rPr>
            </w:pPr>
            <w:r>
              <w:rPr>
                <w:rFonts w:hint="eastAsia" w:ascii="宋体" w:hAnsi="宋体" w:cs="宋体"/>
                <w:kern w:val="0"/>
                <w:sz w:val="18"/>
                <w:szCs w:val="18"/>
                <w:lang w:eastAsia="zh-CN"/>
              </w:rPr>
              <w:t>南网综能数字服务（广州）有限公司</w:t>
            </w:r>
            <w:r>
              <w:rPr>
                <w:rFonts w:hint="eastAsia" w:ascii="宋体" w:hAnsi="宋体" w:cs="宋体"/>
                <w:kern w:val="0"/>
                <w:sz w:val="18"/>
                <w:szCs w:val="18"/>
              </w:rPr>
              <w:t>业务测试</w:t>
            </w:r>
          </w:p>
        </w:tc>
        <w:tc>
          <w:tcPr>
            <w:tcW w:w="4896" w:type="dxa"/>
            <w:tcBorders>
              <w:top w:val="nil"/>
              <w:left w:val="nil"/>
              <w:bottom w:val="single" w:color="auto" w:sz="4" w:space="0"/>
              <w:right w:val="single" w:color="auto" w:sz="4" w:space="0"/>
            </w:tcBorders>
            <w:noWrap w:val="0"/>
            <w:vAlign w:val="top"/>
          </w:tcPr>
          <w:p w14:paraId="4D927100">
            <w:pPr>
              <w:widowControl/>
              <w:adjustRightInd w:val="0"/>
              <w:snapToGrid w:val="0"/>
              <w:jc w:val="left"/>
              <w:rPr>
                <w:rFonts w:ascii="宋体" w:hAnsi="宋体" w:cs="宋体"/>
                <w:kern w:val="0"/>
                <w:sz w:val="18"/>
                <w:szCs w:val="18"/>
              </w:rPr>
            </w:pPr>
            <w:r>
              <w:rPr>
                <w:rFonts w:hint="eastAsia" w:ascii="宋体" w:hAnsi="宋体" w:cs="宋体"/>
                <w:kern w:val="0"/>
                <w:sz w:val="18"/>
                <w:szCs w:val="18"/>
              </w:rPr>
              <w:t>根据</w:t>
            </w:r>
            <w:r>
              <w:rPr>
                <w:rFonts w:hint="eastAsia" w:ascii="宋体" w:hAnsi="宋体" w:cs="宋体"/>
                <w:kern w:val="0"/>
                <w:sz w:val="18"/>
                <w:szCs w:val="18"/>
                <w:lang w:eastAsia="zh-CN"/>
              </w:rPr>
              <w:t>南网综能数字服务（广州）有限公司</w:t>
            </w:r>
            <w:r>
              <w:rPr>
                <w:rFonts w:hint="eastAsia" w:ascii="宋体" w:hAnsi="宋体" w:cs="宋体"/>
                <w:kern w:val="0"/>
                <w:sz w:val="18"/>
                <w:szCs w:val="18"/>
              </w:rPr>
              <w:t>需求提供业务测试</w:t>
            </w:r>
          </w:p>
        </w:tc>
      </w:tr>
      <w:tr w14:paraId="0B9990A4">
        <w:trPr>
          <w:trHeight w:val="315" w:hRule="atLeast"/>
          <w:jc w:val="center"/>
        </w:trPr>
        <w:tc>
          <w:tcPr>
            <w:tcW w:w="1158" w:type="dxa"/>
            <w:vMerge w:val="continue"/>
            <w:tcBorders>
              <w:top w:val="nil"/>
              <w:left w:val="single" w:color="auto" w:sz="4" w:space="0"/>
              <w:bottom w:val="single" w:color="auto" w:sz="4" w:space="0"/>
              <w:right w:val="single" w:color="auto" w:sz="4" w:space="0"/>
            </w:tcBorders>
            <w:noWrap w:val="0"/>
            <w:vAlign w:val="center"/>
          </w:tcPr>
          <w:p w14:paraId="1D994D1C">
            <w:pPr>
              <w:widowControl/>
              <w:adjustRightInd w:val="0"/>
              <w:snapToGrid w:val="0"/>
              <w:jc w:val="left"/>
              <w:rPr>
                <w:rFonts w:ascii="宋体" w:hAnsi="宋体" w:cs="宋体"/>
                <w:kern w:val="0"/>
                <w:sz w:val="18"/>
                <w:szCs w:val="18"/>
              </w:rPr>
            </w:pPr>
          </w:p>
        </w:tc>
        <w:tc>
          <w:tcPr>
            <w:tcW w:w="2285" w:type="dxa"/>
            <w:tcBorders>
              <w:top w:val="nil"/>
              <w:left w:val="nil"/>
              <w:bottom w:val="single" w:color="auto" w:sz="4" w:space="0"/>
              <w:right w:val="single" w:color="auto" w:sz="4" w:space="0"/>
            </w:tcBorders>
            <w:noWrap w:val="0"/>
            <w:vAlign w:val="center"/>
          </w:tcPr>
          <w:p w14:paraId="6778FCFC">
            <w:pPr>
              <w:widowControl/>
              <w:adjustRightInd w:val="0"/>
              <w:snapToGrid w:val="0"/>
              <w:jc w:val="left"/>
              <w:rPr>
                <w:rFonts w:ascii="宋体" w:hAnsi="宋体" w:cs="宋体"/>
                <w:kern w:val="0"/>
                <w:sz w:val="18"/>
                <w:szCs w:val="18"/>
              </w:rPr>
            </w:pPr>
            <w:r>
              <w:rPr>
                <w:rFonts w:hint="eastAsia" w:ascii="宋体" w:hAnsi="宋体" w:cs="宋体"/>
                <w:kern w:val="0"/>
                <w:sz w:val="18"/>
                <w:szCs w:val="18"/>
              </w:rPr>
              <w:t>现场支撑</w:t>
            </w:r>
          </w:p>
        </w:tc>
        <w:tc>
          <w:tcPr>
            <w:tcW w:w="4896" w:type="dxa"/>
            <w:tcBorders>
              <w:top w:val="nil"/>
              <w:left w:val="nil"/>
              <w:bottom w:val="single" w:color="auto" w:sz="4" w:space="0"/>
              <w:right w:val="single" w:color="auto" w:sz="4" w:space="0"/>
            </w:tcBorders>
            <w:noWrap w:val="0"/>
            <w:vAlign w:val="top"/>
          </w:tcPr>
          <w:p w14:paraId="268ED51A">
            <w:pPr>
              <w:widowControl/>
              <w:adjustRightInd w:val="0"/>
              <w:snapToGrid w:val="0"/>
              <w:jc w:val="left"/>
              <w:rPr>
                <w:rFonts w:ascii="宋体" w:hAnsi="宋体" w:cs="宋体"/>
                <w:kern w:val="0"/>
                <w:sz w:val="18"/>
                <w:szCs w:val="18"/>
              </w:rPr>
            </w:pPr>
            <w:r>
              <w:rPr>
                <w:rFonts w:hint="eastAsia" w:ascii="宋体" w:hAnsi="宋体" w:cs="宋体"/>
                <w:kern w:val="0"/>
                <w:sz w:val="18"/>
                <w:szCs w:val="18"/>
              </w:rPr>
              <w:t>重大保电期间需求提供现场技术支持</w:t>
            </w:r>
          </w:p>
        </w:tc>
      </w:tr>
    </w:tbl>
    <w:p w14:paraId="2AFF2A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4.2.2运营商在其通信资源不具备的日常应用情况下，应及时告知南网综能数字服务（广州）有限公司资源具备的时间。</w:t>
      </w:r>
    </w:p>
    <w:p w14:paraId="76FEF26E">
      <w:pPr>
        <w:pStyle w:val="2"/>
        <w:numPr>
          <w:ilvl w:val="1"/>
          <w:numId w:val="0"/>
        </w:numPr>
        <w:bidi w:val="0"/>
        <w:ind w:leftChars="0"/>
        <w:rPr>
          <w:rFonts w:hint="eastAsia"/>
          <w:lang w:val="en-US" w:eastAsia="zh-CN"/>
        </w:rPr>
      </w:pPr>
      <w:r>
        <w:rPr>
          <w:rFonts w:hint="eastAsia"/>
          <w:lang w:val="en-US" w:eastAsia="zh-CN"/>
        </w:rPr>
        <w:t>4.3业务开通</w:t>
      </w:r>
    </w:p>
    <w:p w14:paraId="2C7E95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4.3.1运营商在为南网综能数字服务（广州）有限公司提供通信资源服务时，应采用统一的、规范化的业务开通流程，并将业务开通流程告知南网综能数字服务（广州）有限公司。</w:t>
      </w:r>
    </w:p>
    <w:p w14:paraId="3166F8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4.3.2运营商应设立专职人员，负责处理南网综能数字服务（广州）有限公司提出的业务开通需求，并在满足南网综能数字服务（广州）有限公司需求的情况下，及时反馈业务开通进度。</w:t>
      </w:r>
    </w:p>
    <w:p w14:paraId="071C1D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4.3.3投标方在接到招标方需求5个工作日内，需将招标方需求的产品送至指定地点，并提前一天通知招标方，如因投标方无法及时供货或供货数量不满足招标方需求等原因致使招标方遭受损失的，投标方需按照合同相关条款对招标方进行赔偿。</w:t>
      </w:r>
    </w:p>
    <w:p w14:paraId="1CE2DF02">
      <w:pPr>
        <w:pStyle w:val="2"/>
        <w:numPr>
          <w:ilvl w:val="1"/>
          <w:numId w:val="0"/>
        </w:numPr>
        <w:bidi w:val="0"/>
        <w:ind w:leftChars="0"/>
        <w:rPr>
          <w:rFonts w:hint="eastAsia"/>
          <w:lang w:val="en-US" w:eastAsia="zh-CN"/>
        </w:rPr>
      </w:pPr>
      <w:r>
        <w:rPr>
          <w:rFonts w:hint="eastAsia"/>
          <w:lang w:val="en-US" w:eastAsia="zh-CN"/>
        </w:rPr>
        <w:t>4.4故障受理</w:t>
      </w:r>
    </w:p>
    <w:p w14:paraId="104B5B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4.4.1运营商应为广东电网提供专线服务或通过专线识别标志，登记广东电网报障电话，对报障电话自动识别优先接入，并给以及时响应。</w:t>
      </w:r>
    </w:p>
    <w:p w14:paraId="0C2DBA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4.4.2运营商应针对南网综能数字服务（广州）有限公司设立专业技术团队，及时准确进行故障定位、指挥、调度、监控故障处理，通过大南网综能数字服务（广州）有限公司故障处理绿色通道方式进行处理。</w:t>
      </w:r>
    </w:p>
    <w:p w14:paraId="4DB3A3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4.4.3</w:t>
      </w:r>
      <w:r>
        <w:rPr>
          <w:rFonts w:hint="eastAsia" w:ascii="宋体" w:hAnsi="宋体"/>
          <w:bCs/>
          <w:sz w:val="24"/>
          <w:lang w:val="en-US" w:eastAsia="zh-CN"/>
        </w:rPr>
        <w:tab/>
      </w:r>
      <w:r>
        <w:rPr>
          <w:rFonts w:hint="eastAsia" w:ascii="宋体" w:hAnsi="宋体"/>
          <w:bCs/>
          <w:sz w:val="24"/>
          <w:lang w:val="en-US" w:eastAsia="zh-CN"/>
        </w:rPr>
        <w:t>招标方使用投标方服务期间，如发现服务无法满足要求，投标方应在3个工作日内上门解决。</w:t>
      </w:r>
    </w:p>
    <w:p w14:paraId="5AE979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4.4.4各项服务除欠费外原因无法使用的，投标方应在2小时内响应。</w:t>
      </w:r>
    </w:p>
    <w:p w14:paraId="11496392">
      <w:pPr>
        <w:pStyle w:val="13"/>
        <w:ind w:left="0" w:leftChars="0" w:firstLine="0" w:firstLineChars="0"/>
        <w:rPr>
          <w:rFonts w:hint="eastAsia"/>
          <w:lang w:val="en-US" w:eastAsia="zh-CN"/>
        </w:rPr>
      </w:pPr>
    </w:p>
    <w:p w14:paraId="2F008A52">
      <w:pPr>
        <w:pStyle w:val="2"/>
        <w:numPr>
          <w:ilvl w:val="1"/>
          <w:numId w:val="0"/>
        </w:numPr>
        <w:bidi w:val="0"/>
        <w:ind w:leftChars="0"/>
        <w:rPr>
          <w:rFonts w:hint="eastAsia"/>
          <w:lang w:val="en-US" w:eastAsia="zh-CN"/>
        </w:rPr>
      </w:pPr>
      <w:r>
        <w:rPr>
          <w:rFonts w:hint="eastAsia"/>
          <w:lang w:val="en-US" w:eastAsia="zh-CN"/>
        </w:rPr>
        <w:t>4.5应急通信保障</w:t>
      </w:r>
    </w:p>
    <w:p w14:paraId="01DF22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4.5.1运营商在南网综能数字服务（广州）有限公司业务系统应急状态下，应配合南网综能数字服务（广州）有限公司做好应急通信保障工作。</w:t>
      </w:r>
    </w:p>
    <w:p w14:paraId="545A9E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4.5.2运营商需根据南网综能数字服务（广州）有限公司要求提供应急通信保障机制，主要包括应急服务团队、技术支撑响应体系和一站式绿色通道等方式。</w:t>
      </w:r>
    </w:p>
    <w:p w14:paraId="26C403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1）应急服务团队</w:t>
      </w:r>
    </w:p>
    <w:p w14:paraId="2F7B09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运营商为南网综能数字服务（广州）有限公司配置一个应急服务团队，由应急服务团队负责提供客服工作，解决在资源调度、应急通信保障等方面的各类问题。</w:t>
      </w:r>
    </w:p>
    <w:p w14:paraId="0EE0F5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2）技术支撑响应体系</w:t>
      </w:r>
    </w:p>
    <w:p w14:paraId="0919E8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运营商为南网综能数字服务（广州）有限公司配置专职的网络经理团队和统一的网络运行监控和调度中心。</w:t>
      </w:r>
    </w:p>
    <w:p w14:paraId="5DE11C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专职的网络经理团队需针对南网综能数字服务（广州）有限公司需求特点，从南网综能数字服务（广州）有限公司项目完工之日起提供全方位的技术支持和售后服务。服务团队负责项目的物质供应、方案设计、工程设计、施工实施、线路调试、运行、维护保养等服务。</w:t>
      </w:r>
    </w:p>
    <w:p w14:paraId="4AC75A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3）一站式绿色通道</w:t>
      </w:r>
    </w:p>
    <w:p w14:paraId="7E75A4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运营商为南网综能数字服务（广州）有限公司提供的一站购齐、全面服务的高效、方便、快捷的服务方式。一站式绿色通道包括：业务咨询、受理绿色通道、安装开通绿色通道、故障申告绿色通道、收费结算绿色通道、全程技术服务绿色通道。</w:t>
      </w:r>
    </w:p>
    <w:p w14:paraId="27FEC5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4.5.3运营商需提供专线应急解决方案，在专线应急方案上，需提供专线备份、应急调度机制等多层面的应急解决方案。</w:t>
      </w:r>
    </w:p>
    <w:p w14:paraId="762B326D">
      <w:pPr>
        <w:pStyle w:val="2"/>
        <w:numPr>
          <w:ilvl w:val="1"/>
          <w:numId w:val="0"/>
        </w:numPr>
        <w:bidi w:val="0"/>
        <w:ind w:leftChars="0"/>
        <w:rPr>
          <w:rFonts w:hint="eastAsia"/>
          <w:lang w:val="en-US" w:eastAsia="zh-CN"/>
        </w:rPr>
      </w:pPr>
      <w:r>
        <w:rPr>
          <w:rFonts w:hint="eastAsia"/>
          <w:lang w:val="en-US" w:eastAsia="zh-CN"/>
        </w:rPr>
        <w:t>4.6技术培训</w:t>
      </w:r>
    </w:p>
    <w:p w14:paraId="25F842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1）投标方应根据其提供的业务情况，免费提供招标方技术人员现场操作维护培训。</w:t>
      </w:r>
    </w:p>
    <w:p w14:paraId="1F5D25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Cs/>
          <w:sz w:val="24"/>
          <w:lang w:val="en-US" w:eastAsia="zh-CN"/>
        </w:rPr>
      </w:pPr>
      <w:r>
        <w:rPr>
          <w:rFonts w:hint="eastAsia" w:ascii="宋体" w:hAnsi="宋体"/>
          <w:bCs/>
          <w:sz w:val="24"/>
          <w:lang w:val="en-US" w:eastAsia="zh-CN"/>
        </w:rPr>
        <w:t>2）操作维护培训应包括所提供设备的原理和技术性能、操作维护方法、安装调测、排除故障及软件结构、定制和升级等各个方面，并提供全套培训教材(中文)和培训课程计划表。</w:t>
      </w:r>
    </w:p>
    <w:p w14:paraId="3C26A7B6">
      <w:pPr>
        <w:pStyle w:val="18"/>
        <w:numPr>
          <w:ilvl w:val="0"/>
          <w:numId w:val="0"/>
        </w:numPr>
        <w:spacing w:line="360" w:lineRule="auto"/>
        <w:ind w:firstLine="480" w:firstLineChars="200"/>
        <w:rPr>
          <w:rFonts w:hint="eastAsia" w:ascii="宋体" w:hAnsi="宋体" w:cs="宋体"/>
          <w:color w:val="262626"/>
          <w:sz w:val="24"/>
          <w:lang w:val="en-US" w:eastAsia="zh-CN"/>
        </w:rPr>
      </w:pPr>
    </w:p>
    <w:p w14:paraId="640FC3F6">
      <w:pPr>
        <w:pStyle w:val="3"/>
        <w:bidi w:val="0"/>
        <w:rPr>
          <w:rFonts w:hint="eastAsia"/>
        </w:rPr>
      </w:pPr>
      <w:r>
        <w:rPr>
          <w:rFonts w:hint="eastAsia"/>
          <w:lang w:val="en-US" w:eastAsia="zh-CN"/>
        </w:rPr>
        <w:t>5进度要求</w:t>
      </w:r>
    </w:p>
    <w:p w14:paraId="333022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bCs/>
          <w:sz w:val="24"/>
          <w:lang w:val="en-US" w:eastAsia="zh-CN"/>
        </w:rPr>
      </w:pPr>
      <w:r>
        <w:rPr>
          <w:rFonts w:hint="default" w:ascii="宋体" w:hAnsi="宋体"/>
          <w:bCs/>
          <w:sz w:val="24"/>
          <w:lang w:val="en-US" w:eastAsia="zh-CN"/>
        </w:rPr>
        <w:t>1.运营商在合同约定时限内完成专线勘测、施工、调试、开通，交付</w:t>
      </w:r>
      <w:r>
        <w:rPr>
          <w:rFonts w:hint="eastAsia" w:ascii="宋体" w:hAnsi="宋体"/>
          <w:bCs/>
          <w:sz w:val="24"/>
          <w:lang w:val="en-US" w:eastAsia="zh-CN"/>
        </w:rPr>
        <w:t>南网综能数字服务（广州）有限公司</w:t>
      </w:r>
      <w:r>
        <w:rPr>
          <w:rFonts w:hint="default" w:ascii="宋体" w:hAnsi="宋体"/>
          <w:bCs/>
          <w:sz w:val="24"/>
          <w:lang w:val="en-US" w:eastAsia="zh-CN"/>
        </w:rPr>
        <w:t>正常使用。</w:t>
      </w:r>
    </w:p>
    <w:p w14:paraId="46AFF1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bCs/>
          <w:sz w:val="24"/>
          <w:lang w:val="en-US" w:eastAsia="zh-CN"/>
        </w:rPr>
      </w:pPr>
      <w:r>
        <w:rPr>
          <w:rFonts w:hint="default" w:ascii="宋体" w:hAnsi="宋体"/>
          <w:bCs/>
          <w:sz w:val="24"/>
          <w:lang w:val="en-US" w:eastAsia="zh-CN"/>
        </w:rPr>
        <w:t>2.开通完成后提供完整的技术资料，包括网络拓扑、IP地址规划、设备配置、测试报告</w:t>
      </w:r>
      <w:r>
        <w:rPr>
          <w:rFonts w:hint="eastAsia" w:ascii="宋体" w:hAnsi="宋体"/>
          <w:bCs/>
          <w:sz w:val="24"/>
          <w:lang w:val="en-US" w:eastAsia="zh-CN"/>
        </w:rPr>
        <w:t>、技术方案</w:t>
      </w:r>
      <w:r>
        <w:rPr>
          <w:rFonts w:hint="default" w:ascii="宋体" w:hAnsi="宋体"/>
          <w:bCs/>
          <w:sz w:val="24"/>
          <w:lang w:val="en-US" w:eastAsia="zh-CN"/>
        </w:rPr>
        <w:t>等。</w:t>
      </w:r>
    </w:p>
    <w:p w14:paraId="7F1F1AF2">
      <w:pPr>
        <w:pStyle w:val="10"/>
        <w:rPr>
          <w:rFonts w:hint="default"/>
          <w:lang w:val="en-US" w:eastAsia="zh-CN"/>
        </w:rPr>
      </w:pPr>
    </w:p>
    <w:p w14:paraId="4EA01401">
      <w:pPr>
        <w:pStyle w:val="3"/>
        <w:bidi w:val="0"/>
        <w:rPr>
          <w:rFonts w:hint="default"/>
          <w:lang w:val="en-US"/>
        </w:rPr>
      </w:pPr>
      <w:r>
        <w:rPr>
          <w:rFonts w:hint="eastAsia"/>
          <w:lang w:val="en-US" w:eastAsia="zh-CN"/>
        </w:rPr>
        <w:t>6验收规范</w:t>
      </w:r>
    </w:p>
    <w:p w14:paraId="23062698">
      <w:pPr>
        <w:pStyle w:val="2"/>
        <w:numPr>
          <w:ilvl w:val="1"/>
          <w:numId w:val="0"/>
        </w:numPr>
        <w:bidi w:val="0"/>
        <w:ind w:leftChars="0"/>
        <w:rPr>
          <w:rFonts w:hint="eastAsia"/>
          <w:lang w:val="en-US" w:eastAsia="zh-CN"/>
        </w:rPr>
      </w:pPr>
      <w:r>
        <w:rPr>
          <w:rFonts w:hint="eastAsia"/>
          <w:lang w:val="en-US" w:eastAsia="zh-CN"/>
        </w:rPr>
        <w:t>6.1 验收条件</w:t>
      </w:r>
    </w:p>
    <w:p w14:paraId="47B624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1.专线施工完成，设备安装调试完毕，网络链路通畅。</w:t>
      </w:r>
    </w:p>
    <w:p w14:paraId="6E7142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2.APN业务功能全部实现，物联网终端可正常接入广东电网内网，数据传输稳定。</w:t>
      </w:r>
    </w:p>
    <w:p w14:paraId="045A85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3.各项技术指标、性能指标符合本规范及合同约定要求。</w:t>
      </w:r>
    </w:p>
    <w:p w14:paraId="1BD7C2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4.满足广东电网的专线接入要求。</w:t>
      </w:r>
    </w:p>
    <w:p w14:paraId="305C237E">
      <w:pPr>
        <w:pStyle w:val="2"/>
        <w:numPr>
          <w:ilvl w:val="1"/>
          <w:numId w:val="0"/>
        </w:numPr>
        <w:bidi w:val="0"/>
        <w:ind w:leftChars="0"/>
        <w:rPr>
          <w:rFonts w:hint="eastAsia"/>
          <w:lang w:val="en-US" w:eastAsia="zh-CN"/>
        </w:rPr>
      </w:pPr>
      <w:r>
        <w:rPr>
          <w:rFonts w:hint="eastAsia"/>
          <w:lang w:val="en-US" w:eastAsia="zh-CN"/>
        </w:rPr>
        <w:t>6.2 验收内容</w:t>
      </w:r>
    </w:p>
    <w:p w14:paraId="7BDD86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1.功能验收：APN接入、网络隔离、数据传输、接入控制等功能验证。</w:t>
      </w:r>
    </w:p>
    <w:p w14:paraId="48F626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2.性能验收：带宽、时延、丢包率、可用性等指标测试。</w:t>
      </w:r>
    </w:p>
    <w:p w14:paraId="451985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3.安全验收：隔离性、接入认证、加密传输等安全功能验证。</w:t>
      </w:r>
    </w:p>
    <w:p w14:paraId="031D20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4.资料验收：完整的技术文档、测试报告、设备资料等交付。</w:t>
      </w:r>
    </w:p>
    <w:p w14:paraId="52381039">
      <w:pPr>
        <w:pStyle w:val="2"/>
        <w:numPr>
          <w:ilvl w:val="1"/>
          <w:numId w:val="0"/>
        </w:numPr>
        <w:bidi w:val="0"/>
        <w:ind w:leftChars="0"/>
        <w:rPr>
          <w:rFonts w:hint="eastAsia"/>
          <w:lang w:val="en-US" w:eastAsia="zh-CN"/>
        </w:rPr>
      </w:pPr>
      <w:r>
        <w:rPr>
          <w:rFonts w:hint="eastAsia"/>
          <w:lang w:val="en-US" w:eastAsia="zh-CN"/>
        </w:rPr>
        <w:t>6.3 验收标准</w:t>
      </w:r>
    </w:p>
    <w:p w14:paraId="66F17A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262626"/>
          <w:sz w:val="24"/>
          <w:szCs w:val="24"/>
          <w:highlight w:val="none"/>
          <w:lang w:val="en-US" w:eastAsia="zh-CN"/>
        </w:rPr>
      </w:pPr>
      <w:r>
        <w:rPr>
          <w:rFonts w:hint="eastAsia" w:ascii="宋体" w:hAnsi="宋体" w:eastAsia="宋体" w:cs="宋体"/>
          <w:sz w:val="24"/>
          <w:szCs w:val="24"/>
          <w:highlight w:val="none"/>
          <w:lang w:val="en-US" w:eastAsia="zh-CN"/>
        </w:rPr>
        <w:t>各项验收指标需满足本规范第3章、第4章、第5章相关要求，验收合格后双方签署验收报告。</w:t>
      </w:r>
    </w:p>
    <w:p w14:paraId="1D28EA6C">
      <w:pPr>
        <w:pStyle w:val="3"/>
        <w:bidi w:val="0"/>
        <w:rPr>
          <w:rFonts w:hint="default"/>
          <w:lang w:val="en-US"/>
        </w:rPr>
      </w:pPr>
      <w:r>
        <w:rPr>
          <w:rFonts w:hint="eastAsia"/>
          <w:lang w:val="en-US" w:eastAsia="zh-CN"/>
        </w:rPr>
        <w:t>7质量保障与违约责任</w:t>
      </w:r>
    </w:p>
    <w:p w14:paraId="771166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运营商需保障专线服务质量，若因运营商原因导致专线可用率不达标，按照合同约定承担违约责任。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仿宋_GB2312">
    <w:panose1 w:val="02010609030101010101"/>
    <w:charset w:val="86"/>
    <w:family w:val="auto"/>
    <w:pitch w:val="default"/>
    <w:sig w:usb0="00000001" w:usb1="080E0000" w:usb2="00000000" w:usb3="00000000" w:csb0="00040000" w:csb1="00000000"/>
  </w:font>
  <w:font w:name="华文中宋">
    <w:altName w:val="汉仪书宋二KW"/>
    <w:panose1 w:val="02010600040101010101"/>
    <w:charset w:val="86"/>
    <w:family w:val="auto"/>
    <w:pitch w:val="default"/>
    <w:sig w:usb0="00000000" w:usb1="00000000" w:usb2="00000000" w:usb3="00000000" w:csb0="0004009F" w:csb1="DFD7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320D1">
    <w:pPr>
      <w:pStyle w:val="1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2F687A"/>
    <w:multiLevelType w:val="multilevel"/>
    <w:tmpl w:val="632F687A"/>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sz w:val="24"/>
        <w:szCs w:val="21"/>
      </w:rPr>
    </w:lvl>
    <w:lvl w:ilvl="3" w:tentative="0">
      <w:start w:val="1"/>
      <w:numFmt w:val="decimal"/>
      <w:lvlText w:val="%1.%2.%3.%4."/>
      <w:lvlJc w:val="left"/>
      <w:pPr>
        <w:ind w:left="864" w:hanging="864"/>
      </w:pPr>
      <w:rPr>
        <w:rFonts w:hint="default" w:ascii="宋体" w:hAnsi="宋体" w:eastAsia="宋体" w:cs="宋体"/>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7E0C6FE6"/>
    <w:multiLevelType w:val="multilevel"/>
    <w:tmpl w:val="7E0C6FE6"/>
    <w:lvl w:ilvl="0" w:tentative="0">
      <w:start w:val="1"/>
      <w:numFmt w:val="decimal"/>
      <w:lvlText w:val="%1."/>
      <w:lvlJc w:val="left"/>
      <w:pPr>
        <w:ind w:left="432" w:hanging="432"/>
      </w:pPr>
      <w:rPr>
        <w:rFonts w:hint="default"/>
        <w:sz w:val="28"/>
        <w:szCs w:val="28"/>
      </w:rPr>
    </w:lvl>
    <w:lvl w:ilvl="1" w:tentative="0">
      <w:start w:val="1"/>
      <w:numFmt w:val="decimal"/>
      <w:pStyle w:val="2"/>
      <w:lvlText w:val="%1.%2."/>
      <w:lvlJc w:val="left"/>
      <w:pPr>
        <w:ind w:left="575" w:hanging="575"/>
      </w:pPr>
      <w:rPr>
        <w:rFonts w:hint="default"/>
        <w:sz w:val="24"/>
        <w:szCs w:val="24"/>
      </w:rPr>
    </w:lvl>
    <w:lvl w:ilvl="2" w:tentative="0">
      <w:start w:val="1"/>
      <w:numFmt w:val="decimal"/>
      <w:lvlText w:val="%1.%2.%3."/>
      <w:lvlJc w:val="left"/>
      <w:pPr>
        <w:ind w:left="720" w:hanging="720"/>
      </w:pPr>
      <w:rPr>
        <w:rFonts w:hint="default"/>
        <w:sz w:val="24"/>
        <w:szCs w:val="24"/>
      </w:rPr>
    </w:lvl>
    <w:lvl w:ilvl="3" w:tentative="0">
      <w:start w:val="1"/>
      <w:numFmt w:val="decimal"/>
      <w:lvlText w:val="%1.%2.%3.%4."/>
      <w:lvlJc w:val="left"/>
      <w:pPr>
        <w:tabs>
          <w:tab w:val="left" w:pos="57"/>
        </w:tabs>
        <w:ind w:left="57" w:leftChars="0" w:hanging="57" w:firstLineChars="0"/>
      </w:pPr>
      <w:rPr>
        <w:rFonts w:hint="default"/>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C5234F"/>
    <w:rsid w:val="01336206"/>
    <w:rsid w:val="018D3541"/>
    <w:rsid w:val="027E29A5"/>
    <w:rsid w:val="02A0095B"/>
    <w:rsid w:val="02A50666"/>
    <w:rsid w:val="03056101"/>
    <w:rsid w:val="03500416"/>
    <w:rsid w:val="0385358C"/>
    <w:rsid w:val="039337B5"/>
    <w:rsid w:val="03F17003"/>
    <w:rsid w:val="04405E89"/>
    <w:rsid w:val="04731573"/>
    <w:rsid w:val="047B5F50"/>
    <w:rsid w:val="04AC2FBA"/>
    <w:rsid w:val="0522647B"/>
    <w:rsid w:val="059A76F7"/>
    <w:rsid w:val="05EE6E49"/>
    <w:rsid w:val="0649045C"/>
    <w:rsid w:val="06BF00F2"/>
    <w:rsid w:val="06CC51B2"/>
    <w:rsid w:val="071333A8"/>
    <w:rsid w:val="071F0864"/>
    <w:rsid w:val="072510C4"/>
    <w:rsid w:val="0809043D"/>
    <w:rsid w:val="08AE3149"/>
    <w:rsid w:val="0924347D"/>
    <w:rsid w:val="0924660B"/>
    <w:rsid w:val="0942143F"/>
    <w:rsid w:val="0A11481C"/>
    <w:rsid w:val="0A9A7472"/>
    <w:rsid w:val="0BB27F3E"/>
    <w:rsid w:val="0BEC6E1F"/>
    <w:rsid w:val="0CDF76AC"/>
    <w:rsid w:val="0D845C3B"/>
    <w:rsid w:val="0DED4141"/>
    <w:rsid w:val="0E987D02"/>
    <w:rsid w:val="0EF21695"/>
    <w:rsid w:val="0F01062B"/>
    <w:rsid w:val="0F883D87"/>
    <w:rsid w:val="0FE36A1F"/>
    <w:rsid w:val="10123CEB"/>
    <w:rsid w:val="103D5E34"/>
    <w:rsid w:val="106172ED"/>
    <w:rsid w:val="10C45D0D"/>
    <w:rsid w:val="11223B28"/>
    <w:rsid w:val="118D6A5B"/>
    <w:rsid w:val="12887F77"/>
    <w:rsid w:val="129869E3"/>
    <w:rsid w:val="1357734B"/>
    <w:rsid w:val="13760AF9"/>
    <w:rsid w:val="138D6606"/>
    <w:rsid w:val="13B10CDE"/>
    <w:rsid w:val="1474429F"/>
    <w:rsid w:val="14DF00CB"/>
    <w:rsid w:val="152E36CE"/>
    <w:rsid w:val="15582314"/>
    <w:rsid w:val="16134C45"/>
    <w:rsid w:val="180B0603"/>
    <w:rsid w:val="18266C2F"/>
    <w:rsid w:val="1856197C"/>
    <w:rsid w:val="19593126"/>
    <w:rsid w:val="1A2C607F"/>
    <w:rsid w:val="1B125078"/>
    <w:rsid w:val="1B3A29B9"/>
    <w:rsid w:val="1B6153CA"/>
    <w:rsid w:val="1BCD79A9"/>
    <w:rsid w:val="1C222CB7"/>
    <w:rsid w:val="1C26713F"/>
    <w:rsid w:val="1C7B4521"/>
    <w:rsid w:val="1CA6768D"/>
    <w:rsid w:val="1CFE0AB2"/>
    <w:rsid w:val="1D001020"/>
    <w:rsid w:val="1D39247F"/>
    <w:rsid w:val="1D740FDF"/>
    <w:rsid w:val="1DA069AB"/>
    <w:rsid w:val="1DA21EAE"/>
    <w:rsid w:val="1DD1138A"/>
    <w:rsid w:val="1DE3685B"/>
    <w:rsid w:val="1E5054CA"/>
    <w:rsid w:val="1F1F489E"/>
    <w:rsid w:val="1F4821DF"/>
    <w:rsid w:val="1F7155A1"/>
    <w:rsid w:val="20EC288F"/>
    <w:rsid w:val="21124CCD"/>
    <w:rsid w:val="21E408A9"/>
    <w:rsid w:val="22921CC7"/>
    <w:rsid w:val="23615817"/>
    <w:rsid w:val="236964A7"/>
    <w:rsid w:val="23A9148E"/>
    <w:rsid w:val="23AA2793"/>
    <w:rsid w:val="23D87DD9"/>
    <w:rsid w:val="23E40A13"/>
    <w:rsid w:val="242C61E4"/>
    <w:rsid w:val="2492463D"/>
    <w:rsid w:val="25795E86"/>
    <w:rsid w:val="25AF7316"/>
    <w:rsid w:val="26675B0F"/>
    <w:rsid w:val="26711CA2"/>
    <w:rsid w:val="26D32C40"/>
    <w:rsid w:val="2701028C"/>
    <w:rsid w:val="27D327E3"/>
    <w:rsid w:val="28347384"/>
    <w:rsid w:val="286C74DE"/>
    <w:rsid w:val="28894890"/>
    <w:rsid w:val="292D759C"/>
    <w:rsid w:val="298E0913"/>
    <w:rsid w:val="2A174F9B"/>
    <w:rsid w:val="2A4525E7"/>
    <w:rsid w:val="2AD71B56"/>
    <w:rsid w:val="2AEF2A80"/>
    <w:rsid w:val="2BA95732"/>
    <w:rsid w:val="2BC362DB"/>
    <w:rsid w:val="2C88731E"/>
    <w:rsid w:val="2C94532F"/>
    <w:rsid w:val="2CA952D4"/>
    <w:rsid w:val="2D925252"/>
    <w:rsid w:val="2DB61F8F"/>
    <w:rsid w:val="2E013307"/>
    <w:rsid w:val="2E1F28B7"/>
    <w:rsid w:val="2E32735A"/>
    <w:rsid w:val="2E3F67B8"/>
    <w:rsid w:val="2E63DB2F"/>
    <w:rsid w:val="2EEA1087"/>
    <w:rsid w:val="2FB32CCE"/>
    <w:rsid w:val="307B2717"/>
    <w:rsid w:val="31D2654B"/>
    <w:rsid w:val="320E092F"/>
    <w:rsid w:val="32121533"/>
    <w:rsid w:val="32771258"/>
    <w:rsid w:val="336D3D6E"/>
    <w:rsid w:val="33A72C4E"/>
    <w:rsid w:val="33E54CB2"/>
    <w:rsid w:val="33FE167D"/>
    <w:rsid w:val="342A79A4"/>
    <w:rsid w:val="3446501B"/>
    <w:rsid w:val="34774220"/>
    <w:rsid w:val="347F162D"/>
    <w:rsid w:val="349363E1"/>
    <w:rsid w:val="34BB165C"/>
    <w:rsid w:val="34E622D6"/>
    <w:rsid w:val="361C5BD6"/>
    <w:rsid w:val="3744458E"/>
    <w:rsid w:val="37A8535D"/>
    <w:rsid w:val="37B10702"/>
    <w:rsid w:val="38CB41BA"/>
    <w:rsid w:val="38FA41E7"/>
    <w:rsid w:val="39137E32"/>
    <w:rsid w:val="393F1F7B"/>
    <w:rsid w:val="39CE0565"/>
    <w:rsid w:val="3A277620"/>
    <w:rsid w:val="3B617677"/>
    <w:rsid w:val="3B643E7F"/>
    <w:rsid w:val="3B8F2744"/>
    <w:rsid w:val="3BD10C2F"/>
    <w:rsid w:val="3BDB4DC2"/>
    <w:rsid w:val="3BFD2D78"/>
    <w:rsid w:val="3C6A1695"/>
    <w:rsid w:val="3D934113"/>
    <w:rsid w:val="3DAA3D38"/>
    <w:rsid w:val="3DB03A43"/>
    <w:rsid w:val="3DF21F2E"/>
    <w:rsid w:val="3DF33233"/>
    <w:rsid w:val="3E255C01"/>
    <w:rsid w:val="3F8A67CD"/>
    <w:rsid w:val="3FEE64F1"/>
    <w:rsid w:val="401A703E"/>
    <w:rsid w:val="4092377C"/>
    <w:rsid w:val="40C0464B"/>
    <w:rsid w:val="40C83C56"/>
    <w:rsid w:val="416163D3"/>
    <w:rsid w:val="41793A79"/>
    <w:rsid w:val="41EE0932"/>
    <w:rsid w:val="41F25CC2"/>
    <w:rsid w:val="42301F23"/>
    <w:rsid w:val="427A6E9F"/>
    <w:rsid w:val="42C7371B"/>
    <w:rsid w:val="43144A19"/>
    <w:rsid w:val="437821F0"/>
    <w:rsid w:val="43895793"/>
    <w:rsid w:val="43DE6767"/>
    <w:rsid w:val="44293363"/>
    <w:rsid w:val="44C147DB"/>
    <w:rsid w:val="44DE20FB"/>
    <w:rsid w:val="45263E25"/>
    <w:rsid w:val="454959B9"/>
    <w:rsid w:val="45631DE6"/>
    <w:rsid w:val="46875502"/>
    <w:rsid w:val="471A5C34"/>
    <w:rsid w:val="47927E7C"/>
    <w:rsid w:val="490F4DEA"/>
    <w:rsid w:val="49825129"/>
    <w:rsid w:val="49881230"/>
    <w:rsid w:val="49A87567"/>
    <w:rsid w:val="49C820BA"/>
    <w:rsid w:val="4A0F0E10"/>
    <w:rsid w:val="4AB04516"/>
    <w:rsid w:val="4AB30D1E"/>
    <w:rsid w:val="4ACB63C5"/>
    <w:rsid w:val="4B5B6BAD"/>
    <w:rsid w:val="4B831158"/>
    <w:rsid w:val="4C8E5CA5"/>
    <w:rsid w:val="4C93212D"/>
    <w:rsid w:val="4D1E7B13"/>
    <w:rsid w:val="4D686C8D"/>
    <w:rsid w:val="4D9053D6"/>
    <w:rsid w:val="4DC515A5"/>
    <w:rsid w:val="4E04182F"/>
    <w:rsid w:val="4E383AE3"/>
    <w:rsid w:val="4E416971"/>
    <w:rsid w:val="4E8F44F1"/>
    <w:rsid w:val="4F9A5CA8"/>
    <w:rsid w:val="4FBF4BE3"/>
    <w:rsid w:val="4FE64AA3"/>
    <w:rsid w:val="4FF4183A"/>
    <w:rsid w:val="5013686C"/>
    <w:rsid w:val="505F0EE9"/>
    <w:rsid w:val="50E0053E"/>
    <w:rsid w:val="51170698"/>
    <w:rsid w:val="51CD476E"/>
    <w:rsid w:val="52910254"/>
    <w:rsid w:val="52A76E1D"/>
    <w:rsid w:val="52AE52B6"/>
    <w:rsid w:val="52C4745A"/>
    <w:rsid w:val="52E5410B"/>
    <w:rsid w:val="53194965"/>
    <w:rsid w:val="534976B3"/>
    <w:rsid w:val="53B97C0A"/>
    <w:rsid w:val="53E21E30"/>
    <w:rsid w:val="53F01145"/>
    <w:rsid w:val="54795826"/>
    <w:rsid w:val="55106960"/>
    <w:rsid w:val="55465E74"/>
    <w:rsid w:val="561861CC"/>
    <w:rsid w:val="565A24B9"/>
    <w:rsid w:val="56827DFA"/>
    <w:rsid w:val="56893008"/>
    <w:rsid w:val="569E3B38"/>
    <w:rsid w:val="56A17168"/>
    <w:rsid w:val="57C03085"/>
    <w:rsid w:val="57FD096B"/>
    <w:rsid w:val="58083479"/>
    <w:rsid w:val="58722B28"/>
    <w:rsid w:val="587902B5"/>
    <w:rsid w:val="58D154FE"/>
    <w:rsid w:val="599A3C0F"/>
    <w:rsid w:val="59E92304"/>
    <w:rsid w:val="5A463D28"/>
    <w:rsid w:val="5AB133D7"/>
    <w:rsid w:val="5ADF27BD"/>
    <w:rsid w:val="5B032CEA"/>
    <w:rsid w:val="5B351432"/>
    <w:rsid w:val="5B5D6D73"/>
    <w:rsid w:val="5B713816"/>
    <w:rsid w:val="5B9217CC"/>
    <w:rsid w:val="5BB82905"/>
    <w:rsid w:val="5BCA1926"/>
    <w:rsid w:val="5CC10BB9"/>
    <w:rsid w:val="5D1E0F52"/>
    <w:rsid w:val="5D2C3AEB"/>
    <w:rsid w:val="5D793BEB"/>
    <w:rsid w:val="5DE64C82"/>
    <w:rsid w:val="5DE7421F"/>
    <w:rsid w:val="5E130566"/>
    <w:rsid w:val="5E546DD1"/>
    <w:rsid w:val="5E9F014A"/>
    <w:rsid w:val="5EA22A81"/>
    <w:rsid w:val="5EB73272"/>
    <w:rsid w:val="5FA047CF"/>
    <w:rsid w:val="600B06A1"/>
    <w:rsid w:val="61171AD8"/>
    <w:rsid w:val="61551A43"/>
    <w:rsid w:val="62BC40AF"/>
    <w:rsid w:val="63A01501"/>
    <w:rsid w:val="63FC0596"/>
    <w:rsid w:val="6443458E"/>
    <w:rsid w:val="644C4E9D"/>
    <w:rsid w:val="65B85116"/>
    <w:rsid w:val="66620D05"/>
    <w:rsid w:val="67080599"/>
    <w:rsid w:val="67421678"/>
    <w:rsid w:val="676E37C1"/>
    <w:rsid w:val="67C94DD4"/>
    <w:rsid w:val="67F30720"/>
    <w:rsid w:val="69264077"/>
    <w:rsid w:val="696B7D83"/>
    <w:rsid w:val="697A6D19"/>
    <w:rsid w:val="69CB581E"/>
    <w:rsid w:val="69FD3A6F"/>
    <w:rsid w:val="6A2C45BE"/>
    <w:rsid w:val="6A4D28E8"/>
    <w:rsid w:val="6A7C1DBF"/>
    <w:rsid w:val="6B8366A3"/>
    <w:rsid w:val="6BD500D6"/>
    <w:rsid w:val="6C386C1D"/>
    <w:rsid w:val="6CC92C88"/>
    <w:rsid w:val="6D37D6FC"/>
    <w:rsid w:val="6E0C201B"/>
    <w:rsid w:val="6E381CEB"/>
    <w:rsid w:val="6EA43493"/>
    <w:rsid w:val="6ED674E5"/>
    <w:rsid w:val="6F5A1CBD"/>
    <w:rsid w:val="6FF9096F"/>
    <w:rsid w:val="6FFB6E4B"/>
    <w:rsid w:val="7097124D"/>
    <w:rsid w:val="70BB05FF"/>
    <w:rsid w:val="71147D94"/>
    <w:rsid w:val="72060D29"/>
    <w:rsid w:val="734935B0"/>
    <w:rsid w:val="739D77D1"/>
    <w:rsid w:val="73CD7F8D"/>
    <w:rsid w:val="74B22BF8"/>
    <w:rsid w:val="74CA112A"/>
    <w:rsid w:val="750C7615"/>
    <w:rsid w:val="751E2DB2"/>
    <w:rsid w:val="75397BBC"/>
    <w:rsid w:val="768F467F"/>
    <w:rsid w:val="76C92DEE"/>
    <w:rsid w:val="76FE7987"/>
    <w:rsid w:val="77376CA5"/>
    <w:rsid w:val="77CC2A1C"/>
    <w:rsid w:val="78686692"/>
    <w:rsid w:val="78B31A15"/>
    <w:rsid w:val="79312BD8"/>
    <w:rsid w:val="79D54FEF"/>
    <w:rsid w:val="7ABF07F0"/>
    <w:rsid w:val="7AFA7350"/>
    <w:rsid w:val="7B1511FF"/>
    <w:rsid w:val="7C3C6A63"/>
    <w:rsid w:val="7CC556C2"/>
    <w:rsid w:val="7D0C0035"/>
    <w:rsid w:val="7D3E1B08"/>
    <w:rsid w:val="7D977C47"/>
    <w:rsid w:val="7E0C345B"/>
    <w:rsid w:val="7E7B1510"/>
    <w:rsid w:val="7EB70070"/>
    <w:rsid w:val="7F5CA5FA"/>
    <w:rsid w:val="7FAD2B87"/>
    <w:rsid w:val="FC5F8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7"/>
    <w:qFormat/>
    <w:uiPriority w:val="0"/>
    <w:pPr>
      <w:keepNext/>
      <w:keepLines/>
      <w:spacing w:line="360" w:lineRule="auto"/>
      <w:jc w:val="left"/>
      <w:outlineLvl w:val="0"/>
    </w:pPr>
    <w:rPr>
      <w:rFonts w:ascii="Times New Roman" w:hAnsi="Times New Roman" w:eastAsia="仿宋_GB2312"/>
      <w:b/>
      <w:bCs/>
      <w:kern w:val="0"/>
      <w:sz w:val="32"/>
      <w:szCs w:val="44"/>
    </w:rPr>
  </w:style>
  <w:style w:type="paragraph" w:styleId="2">
    <w:name w:val="heading 2"/>
    <w:basedOn w:val="1"/>
    <w:next w:val="1"/>
    <w:qFormat/>
    <w:uiPriority w:val="0"/>
    <w:pPr>
      <w:keepNext/>
      <w:keepLines/>
      <w:numPr>
        <w:ilvl w:val="1"/>
        <w:numId w:val="1"/>
      </w:numPr>
      <w:tabs>
        <w:tab w:val="left" w:pos="420"/>
      </w:tabs>
      <w:spacing w:before="120" w:after="120" w:line="360" w:lineRule="auto"/>
      <w:ind w:left="575" w:hanging="575"/>
      <w:outlineLvl w:val="1"/>
    </w:pPr>
    <w:rPr>
      <w:rFonts w:ascii="Arial" w:hAnsi="Arial"/>
      <w:b/>
      <w:bCs/>
      <w:sz w:val="24"/>
      <w:szCs w:val="32"/>
    </w:rPr>
  </w:style>
  <w:style w:type="paragraph" w:styleId="4">
    <w:name w:val="heading 3"/>
    <w:basedOn w:val="1"/>
    <w:next w:val="1"/>
    <w:unhideWhenUsed/>
    <w:qFormat/>
    <w:uiPriority w:val="0"/>
    <w:pPr>
      <w:keepNext/>
      <w:keepLines/>
      <w:spacing w:before="140" w:after="140" w:line="360" w:lineRule="auto"/>
      <w:outlineLvl w:val="2"/>
    </w:pPr>
    <w:rPr>
      <w:rFonts w:ascii="Times New Roman" w:hAnsi="Times New Roman" w:eastAsia="宋体"/>
      <w:b/>
      <w:bCs/>
      <w:sz w:val="30"/>
      <w:szCs w:val="32"/>
    </w:rPr>
  </w:style>
  <w:style w:type="paragraph" w:styleId="5">
    <w:name w:val="heading 4"/>
    <w:basedOn w:val="1"/>
    <w:next w:val="1"/>
    <w:unhideWhenUsed/>
    <w:qFormat/>
    <w:uiPriority w:val="0"/>
    <w:pPr>
      <w:keepNext/>
      <w:keepLines/>
      <w:spacing w:line="360" w:lineRule="auto"/>
      <w:ind w:firstLine="0" w:firstLineChars="0"/>
      <w:outlineLvl w:val="3"/>
    </w:pPr>
    <w:rPr>
      <w:rFonts w:ascii="Times New Roman" w:hAnsi="Times New Roman" w:cstheme="majorBidi"/>
      <w:b/>
      <w:bCs/>
      <w:sz w:val="28"/>
      <w:szCs w:val="28"/>
    </w:rPr>
  </w:style>
  <w:style w:type="paragraph" w:styleId="6">
    <w:name w:val="heading 5"/>
    <w:basedOn w:val="1"/>
    <w:next w:val="1"/>
    <w:unhideWhenUsed/>
    <w:qFormat/>
    <w:uiPriority w:val="0"/>
    <w:pPr>
      <w:keepNext/>
      <w:keepLines/>
      <w:numPr>
        <w:ilvl w:val="4"/>
        <w:numId w:val="2"/>
      </w:numPr>
      <w:spacing w:before="280" w:after="290" w:line="372" w:lineRule="auto"/>
      <w:outlineLvl w:val="4"/>
    </w:pPr>
    <w:rPr>
      <w:b/>
      <w:sz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firstLineChars="200"/>
    </w:pPr>
    <w:rPr>
      <w:rFonts w:asciiTheme="minorHAnsi" w:hAnsiTheme="minorHAnsi" w:eastAsiaTheme="minorEastAsia" w:cstheme="minorBidi"/>
      <w:szCs w:val="24"/>
    </w:rPr>
  </w:style>
  <w:style w:type="paragraph" w:customStyle="1" w:styleId="8">
    <w:name w:val="正文（绿盟科技）"/>
    <w:qFormat/>
    <w:uiPriority w:val="0"/>
    <w:pPr>
      <w:spacing w:line="300" w:lineRule="auto"/>
    </w:pPr>
    <w:rPr>
      <w:rFonts w:ascii="Arial" w:hAnsi="Arial" w:eastAsia="宋体" w:cs="Times New Roman"/>
      <w:sz w:val="21"/>
      <w:szCs w:val="21"/>
      <w:lang w:val="en-US" w:eastAsia="zh-CN" w:bidi="ar-SA"/>
    </w:rPr>
  </w:style>
  <w:style w:type="paragraph" w:styleId="9">
    <w:name w:val="annotation text"/>
    <w:basedOn w:val="1"/>
    <w:qFormat/>
    <w:uiPriority w:val="0"/>
    <w:pPr>
      <w:jc w:val="left"/>
    </w:pPr>
  </w:style>
  <w:style w:type="paragraph" w:styleId="10">
    <w:name w:val="Body Text"/>
    <w:basedOn w:val="1"/>
    <w:next w:val="11"/>
    <w:qFormat/>
    <w:uiPriority w:val="0"/>
    <w:pPr>
      <w:spacing w:after="120"/>
    </w:pPr>
    <w:rPr>
      <w:szCs w:val="24"/>
    </w:rPr>
  </w:style>
  <w:style w:type="paragraph" w:styleId="11">
    <w:name w:val="Title"/>
    <w:basedOn w:val="1"/>
    <w:next w:val="1"/>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paragraph" w:styleId="12">
    <w:name w:val="Body Text Indent"/>
    <w:basedOn w:val="1"/>
    <w:qFormat/>
    <w:uiPriority w:val="0"/>
    <w:pPr>
      <w:spacing w:after="120"/>
      <w:ind w:left="420" w:leftChars="200"/>
    </w:pPr>
  </w:style>
  <w:style w:type="paragraph" w:styleId="13">
    <w:name w:val="Body Text First Indent 2"/>
    <w:basedOn w:val="12"/>
    <w:qFormat/>
    <w:uiPriority w:val="0"/>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标题 1 Char"/>
    <w:link w:val="3"/>
    <w:qFormat/>
    <w:uiPriority w:val="0"/>
    <w:rPr>
      <w:rFonts w:ascii="Times New Roman" w:hAnsi="Times New Roman" w:eastAsia="仿宋_GB2312" w:cstheme="minorBidi"/>
      <w:b/>
      <w:bCs/>
      <w:kern w:val="0"/>
      <w:sz w:val="32"/>
      <w:szCs w:val="44"/>
      <w:lang w:val="en-US" w:eastAsia="zh-CN" w:bidi="ar-SA"/>
    </w:rPr>
  </w:style>
  <w:style w:type="paragraph" w:styleId="18">
    <w:name w:val="List Paragraph"/>
    <w:basedOn w:val="1"/>
    <w:qFormat/>
    <w:uiPriority w:val="34"/>
    <w:pPr>
      <w:ind w:firstLine="420" w:firstLineChars="200"/>
    </w:pPr>
    <w:rPr>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3696</Words>
  <Characters>4112</Characters>
  <Lines>0</Lines>
  <Paragraphs>0</Paragraphs>
  <TotalTime>3</TotalTime>
  <ScaleCrop>false</ScaleCrop>
  <LinksUpToDate>false</LinksUpToDate>
  <CharactersWithSpaces>4130</CharactersWithSpaces>
  <Application>WPS Office_12.1.25869.25869_F1E327BC-269C-435d-A152-05C5408002CA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2024-12-17T02:21:00Z</dcterms:created>
  <dc:creator>lenovo</dc:creator>
  <cp:lastModifiedBy>lyc</cp:lastModifiedBy>
  <dcterms:modified xsi:type="dcterms:W3CDTF">2026-05-19T15:36:34Z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D036EB6F29B14FB288B8E8109D206753_13</vt:lpwstr>
  </property>
  <property fmtid="{D5CDD505-2E9C-101B-9397-08002B2CF9AE}" pid="4" name="KSOTemplateDocerSaveRecord">
    <vt:lpwstr>eyJoZGlkIjoiNjYxN2Y5NTM3Yzc1NWNmNWU5MjU5Njc1ZTQ4MmEyYjIiLCJ1c2VySWQiOiIxMDMzNTkzMTM3In0=</vt:lpwstr>
  </property>
</Properties>
</file>