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360" w:lineRule="auto"/>
        <w:jc w:val="center"/>
        <w:rPr>
          <w:rFonts w:ascii="仿宋_GB2312" w:hAnsi="仿宋" w:eastAsia="仿宋_GB2312"/>
          <w:b/>
          <w:color w:val="auto"/>
          <w:sz w:val="44"/>
          <w:szCs w:val="72"/>
        </w:rPr>
      </w:pPr>
    </w:p>
    <w:p>
      <w:pPr>
        <w:spacing w:line="360" w:lineRule="auto"/>
        <w:jc w:val="center"/>
        <w:rPr>
          <w:rFonts w:ascii="仿宋_GB2312" w:hAnsi="仿宋" w:eastAsia="仿宋_GB2312"/>
          <w:b/>
          <w:color w:val="auto"/>
          <w:sz w:val="44"/>
        </w:rPr>
      </w:pPr>
      <w:r>
        <w:rPr>
          <w:rFonts w:hint="eastAsia" w:ascii="仿宋_GB2312" w:hAnsi="仿宋" w:eastAsia="仿宋_GB2312"/>
          <w:b/>
          <w:color w:val="auto"/>
          <w:sz w:val="44"/>
        </w:rPr>
        <w:t>数字电网公司2026年科技成果鉴定零星采购项目技术规范书</w:t>
      </w:r>
    </w:p>
    <w:p>
      <w:pPr>
        <w:spacing w:line="360" w:lineRule="auto"/>
        <w:jc w:val="center"/>
        <w:rPr>
          <w:rFonts w:ascii="黑体" w:eastAsia="黑体"/>
          <w:b/>
          <w:color w:val="auto"/>
          <w:sz w:val="52"/>
        </w:rPr>
      </w:pPr>
    </w:p>
    <w:p>
      <w:pPr>
        <w:pStyle w:val="2"/>
        <w:spacing w:line="360" w:lineRule="auto"/>
        <w:rPr>
          <w:color w:val="auto"/>
        </w:rPr>
      </w:pPr>
    </w:p>
    <w:p>
      <w:pPr>
        <w:spacing w:line="360" w:lineRule="auto"/>
        <w:jc w:val="center"/>
        <w:rPr>
          <w:rFonts w:ascii="黑体" w:eastAsia="黑体"/>
          <w:b/>
          <w:color w:val="auto"/>
          <w:sz w:val="52"/>
        </w:rPr>
      </w:pPr>
    </w:p>
    <w:p>
      <w:pPr>
        <w:pStyle w:val="2"/>
        <w:rPr>
          <w:rFonts w:ascii="黑体" w:eastAsia="黑体"/>
          <w:b/>
          <w:color w:val="auto"/>
          <w:sz w:val="52"/>
        </w:rPr>
      </w:pPr>
    </w:p>
    <w:p>
      <w:pPr>
        <w:pStyle w:val="3"/>
        <w:rPr>
          <w:rFonts w:ascii="黑体" w:eastAsia="黑体"/>
          <w:b/>
          <w:color w:val="auto"/>
          <w:sz w:val="52"/>
        </w:rPr>
      </w:pPr>
    </w:p>
    <w:p>
      <w:pPr>
        <w:rPr>
          <w:rFonts w:ascii="黑体" w:eastAsia="黑体"/>
          <w:b/>
          <w:color w:val="auto"/>
          <w:sz w:val="52"/>
        </w:rPr>
      </w:pPr>
    </w:p>
    <w:p>
      <w:pPr>
        <w:pStyle w:val="2"/>
      </w:pPr>
      <w:bookmarkStart w:id="20" w:name="_GoBack"/>
      <w:bookmarkEnd w:id="20"/>
    </w:p>
    <w:p>
      <w:pPr>
        <w:pStyle w:val="2"/>
        <w:spacing w:line="360" w:lineRule="auto"/>
        <w:rPr>
          <w:rFonts w:ascii="黑体" w:eastAsia="黑体"/>
          <w:b/>
          <w:color w:val="auto"/>
          <w:sz w:val="52"/>
        </w:rPr>
      </w:pPr>
    </w:p>
    <w:p>
      <w:pPr>
        <w:pStyle w:val="2"/>
        <w:spacing w:line="360" w:lineRule="auto"/>
        <w:rPr>
          <w:rFonts w:ascii="黑体" w:eastAsia="黑体"/>
          <w:b/>
          <w:color w:val="auto"/>
          <w:sz w:val="52"/>
        </w:rPr>
      </w:pPr>
    </w:p>
    <w:p>
      <w:pPr>
        <w:spacing w:line="360" w:lineRule="auto"/>
        <w:jc w:val="center"/>
        <w:rPr>
          <w:rFonts w:ascii="黑体" w:eastAsia="黑体"/>
          <w:b/>
          <w:color w:val="auto"/>
          <w:sz w:val="52"/>
        </w:rPr>
      </w:pPr>
    </w:p>
    <w:p>
      <w:pPr>
        <w:spacing w:line="360" w:lineRule="auto"/>
        <w:jc w:val="center"/>
        <w:rPr>
          <w:rFonts w:ascii="仿宋_GB2312" w:hAnsi="仿宋" w:eastAsia="仿宋_GB2312"/>
          <w:color w:val="auto"/>
          <w:sz w:val="28"/>
        </w:rPr>
      </w:pPr>
      <w:r>
        <w:rPr>
          <w:rFonts w:hint="eastAsia" w:ascii="仿宋_GB2312" w:hAnsi="仿宋" w:eastAsia="仿宋_GB2312"/>
          <w:color w:val="auto"/>
          <w:sz w:val="28"/>
        </w:rPr>
        <w:t>南方电网数字电网科技（广东）有限公司</w:t>
      </w:r>
    </w:p>
    <w:p>
      <w:pPr>
        <w:pStyle w:val="2"/>
        <w:spacing w:line="360" w:lineRule="auto"/>
        <w:rPr>
          <w:color w:val="auto"/>
        </w:rPr>
      </w:pPr>
    </w:p>
    <w:p>
      <w:pPr>
        <w:pStyle w:val="2"/>
        <w:spacing w:line="360" w:lineRule="auto"/>
        <w:jc w:val="center"/>
        <w:rPr>
          <w:rFonts w:eastAsia="仿宋_GB2312"/>
          <w:color w:val="auto"/>
        </w:rPr>
      </w:pPr>
      <w:r>
        <w:rPr>
          <w:rFonts w:hint="eastAsia" w:ascii="仿宋_GB2312" w:hAnsi="仿宋" w:eastAsia="仿宋_GB2312"/>
          <w:color w:val="auto"/>
          <w:sz w:val="28"/>
        </w:rPr>
        <w:t>202</w:t>
      </w:r>
      <w:r>
        <w:rPr>
          <w:rFonts w:hint="eastAsia" w:ascii="仿宋_GB2312" w:hAnsi="仿宋" w:eastAsia="仿宋_GB2312"/>
          <w:color w:val="auto"/>
          <w:sz w:val="28"/>
          <w:lang w:val="en-US" w:eastAsia="zh-CN"/>
        </w:rPr>
        <w:t>6</w:t>
      </w:r>
      <w:r>
        <w:rPr>
          <w:rFonts w:hint="eastAsia" w:ascii="仿宋_GB2312" w:hAnsi="仿宋" w:eastAsia="仿宋_GB2312"/>
          <w:color w:val="auto"/>
          <w:sz w:val="28"/>
        </w:rPr>
        <w:t>年</w:t>
      </w:r>
      <w:r>
        <w:rPr>
          <w:rFonts w:hint="eastAsia" w:ascii="仿宋_GB2312" w:hAnsi="仿宋" w:eastAsia="仿宋_GB2312"/>
          <w:color w:val="auto"/>
          <w:sz w:val="28"/>
          <w:lang w:val="en-US" w:eastAsia="zh-CN"/>
        </w:rPr>
        <w:t>6</w:t>
      </w:r>
      <w:r>
        <w:rPr>
          <w:rFonts w:hint="eastAsia" w:ascii="仿宋_GB2312" w:hAnsi="仿宋" w:eastAsia="仿宋_GB2312"/>
          <w:color w:val="auto"/>
          <w:sz w:val="28"/>
        </w:rPr>
        <w:t>月</w:t>
      </w:r>
    </w:p>
    <w:p>
      <w:pPr>
        <w:spacing w:line="360" w:lineRule="auto"/>
        <w:outlineLvl w:val="0"/>
        <w:rPr>
          <w:rFonts w:asciiTheme="minorEastAsia" w:hAnsiTheme="minorEastAsia" w:eastAsiaTheme="minorEastAsia" w:cstheme="minorEastAsia"/>
          <w:b/>
          <w:color w:val="auto"/>
          <w:sz w:val="28"/>
          <w:szCs w:val="28"/>
        </w:rPr>
      </w:pPr>
      <w:bookmarkStart w:id="0" w:name="_Toc4944"/>
      <w:bookmarkStart w:id="1" w:name="_Toc15233"/>
    </w:p>
    <w:p>
      <w:pPr>
        <w:spacing w:line="360" w:lineRule="auto"/>
        <w:outlineLvl w:val="0"/>
        <w:rPr>
          <w:rFonts w:asciiTheme="minorEastAsia" w:hAnsiTheme="minorEastAsia" w:eastAsiaTheme="minorEastAsia" w:cstheme="minorEastAsia"/>
          <w:b/>
          <w:color w:val="auto"/>
          <w:sz w:val="28"/>
          <w:szCs w:val="28"/>
        </w:rPr>
      </w:pPr>
    </w:p>
    <w:p>
      <w:pPr>
        <w:spacing w:line="360" w:lineRule="auto"/>
        <w:outlineLvl w:val="0"/>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1.总则</w:t>
      </w:r>
      <w:bookmarkEnd w:id="0"/>
      <w:bookmarkEnd w:id="1"/>
    </w:p>
    <w:p>
      <w:pPr>
        <w:spacing w:line="360" w:lineRule="auto"/>
        <w:ind w:firstLine="42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本技术规范书是买方对</w:t>
      </w:r>
      <w:r>
        <w:rPr>
          <w:rFonts w:hint="eastAsia" w:asciiTheme="minorEastAsia" w:hAnsiTheme="minorEastAsia" w:eastAsiaTheme="minorEastAsia" w:cstheme="minorEastAsia"/>
          <w:color w:val="auto"/>
          <w:szCs w:val="21"/>
          <w:u w:val="single"/>
        </w:rPr>
        <w:t>数字电网科技公司202</w:t>
      </w:r>
      <w:r>
        <w:rPr>
          <w:rFonts w:hint="eastAsia" w:asciiTheme="minorEastAsia" w:hAnsiTheme="minorEastAsia" w:eastAsiaTheme="minorEastAsia" w:cstheme="minorEastAsia"/>
          <w:color w:val="auto"/>
          <w:szCs w:val="21"/>
          <w:u w:val="single"/>
          <w:lang w:val="en-US" w:eastAsia="zh-CN"/>
        </w:rPr>
        <w:t>6</w:t>
      </w:r>
      <w:r>
        <w:rPr>
          <w:rFonts w:hint="eastAsia" w:asciiTheme="minorEastAsia" w:hAnsiTheme="minorEastAsia" w:eastAsiaTheme="minorEastAsia" w:cstheme="minorEastAsia"/>
          <w:color w:val="auto"/>
          <w:szCs w:val="21"/>
          <w:u w:val="single"/>
        </w:rPr>
        <w:t>年基于前端识别和多机协同的配网快速勘灾关键技术研究及应用</w:t>
      </w:r>
      <w:r>
        <w:rPr>
          <w:rFonts w:hint="eastAsia" w:asciiTheme="minorEastAsia" w:hAnsiTheme="minorEastAsia" w:eastAsiaTheme="minorEastAsia" w:cstheme="minorEastAsia"/>
          <w:color w:val="auto"/>
          <w:szCs w:val="21"/>
          <w:u w:val="single"/>
          <w:lang w:val="en-US" w:eastAsia="zh-CN"/>
        </w:rPr>
        <w:t>科学技术成果鉴定技术服务</w:t>
      </w:r>
      <w:r>
        <w:rPr>
          <w:rFonts w:hint="eastAsia" w:asciiTheme="minorEastAsia" w:hAnsiTheme="minorEastAsia" w:eastAsiaTheme="minorEastAsia" w:cstheme="minorEastAsia"/>
          <w:color w:val="auto"/>
          <w:szCs w:val="21"/>
          <w:u w:val="single"/>
        </w:rPr>
        <w:t>采购</w:t>
      </w:r>
      <w:r>
        <w:rPr>
          <w:rFonts w:hint="eastAsia" w:asciiTheme="minorEastAsia" w:hAnsiTheme="minorEastAsia" w:eastAsiaTheme="minorEastAsia" w:cstheme="minorEastAsia"/>
          <w:color w:val="auto"/>
          <w:szCs w:val="21"/>
        </w:rPr>
        <w:t>的卖方提出的技术要求，卖方提供的各项</w:t>
      </w:r>
      <w:r>
        <w:rPr>
          <w:rFonts w:hint="eastAsia" w:asciiTheme="minorEastAsia" w:hAnsiTheme="minorEastAsia" w:eastAsiaTheme="minorEastAsia" w:cstheme="minorEastAsia"/>
          <w:color w:val="auto"/>
          <w:szCs w:val="21"/>
          <w:lang w:val="en-US" w:eastAsia="zh-CN"/>
        </w:rPr>
        <w:t>成果鉴定技术服务</w:t>
      </w:r>
      <w:r>
        <w:rPr>
          <w:rFonts w:hint="eastAsia" w:asciiTheme="minorEastAsia" w:hAnsiTheme="minorEastAsia" w:eastAsiaTheme="minorEastAsia" w:cstheme="minorEastAsia"/>
          <w:color w:val="auto"/>
          <w:szCs w:val="21"/>
        </w:rPr>
        <w:t>应完全符合买方指明的标准，并满足或高于买方的技术要求。</w:t>
      </w:r>
    </w:p>
    <w:p>
      <w:pPr>
        <w:spacing w:line="360" w:lineRule="auto"/>
        <w:outlineLvl w:val="0"/>
        <w:rPr>
          <w:rFonts w:asciiTheme="minorEastAsia" w:hAnsiTheme="minorEastAsia" w:eastAsiaTheme="minorEastAsia" w:cstheme="minorEastAsia"/>
          <w:b/>
          <w:color w:val="auto"/>
          <w:szCs w:val="21"/>
        </w:rPr>
      </w:pPr>
      <w:bookmarkStart w:id="2" w:name="_Toc7891"/>
      <w:bookmarkStart w:id="3" w:name="_Toc730"/>
      <w:r>
        <w:rPr>
          <w:rFonts w:hint="eastAsia" w:asciiTheme="minorEastAsia" w:hAnsiTheme="minorEastAsia" w:eastAsiaTheme="minorEastAsia" w:cstheme="minorEastAsia"/>
          <w:b/>
          <w:color w:val="auto"/>
          <w:szCs w:val="21"/>
        </w:rPr>
        <w:t>2 项目概况</w:t>
      </w:r>
      <w:bookmarkEnd w:id="2"/>
      <w:bookmarkEnd w:id="3"/>
    </w:p>
    <w:p>
      <w:pPr>
        <w:spacing w:line="360" w:lineRule="auto"/>
        <w:ind w:firstLine="413" w:firstLineChars="196"/>
        <w:outlineLvl w:val="1"/>
        <w:rPr>
          <w:rFonts w:asciiTheme="minorEastAsia" w:hAnsiTheme="minorEastAsia" w:eastAsiaTheme="minorEastAsia" w:cstheme="minorEastAsia"/>
          <w:b/>
          <w:color w:val="auto"/>
          <w:szCs w:val="21"/>
        </w:rPr>
      </w:pPr>
      <w:bookmarkStart w:id="4" w:name="_Toc2198"/>
      <w:bookmarkStart w:id="5" w:name="_Toc18713"/>
      <w:r>
        <w:rPr>
          <w:rFonts w:hint="eastAsia" w:asciiTheme="minorEastAsia" w:hAnsiTheme="minorEastAsia" w:eastAsiaTheme="minorEastAsia" w:cstheme="minorEastAsia"/>
          <w:b/>
          <w:color w:val="auto"/>
          <w:szCs w:val="21"/>
        </w:rPr>
        <w:t>2.1 项目背景</w:t>
      </w:r>
      <w:bookmarkEnd w:id="4"/>
      <w:bookmarkEnd w:id="5"/>
    </w:p>
    <w:p>
      <w:pPr>
        <w:spacing w:line="360" w:lineRule="auto"/>
        <w:ind w:firstLine="420"/>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本项目由买方提供电力灾损前端轻量化实时智能识别技术</w:t>
      </w:r>
      <w:r>
        <w:rPr>
          <w:rFonts w:hint="eastAsia" w:asciiTheme="minorEastAsia" w:hAnsiTheme="minorEastAsia" w:eastAsiaTheme="minorEastAsia" w:cstheme="minorEastAsia"/>
          <w:color w:val="auto"/>
          <w:szCs w:val="21"/>
          <w:lang w:eastAsia="zh-CN"/>
        </w:rPr>
        <w:t>、极端灾害环境电力无人机集群勘灾控制技术、无公网条件下的北斗星地协同无缝高精度定位技术、一体化应急勘灾装置、灾情研判指挥决策系统</w:t>
      </w:r>
      <w:r>
        <w:rPr>
          <w:rFonts w:hint="eastAsia" w:asciiTheme="minorEastAsia" w:hAnsiTheme="minorEastAsia" w:eastAsiaTheme="minorEastAsia" w:cstheme="minorEastAsia"/>
          <w:color w:val="auto"/>
          <w:szCs w:val="21"/>
          <w:lang w:val="en-US" w:eastAsia="zh-CN"/>
        </w:rPr>
        <w:t>等内容。</w:t>
      </w:r>
    </w:p>
    <w:p>
      <w:pPr>
        <w:spacing w:line="360" w:lineRule="auto"/>
        <w:ind w:firstLine="420"/>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本项目要求卖方根据技术指标要求对</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基于前端识别和多机协同的配网快速勘灾关键技术研究及应用</w:t>
      </w:r>
      <w:r>
        <w:rPr>
          <w:rFonts w:hint="eastAsia" w:asciiTheme="minorEastAsia" w:hAnsiTheme="minorEastAsia" w:eastAsiaTheme="minorEastAsia" w:cstheme="minorEastAsia"/>
          <w:color w:val="auto"/>
          <w:szCs w:val="21"/>
          <w:lang w:val="en-US" w:eastAsia="zh-CN"/>
        </w:rPr>
        <w:t>项目”相关科技成果开展成果鉴定技术服务。</w:t>
      </w:r>
    </w:p>
    <w:p>
      <w:pPr>
        <w:spacing w:line="360" w:lineRule="auto"/>
        <w:ind w:firstLine="413" w:firstLineChars="196"/>
        <w:outlineLvl w:val="1"/>
        <w:rPr>
          <w:rFonts w:asciiTheme="minorEastAsia" w:hAnsiTheme="minorEastAsia" w:eastAsiaTheme="minorEastAsia" w:cstheme="minorEastAsia"/>
          <w:b/>
          <w:color w:val="auto"/>
          <w:szCs w:val="21"/>
        </w:rPr>
      </w:pPr>
      <w:bookmarkStart w:id="6" w:name="_Toc26916"/>
      <w:bookmarkStart w:id="7" w:name="_Toc3515"/>
      <w:r>
        <w:rPr>
          <w:rFonts w:hint="eastAsia" w:asciiTheme="minorEastAsia" w:hAnsiTheme="minorEastAsia" w:eastAsiaTheme="minorEastAsia" w:cstheme="minorEastAsia"/>
          <w:b/>
          <w:color w:val="auto"/>
          <w:szCs w:val="21"/>
        </w:rPr>
        <w:t>2.2 采购服务清单</w:t>
      </w:r>
      <w:bookmarkEnd w:id="6"/>
      <w:bookmarkEnd w:id="7"/>
    </w:p>
    <w:p>
      <w:pPr>
        <w:snapToGrid w:val="0"/>
        <w:spacing w:line="360" w:lineRule="auto"/>
        <w:ind w:firstLine="560"/>
        <w:rPr>
          <w:rStyle w:val="15"/>
          <w:rFonts w:asciiTheme="minorEastAsia" w:hAnsiTheme="minorEastAsia" w:eastAsiaTheme="minorEastAsia" w:cstheme="minorEastAsia"/>
          <w:color w:val="auto"/>
          <w:szCs w:val="21"/>
          <w:u w:val="none"/>
        </w:rPr>
      </w:pPr>
      <w:r>
        <w:rPr>
          <w:rStyle w:val="15"/>
          <w:rFonts w:hint="eastAsia" w:asciiTheme="minorEastAsia" w:hAnsiTheme="minorEastAsia" w:eastAsiaTheme="minorEastAsia" w:cstheme="minorEastAsia"/>
          <w:color w:val="auto"/>
          <w:szCs w:val="21"/>
          <w:u w:val="none"/>
        </w:rPr>
        <w:t>2.2.1 采购服务清单及技术指标</w:t>
      </w:r>
    </w:p>
    <w:tbl>
      <w:tblPr>
        <w:tblStyle w:val="13"/>
        <w:tblW w:w="85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2842"/>
        <w:gridCol w:w="1701"/>
        <w:gridCol w:w="1619"/>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68" w:type="dxa"/>
            <w:vAlign w:val="center"/>
          </w:tcPr>
          <w:p>
            <w:pPr>
              <w:widowControl/>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2842" w:type="dxa"/>
            <w:vAlign w:val="center"/>
          </w:tcPr>
          <w:p>
            <w:pPr>
              <w:widowControl/>
              <w:adjustRightInd w:val="0"/>
              <w:snapToGrid w:val="0"/>
              <w:spacing w:line="360" w:lineRule="auto"/>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标的物名称</w:t>
            </w:r>
          </w:p>
        </w:tc>
        <w:tc>
          <w:tcPr>
            <w:tcW w:w="1701" w:type="dxa"/>
            <w:vAlign w:val="center"/>
          </w:tcPr>
          <w:p>
            <w:pPr>
              <w:widowControl/>
              <w:adjustRightInd w:val="0"/>
              <w:snapToGrid w:val="0"/>
              <w:spacing w:line="360" w:lineRule="auto"/>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技术指标</w:t>
            </w:r>
          </w:p>
        </w:tc>
        <w:tc>
          <w:tcPr>
            <w:tcW w:w="1619" w:type="dxa"/>
            <w:vAlign w:val="center"/>
          </w:tcPr>
          <w:p>
            <w:pPr>
              <w:widowControl/>
              <w:adjustRightInd w:val="0"/>
              <w:snapToGrid w:val="0"/>
              <w:spacing w:line="360" w:lineRule="auto"/>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数量(单位：份)</w:t>
            </w:r>
          </w:p>
        </w:tc>
        <w:tc>
          <w:tcPr>
            <w:tcW w:w="1745" w:type="dxa"/>
            <w:vAlign w:val="center"/>
          </w:tcPr>
          <w:p>
            <w:pPr>
              <w:adjustRightInd w:val="0"/>
              <w:snapToGrid w:val="0"/>
              <w:spacing w:line="360" w:lineRule="auto"/>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668" w:type="dxa"/>
            <w:vAlign w:val="center"/>
          </w:tcPr>
          <w:p>
            <w:pPr>
              <w:widowControl/>
              <w:spacing w:line="360" w:lineRule="auto"/>
              <w:jc w:val="center"/>
              <w:textAlignment w:val="bottom"/>
              <w:rPr>
                <w:rFonts w:asciiTheme="minorEastAsia" w:hAnsiTheme="minorEastAsia" w:eastAsiaTheme="minorEastAsia" w:cstheme="minorEastAsia"/>
                <w:color w:val="auto"/>
                <w:szCs w:val="21"/>
                <w:lang w:val="de-DE"/>
              </w:rPr>
            </w:pPr>
            <w:r>
              <w:rPr>
                <w:rFonts w:hint="eastAsia" w:ascii="宋体" w:hAnsi="宋体" w:cs="宋体"/>
                <w:color w:val="auto"/>
                <w:kern w:val="0"/>
                <w:szCs w:val="21"/>
              </w:rPr>
              <w:t>1</w:t>
            </w:r>
          </w:p>
        </w:tc>
        <w:tc>
          <w:tcPr>
            <w:tcW w:w="2842" w:type="dxa"/>
            <w:vAlign w:val="center"/>
          </w:tcPr>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olor w:val="auto"/>
              </w:rPr>
              <w:t>基于前端识别和多机协同的配网快速勘灾关键技术研究及应用科技成果鉴定技术服务</w:t>
            </w:r>
          </w:p>
        </w:tc>
        <w:tc>
          <w:tcPr>
            <w:tcW w:w="1701" w:type="dxa"/>
            <w:vAlign w:val="center"/>
          </w:tcPr>
          <w:p>
            <w:pPr>
              <w:widowControl/>
              <w:adjustRightInd w:val="0"/>
              <w:snapToGrid w:val="0"/>
              <w:spacing w:line="360" w:lineRule="auto"/>
              <w:jc w:val="cente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kern w:val="0"/>
                <w:szCs w:val="21"/>
              </w:rPr>
              <w:t>详见</w:t>
            </w:r>
            <w:r>
              <w:rPr>
                <w:rFonts w:hint="eastAsia" w:asciiTheme="minorEastAsia" w:hAnsiTheme="minorEastAsia" w:eastAsiaTheme="minorEastAsia" w:cstheme="minorEastAsia"/>
                <w:color w:val="auto"/>
                <w:kern w:val="0"/>
                <w:szCs w:val="21"/>
                <w:lang w:val="en-US" w:eastAsia="zh-CN"/>
              </w:rPr>
              <w:t>项目要求</w:t>
            </w:r>
          </w:p>
        </w:tc>
        <w:tc>
          <w:tcPr>
            <w:tcW w:w="1619" w:type="dxa"/>
            <w:vAlign w:val="center"/>
          </w:tcPr>
          <w:p>
            <w:pPr>
              <w:widowControl/>
              <w:spacing w:line="360" w:lineRule="auto"/>
              <w:jc w:val="center"/>
              <w:textAlignment w:val="bottom"/>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1</w:t>
            </w:r>
          </w:p>
        </w:tc>
        <w:tc>
          <w:tcPr>
            <w:tcW w:w="1745" w:type="dxa"/>
            <w:vAlign w:val="center"/>
          </w:tcPr>
          <w:p>
            <w:pPr>
              <w:widowControl/>
              <w:adjustRightInd w:val="0"/>
              <w:snapToGrid w:val="0"/>
              <w:spacing w:line="360" w:lineRule="auto"/>
              <w:rPr>
                <w:rFonts w:asciiTheme="minorEastAsia" w:hAnsiTheme="minorEastAsia" w:eastAsiaTheme="minorEastAsia" w:cstheme="minorEastAsia"/>
                <w:color w:val="auto"/>
                <w:szCs w:val="21"/>
              </w:rPr>
            </w:pPr>
          </w:p>
        </w:tc>
      </w:tr>
    </w:tbl>
    <w:p>
      <w:pPr>
        <w:pStyle w:val="10"/>
        <w:tabs>
          <w:tab w:val="right" w:leader="dot" w:pos="8296"/>
        </w:tabs>
        <w:spacing w:line="360" w:lineRule="auto"/>
        <w:ind w:left="0" w:leftChars="0"/>
        <w:jc w:val="left"/>
        <w:rPr>
          <w:rFonts w:asciiTheme="minorEastAsia" w:hAnsiTheme="minorEastAsia" w:eastAsiaTheme="minorEastAsia" w:cstheme="minorEastAsia"/>
          <w:color w:val="auto"/>
          <w:szCs w:val="21"/>
        </w:rPr>
      </w:pPr>
    </w:p>
    <w:p>
      <w:pPr>
        <w:spacing w:line="360" w:lineRule="auto"/>
        <w:outlineLvl w:val="0"/>
        <w:rPr>
          <w:rFonts w:asciiTheme="minorEastAsia" w:hAnsiTheme="minorEastAsia" w:eastAsiaTheme="minorEastAsia" w:cstheme="minorEastAsia"/>
          <w:b/>
          <w:color w:val="auto"/>
          <w:szCs w:val="21"/>
        </w:rPr>
      </w:pPr>
      <w:bookmarkStart w:id="8" w:name="_Toc17072"/>
      <w:bookmarkStart w:id="9" w:name="_Toc12636"/>
      <w:r>
        <w:rPr>
          <w:rFonts w:hint="eastAsia" w:asciiTheme="minorEastAsia" w:hAnsiTheme="minorEastAsia" w:eastAsiaTheme="minorEastAsia" w:cstheme="minorEastAsia"/>
          <w:b/>
          <w:color w:val="auto"/>
          <w:szCs w:val="21"/>
        </w:rPr>
        <w:t>3项目要求</w:t>
      </w:r>
      <w:bookmarkEnd w:id="8"/>
      <w:bookmarkEnd w:id="9"/>
    </w:p>
    <w:p>
      <w:pPr>
        <w:spacing w:line="360" w:lineRule="auto"/>
        <w:ind w:firstLine="413" w:firstLineChars="196"/>
        <w:outlineLvl w:val="1"/>
        <w:rPr>
          <w:rFonts w:hint="eastAsia" w:asciiTheme="minorEastAsia" w:hAnsiTheme="minorEastAsia" w:eastAsiaTheme="minorEastAsia" w:cstheme="minorEastAsia"/>
          <w:b/>
          <w:color w:val="auto"/>
          <w:szCs w:val="21"/>
          <w:lang w:val="en-US" w:eastAsia="zh-CN"/>
        </w:rPr>
      </w:pPr>
      <w:bookmarkStart w:id="10" w:name="_Toc7584"/>
      <w:bookmarkStart w:id="11" w:name="_Toc29592"/>
      <w:r>
        <w:rPr>
          <w:rFonts w:hint="eastAsia" w:asciiTheme="minorEastAsia" w:hAnsiTheme="minorEastAsia" w:eastAsiaTheme="minorEastAsia" w:cstheme="minorEastAsia"/>
          <w:b/>
          <w:color w:val="auto"/>
          <w:szCs w:val="21"/>
        </w:rPr>
        <w:t xml:space="preserve">3.1 </w:t>
      </w:r>
      <w:bookmarkEnd w:id="10"/>
      <w:bookmarkEnd w:id="11"/>
      <w:r>
        <w:rPr>
          <w:rFonts w:hint="eastAsia" w:asciiTheme="minorEastAsia" w:hAnsiTheme="minorEastAsia" w:eastAsiaTheme="minorEastAsia" w:cstheme="minorEastAsia"/>
          <w:b/>
          <w:color w:val="auto"/>
          <w:szCs w:val="21"/>
          <w:lang w:val="en-US" w:eastAsia="zh-CN"/>
        </w:rPr>
        <w:t>服务内容</w:t>
      </w:r>
    </w:p>
    <w:p>
      <w:pPr>
        <w:spacing w:line="360" w:lineRule="auto"/>
        <w:ind w:firstLine="420"/>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本项目要求卖方根据技术指标要求</w:t>
      </w:r>
      <w:r>
        <w:rPr>
          <w:rFonts w:hint="eastAsia" w:asciiTheme="minorEastAsia" w:hAnsiTheme="minorEastAsia" w:eastAsiaTheme="minorEastAsia" w:cstheme="minorEastAsia"/>
          <w:color w:val="auto"/>
          <w:szCs w:val="21"/>
          <w:lang w:val="en-US" w:eastAsia="zh-CN"/>
        </w:rPr>
        <w:t>对“基于前端识别和多机协同的配网快速勘灾关键技术研究及应用”项目开展科技成果鉴定技术工作，并完成以下内容：</w:t>
      </w:r>
    </w:p>
    <w:p>
      <w:pPr>
        <w:pStyle w:val="2"/>
        <w:spacing w:line="360" w:lineRule="auto"/>
        <w:ind w:firstLine="420" w:firstLineChars="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（1） </w:t>
      </w:r>
      <w:r>
        <w:rPr>
          <w:rFonts w:hint="eastAsia" w:asciiTheme="minorEastAsia" w:hAnsiTheme="minorEastAsia" w:eastAsiaTheme="minorEastAsia" w:cstheme="minorEastAsia"/>
          <w:color w:val="auto"/>
          <w:szCs w:val="21"/>
          <w:lang w:val="en-US" w:eastAsia="zh-CN"/>
        </w:rPr>
        <w:t>需组织院士专家评审团队，对科技成果进行技术鉴定</w:t>
      </w:r>
      <w:r>
        <w:rPr>
          <w:rFonts w:hint="eastAsia" w:asciiTheme="minorEastAsia" w:hAnsiTheme="minorEastAsia" w:eastAsiaTheme="minorEastAsia" w:cstheme="minorEastAsia"/>
          <w:color w:val="auto"/>
          <w:szCs w:val="21"/>
        </w:rPr>
        <w:t>；</w:t>
      </w:r>
    </w:p>
    <w:p>
      <w:pPr>
        <w:pStyle w:val="2"/>
        <w:spacing w:line="360" w:lineRule="auto"/>
        <w:ind w:firstLine="420" w:firstLineChars="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rPr>
        <w:t>） 完成申请评价项目资料形式审查，指导项目资料补正；</w:t>
      </w:r>
    </w:p>
    <w:p>
      <w:pPr>
        <w:pStyle w:val="2"/>
        <w:spacing w:line="360" w:lineRule="auto"/>
        <w:ind w:firstLine="420" w:firstLineChars="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3</w:t>
      </w:r>
      <w:r>
        <w:rPr>
          <w:rFonts w:hint="eastAsia" w:asciiTheme="minorEastAsia" w:hAnsiTheme="minorEastAsia" w:eastAsiaTheme="minorEastAsia" w:cstheme="minorEastAsia"/>
          <w:color w:val="auto"/>
          <w:szCs w:val="21"/>
        </w:rPr>
        <w:t>） 确定主持评价单位，组织遴选并邀请评价专家，落实评价时间、地点等事项；</w:t>
      </w:r>
    </w:p>
    <w:p>
      <w:pPr>
        <w:pStyle w:val="2"/>
        <w:spacing w:line="360" w:lineRule="auto"/>
        <w:ind w:firstLine="420" w:firstLineChars="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4</w:t>
      </w:r>
      <w:r>
        <w:rPr>
          <w:rFonts w:hint="eastAsia" w:asciiTheme="minorEastAsia" w:hAnsiTheme="minorEastAsia" w:eastAsiaTheme="minorEastAsia" w:cstheme="minorEastAsia"/>
          <w:color w:val="auto"/>
          <w:szCs w:val="21"/>
        </w:rPr>
        <w:t>） 确定会议程序，主持评价会议；</w:t>
      </w:r>
    </w:p>
    <w:p>
      <w:pPr>
        <w:pStyle w:val="2"/>
        <w:spacing w:line="360" w:lineRule="auto"/>
        <w:ind w:firstLine="420" w:firstLineChars="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5</w:t>
      </w:r>
      <w:r>
        <w:rPr>
          <w:rFonts w:hint="eastAsia" w:asciiTheme="minorEastAsia" w:hAnsiTheme="minorEastAsia" w:eastAsiaTheme="minorEastAsia" w:cstheme="minorEastAsia"/>
          <w:color w:val="auto"/>
          <w:szCs w:val="21"/>
        </w:rPr>
        <w:t>） 审定并制发科技评价证书。</w:t>
      </w:r>
    </w:p>
    <w:p>
      <w:pPr>
        <w:spacing w:line="360" w:lineRule="auto"/>
        <w:ind w:firstLine="413" w:firstLineChars="196"/>
        <w:outlineLvl w:val="1"/>
        <w:rPr>
          <w:rFonts w:hint="default" w:asciiTheme="minorEastAsia" w:hAnsiTheme="minorEastAsia" w:eastAsiaTheme="minorEastAsia" w:cstheme="minorEastAsia"/>
          <w:b/>
          <w:color w:val="auto"/>
          <w:szCs w:val="21"/>
          <w:lang w:val="en-US" w:eastAsia="zh-CN"/>
        </w:rPr>
      </w:pPr>
      <w:r>
        <w:rPr>
          <w:rFonts w:hint="eastAsia" w:asciiTheme="minorEastAsia" w:hAnsiTheme="minorEastAsia" w:eastAsiaTheme="minorEastAsia" w:cstheme="minorEastAsia"/>
          <w:b/>
          <w:color w:val="auto"/>
          <w:szCs w:val="21"/>
        </w:rPr>
        <w:t>3.</w:t>
      </w:r>
      <w:r>
        <w:rPr>
          <w:rFonts w:hint="eastAsia" w:asciiTheme="minorEastAsia" w:hAnsiTheme="minorEastAsia" w:eastAsiaTheme="minorEastAsia" w:cstheme="minorEastAsia"/>
          <w:b/>
          <w:color w:val="auto"/>
          <w:szCs w:val="21"/>
          <w:lang w:val="en-US" w:eastAsia="zh-CN"/>
        </w:rPr>
        <w:t>2</w:t>
      </w:r>
      <w:r>
        <w:rPr>
          <w:rFonts w:hint="eastAsia" w:asciiTheme="minorEastAsia" w:hAnsiTheme="minorEastAsia" w:eastAsiaTheme="minorEastAsia" w:cstheme="minorEastAsia"/>
          <w:b/>
          <w:color w:val="auto"/>
          <w:szCs w:val="21"/>
        </w:rPr>
        <w:t xml:space="preserve"> </w:t>
      </w:r>
      <w:r>
        <w:rPr>
          <w:rFonts w:hint="eastAsia" w:asciiTheme="minorEastAsia" w:hAnsiTheme="minorEastAsia" w:eastAsiaTheme="minorEastAsia" w:cstheme="minorEastAsia"/>
          <w:b/>
          <w:color w:val="auto"/>
          <w:szCs w:val="21"/>
          <w:lang w:val="en-US" w:eastAsia="zh-CN"/>
        </w:rPr>
        <w:t>鉴定内容要求</w:t>
      </w:r>
    </w:p>
    <w:p>
      <w:pPr>
        <w:pStyle w:val="2"/>
        <w:bidi w:val="0"/>
        <w:spacing w:line="360" w:lineRule="auto"/>
        <w:ind w:firstLine="420" w:firstLineChars="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val="en-US" w:eastAsia="zh-CN"/>
        </w:rPr>
        <w:t>1</w:t>
      </w:r>
      <w:r>
        <w:rPr>
          <w:rFonts w:hint="eastAsia" w:asciiTheme="minorEastAsia" w:hAnsiTheme="minorEastAsia" w:eastAsiaTheme="minorEastAsia" w:cstheme="minorEastAsia"/>
          <w:color w:val="auto"/>
        </w:rPr>
        <w:t>） 电力灾损前端轻量化实时智能识别技术研究</w:t>
      </w:r>
    </w:p>
    <w:p>
      <w:pPr>
        <w:pStyle w:val="2"/>
        <w:bidi w:val="0"/>
        <w:spacing w:line="360" w:lineRule="auto"/>
        <w:ind w:firstLine="420" w:firstLineChars="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val="en-US" w:eastAsia="zh-CN"/>
        </w:rPr>
        <w:t>2</w:t>
      </w:r>
      <w:r>
        <w:rPr>
          <w:rFonts w:hint="eastAsia" w:asciiTheme="minorEastAsia" w:hAnsiTheme="minorEastAsia" w:eastAsiaTheme="minorEastAsia" w:cstheme="minorEastAsia"/>
          <w:color w:val="auto"/>
        </w:rPr>
        <w:t>） 极端灾害环境电力无人机集群勘灾控制技术研究</w:t>
      </w:r>
    </w:p>
    <w:p>
      <w:pPr>
        <w:pStyle w:val="2"/>
        <w:bidi w:val="0"/>
        <w:spacing w:line="360" w:lineRule="auto"/>
        <w:ind w:firstLine="420" w:firstLineChars="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val="en-US" w:eastAsia="zh-CN"/>
        </w:rPr>
        <w:t>3</w:t>
      </w:r>
      <w:r>
        <w:rPr>
          <w:rFonts w:hint="eastAsia" w:asciiTheme="minorEastAsia" w:hAnsiTheme="minorEastAsia" w:eastAsiaTheme="minorEastAsia" w:cstheme="minorEastAsia"/>
          <w:color w:val="auto"/>
        </w:rPr>
        <w:t>） 无公网条件下的北斗星地协同无缝高精度定位技术研究</w:t>
      </w:r>
    </w:p>
    <w:p>
      <w:pPr>
        <w:pStyle w:val="2"/>
        <w:bidi w:val="0"/>
        <w:spacing w:line="360" w:lineRule="auto"/>
        <w:ind w:firstLine="420" w:firstLineChars="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val="en-US" w:eastAsia="zh-CN"/>
        </w:rPr>
        <w:t>4</w:t>
      </w:r>
      <w:r>
        <w:rPr>
          <w:rFonts w:hint="eastAsia" w:asciiTheme="minorEastAsia" w:hAnsiTheme="minorEastAsia" w:eastAsiaTheme="minorEastAsia" w:cstheme="minorEastAsia"/>
          <w:color w:val="auto"/>
        </w:rPr>
        <w:t>） 一体化应急勘灾装置</w:t>
      </w:r>
    </w:p>
    <w:p>
      <w:pPr>
        <w:bidi w:val="0"/>
        <w:spacing w:line="360" w:lineRule="auto"/>
        <w:ind w:firstLine="420" w:firstLineChars="0"/>
        <w:rPr>
          <w:color w:val="auto"/>
        </w:rPr>
      </w:pP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val="en-US" w:eastAsia="zh-CN"/>
        </w:rPr>
        <w:t>5</w:t>
      </w:r>
      <w:r>
        <w:rPr>
          <w:rFonts w:hint="eastAsia" w:asciiTheme="minorEastAsia" w:hAnsiTheme="minorEastAsia" w:eastAsiaTheme="minorEastAsia" w:cstheme="minorEastAsia"/>
          <w:color w:val="auto"/>
        </w:rPr>
        <w:t xml:space="preserve">） </w:t>
      </w:r>
      <w:r>
        <w:rPr>
          <w:rFonts w:hint="default"/>
          <w:color w:val="auto"/>
        </w:rPr>
        <w:t>灾情研判指挥决策系统</w:t>
      </w:r>
    </w:p>
    <w:p>
      <w:pPr>
        <w:spacing w:line="360" w:lineRule="auto"/>
        <w:outlineLvl w:val="0"/>
        <w:rPr>
          <w:rFonts w:asciiTheme="minorEastAsia" w:hAnsiTheme="minorEastAsia" w:eastAsiaTheme="minorEastAsia" w:cstheme="minorEastAsia"/>
          <w:b/>
          <w:color w:val="auto"/>
          <w:szCs w:val="21"/>
        </w:rPr>
      </w:pPr>
      <w:bookmarkStart w:id="12" w:name="_Toc1396"/>
      <w:bookmarkStart w:id="13" w:name="_Toc21466"/>
      <w:r>
        <w:rPr>
          <w:rFonts w:hint="eastAsia" w:asciiTheme="minorEastAsia" w:hAnsiTheme="minorEastAsia" w:eastAsiaTheme="minorEastAsia" w:cstheme="minorEastAsia"/>
          <w:b/>
          <w:color w:val="auto"/>
          <w:szCs w:val="21"/>
        </w:rPr>
        <w:t>4 项目实施保证</w:t>
      </w:r>
      <w:bookmarkEnd w:id="12"/>
      <w:bookmarkEnd w:id="13"/>
    </w:p>
    <w:p>
      <w:pPr>
        <w:spacing w:line="360" w:lineRule="auto"/>
        <w:ind w:firstLine="413" w:firstLineChars="196"/>
        <w:outlineLvl w:val="1"/>
        <w:rPr>
          <w:rFonts w:asciiTheme="minorEastAsia" w:hAnsiTheme="minorEastAsia" w:eastAsiaTheme="minorEastAsia" w:cstheme="minorEastAsia"/>
          <w:b/>
          <w:color w:val="auto"/>
          <w:szCs w:val="21"/>
        </w:rPr>
      </w:pPr>
      <w:bookmarkStart w:id="14" w:name="_Toc18202"/>
      <w:bookmarkStart w:id="15" w:name="_Toc11665"/>
      <w:r>
        <w:rPr>
          <w:rFonts w:hint="eastAsia" w:asciiTheme="minorEastAsia" w:hAnsiTheme="minorEastAsia" w:eastAsiaTheme="minorEastAsia" w:cstheme="minorEastAsia"/>
          <w:b/>
          <w:color w:val="auto"/>
          <w:szCs w:val="21"/>
        </w:rPr>
        <w:t>4.1 质量保证</w:t>
      </w:r>
      <w:bookmarkEnd w:id="14"/>
      <w:bookmarkEnd w:id="15"/>
    </w:p>
    <w:p>
      <w:pPr>
        <w:pStyle w:val="2"/>
        <w:spacing w:line="360" w:lineRule="auto"/>
        <w:ind w:firstLine="42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项目验收时</w:t>
      </w:r>
      <w:r>
        <w:rPr>
          <w:rFonts w:hint="eastAsia" w:asciiTheme="minorEastAsia" w:hAnsiTheme="minorEastAsia" w:eastAsiaTheme="minorEastAsia" w:cstheme="minorEastAsia"/>
          <w:color w:val="auto"/>
          <w:szCs w:val="21"/>
          <w:lang w:val="en-US" w:eastAsia="zh-CN"/>
        </w:rPr>
        <w:t>需提供符合</w:t>
      </w:r>
      <w:r>
        <w:rPr>
          <w:rFonts w:hint="eastAsia" w:asciiTheme="minorEastAsia" w:hAnsiTheme="minorEastAsia" w:eastAsiaTheme="minorEastAsia" w:cstheme="minorEastAsia"/>
          <w:color w:val="auto"/>
          <w:szCs w:val="21"/>
        </w:rPr>
        <w:t>买方</w:t>
      </w:r>
      <w:r>
        <w:rPr>
          <w:rFonts w:hint="eastAsia" w:asciiTheme="minorEastAsia" w:hAnsiTheme="minorEastAsia" w:eastAsiaTheme="minorEastAsia" w:cstheme="minorEastAsia"/>
          <w:color w:val="auto"/>
          <w:szCs w:val="21"/>
          <w:lang w:val="en-US" w:eastAsia="zh-CN"/>
        </w:rPr>
        <w:t>要求的相关成果鉴定技术文件</w:t>
      </w:r>
      <w:r>
        <w:rPr>
          <w:rFonts w:hint="eastAsia"/>
          <w:color w:val="auto"/>
          <w:szCs w:val="21"/>
        </w:rPr>
        <w:t>。</w:t>
      </w:r>
    </w:p>
    <w:p>
      <w:pPr>
        <w:spacing w:line="360" w:lineRule="auto"/>
        <w:ind w:firstLine="413" w:firstLineChars="196"/>
        <w:outlineLvl w:val="1"/>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4.2 技术支持</w:t>
      </w:r>
    </w:p>
    <w:p>
      <w:pPr>
        <w:spacing w:line="360" w:lineRule="auto"/>
        <w:ind w:firstLine="420"/>
        <w:outlineLvl w:val="1"/>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为满足项目需求，报价方须具备</w:t>
      </w:r>
      <w:r>
        <w:rPr>
          <w:rFonts w:hint="eastAsia" w:asciiTheme="minorEastAsia" w:hAnsiTheme="minorEastAsia" w:eastAsiaTheme="minorEastAsia" w:cstheme="minorEastAsia"/>
          <w:color w:val="auto"/>
          <w:szCs w:val="21"/>
          <w:lang w:val="en-US" w:eastAsia="zh-CN"/>
        </w:rPr>
        <w:t>科学技术成果成果鉴定技术服务</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并可按照</w:t>
      </w:r>
      <w:r>
        <w:rPr>
          <w:rFonts w:hint="eastAsia" w:asciiTheme="minorEastAsia" w:hAnsiTheme="minorEastAsia" w:eastAsiaTheme="minorEastAsia" w:cstheme="minorEastAsia"/>
          <w:color w:val="auto"/>
          <w:szCs w:val="21"/>
        </w:rPr>
        <w:t>买方</w:t>
      </w:r>
      <w:r>
        <w:rPr>
          <w:rFonts w:hint="eastAsia" w:asciiTheme="minorEastAsia" w:hAnsiTheme="minorEastAsia" w:eastAsiaTheme="minorEastAsia" w:cstheme="minorEastAsia"/>
          <w:color w:val="auto"/>
          <w:szCs w:val="21"/>
          <w:lang w:val="en-US" w:eastAsia="zh-CN"/>
        </w:rPr>
        <w:t>要求完成科技成果技术鉴定工作</w:t>
      </w:r>
      <w:r>
        <w:rPr>
          <w:rFonts w:hint="eastAsia" w:asciiTheme="minorEastAsia" w:hAnsiTheme="minorEastAsia" w:eastAsiaTheme="minorEastAsia" w:cstheme="minorEastAsia"/>
          <w:color w:val="auto"/>
          <w:szCs w:val="21"/>
        </w:rPr>
        <w:t>。</w:t>
      </w:r>
    </w:p>
    <w:p>
      <w:pPr>
        <w:spacing w:line="360" w:lineRule="auto"/>
        <w:ind w:firstLine="413" w:firstLineChars="196"/>
        <w:outlineLvl w:val="1"/>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4.</w:t>
      </w:r>
      <w:r>
        <w:rPr>
          <w:rFonts w:hint="eastAsia" w:asciiTheme="minorEastAsia" w:hAnsiTheme="minorEastAsia" w:eastAsiaTheme="minorEastAsia" w:cstheme="minorEastAsia"/>
          <w:b/>
          <w:color w:val="auto"/>
          <w:szCs w:val="21"/>
          <w:lang w:val="en-US" w:eastAsia="zh-CN"/>
        </w:rPr>
        <w:t>3</w:t>
      </w:r>
      <w:r>
        <w:rPr>
          <w:rFonts w:hint="eastAsia" w:asciiTheme="minorEastAsia" w:hAnsiTheme="minorEastAsia" w:eastAsiaTheme="minorEastAsia" w:cstheme="minorEastAsia"/>
          <w:b/>
          <w:color w:val="auto"/>
          <w:szCs w:val="21"/>
        </w:rPr>
        <w:t xml:space="preserve"> 资质证明</w:t>
      </w:r>
    </w:p>
    <w:p>
      <w:pPr>
        <w:pStyle w:val="2"/>
        <w:spacing w:line="360" w:lineRule="auto"/>
        <w:ind w:firstLine="420" w:firstLineChars="0"/>
        <w:rPr>
          <w:rFonts w:hint="default"/>
          <w:lang w:val="en-US" w:eastAsia="zh-CN"/>
        </w:rPr>
      </w:pPr>
      <w:r>
        <w:rPr>
          <w:rFonts w:hint="default"/>
          <w:lang w:val="en-US" w:eastAsia="zh-CN"/>
        </w:rPr>
        <w:t>需提供至少</w:t>
      </w:r>
      <w:r>
        <w:rPr>
          <w:rFonts w:hint="eastAsia"/>
          <w:lang w:val="en-US" w:eastAsia="zh-CN"/>
        </w:rPr>
        <w:t>一</w:t>
      </w:r>
      <w:r>
        <w:rPr>
          <w:rFonts w:hint="default"/>
          <w:lang w:val="en-US" w:eastAsia="zh-CN"/>
        </w:rPr>
        <w:t>项输电线路无人机智能巡视相关科学技术成果评价相关业绩（包含中标通知书或合同关键页等证明材料）</w:t>
      </w:r>
    </w:p>
    <w:p>
      <w:pPr>
        <w:spacing w:line="360" w:lineRule="auto"/>
        <w:outlineLvl w:val="0"/>
        <w:rPr>
          <w:rFonts w:asciiTheme="minorEastAsia" w:hAnsiTheme="minorEastAsia" w:eastAsiaTheme="minorEastAsia" w:cstheme="minorEastAsia"/>
          <w:b/>
          <w:color w:val="auto"/>
          <w:szCs w:val="21"/>
        </w:rPr>
      </w:pPr>
      <w:bookmarkStart w:id="16" w:name="_Toc17796"/>
      <w:bookmarkStart w:id="17" w:name="_Toc12965"/>
      <w:r>
        <w:rPr>
          <w:rFonts w:hint="eastAsia" w:asciiTheme="minorEastAsia" w:hAnsiTheme="minorEastAsia" w:eastAsiaTheme="minorEastAsia" w:cstheme="minorEastAsia"/>
          <w:b/>
          <w:color w:val="auto"/>
          <w:szCs w:val="21"/>
        </w:rPr>
        <w:t>5 交货验收</w:t>
      </w:r>
      <w:bookmarkEnd w:id="16"/>
      <w:bookmarkEnd w:id="17"/>
    </w:p>
    <w:p>
      <w:pPr>
        <w:spacing w:line="360" w:lineRule="auto"/>
        <w:ind w:firstLine="413" w:firstLineChars="196"/>
        <w:outlineLvl w:val="1"/>
        <w:rPr>
          <w:rFonts w:asciiTheme="minorEastAsia" w:hAnsiTheme="minorEastAsia" w:eastAsiaTheme="minorEastAsia" w:cstheme="minorEastAsia"/>
          <w:b/>
          <w:color w:val="auto"/>
          <w:szCs w:val="21"/>
        </w:rPr>
      </w:pPr>
      <w:bookmarkStart w:id="18" w:name="_Toc5263"/>
      <w:bookmarkStart w:id="19" w:name="_Toc16233"/>
      <w:r>
        <w:rPr>
          <w:rFonts w:hint="eastAsia" w:asciiTheme="minorEastAsia" w:hAnsiTheme="minorEastAsia" w:eastAsiaTheme="minorEastAsia" w:cstheme="minorEastAsia"/>
          <w:b/>
          <w:color w:val="auto"/>
          <w:szCs w:val="21"/>
        </w:rPr>
        <w:t>5.</w:t>
      </w:r>
      <w:r>
        <w:rPr>
          <w:rFonts w:hint="eastAsia" w:asciiTheme="minorEastAsia" w:hAnsiTheme="minorEastAsia" w:eastAsiaTheme="minorEastAsia" w:cstheme="minorEastAsia"/>
          <w:b/>
          <w:color w:val="auto"/>
          <w:szCs w:val="21"/>
          <w:lang w:val="en-US" w:eastAsia="zh-CN"/>
        </w:rPr>
        <w:t>1</w:t>
      </w:r>
      <w:r>
        <w:rPr>
          <w:rFonts w:hint="eastAsia" w:asciiTheme="minorEastAsia" w:hAnsiTheme="minorEastAsia" w:eastAsiaTheme="minorEastAsia" w:cstheme="minorEastAsia"/>
          <w:b/>
          <w:color w:val="auto"/>
          <w:szCs w:val="21"/>
        </w:rPr>
        <w:t xml:space="preserve"> 验收方法</w:t>
      </w:r>
      <w:bookmarkEnd w:id="18"/>
      <w:bookmarkEnd w:id="19"/>
    </w:p>
    <w:p>
      <w:pPr>
        <w:spacing w:line="360" w:lineRule="auto"/>
        <w:ind w:firstLine="56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根据买方项目要求组织开展验收工作。</w:t>
      </w:r>
    </w:p>
    <w:sectPr>
      <w:headerReference r:id="rId3" w:type="default"/>
      <w:footerReference r:id="rId4" w:type="default"/>
      <w:pgSz w:w="11907" w:h="16839"/>
      <w:pgMar w:top="1440" w:right="1797" w:bottom="1440" w:left="1797" w:header="850" w:footer="850"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numPr>
        <w:ilvl w:val="6"/>
        <w:numId w:val="0"/>
      </w:numP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pStyle w:val="8"/>
      <w:suff w:val="nothing"/>
      <w:lvlText w:val="%1%2.%3.%4.%5.%6.%7　"/>
      <w:lvlJc w:val="left"/>
      <w:pPr>
        <w:ind w:left="3119"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352A66D7"/>
    <w:rsid w:val="000821EC"/>
    <w:rsid w:val="000A3195"/>
    <w:rsid w:val="000F5942"/>
    <w:rsid w:val="00104061"/>
    <w:rsid w:val="001425B4"/>
    <w:rsid w:val="00142DA9"/>
    <w:rsid w:val="00151CE1"/>
    <w:rsid w:val="00197F6B"/>
    <w:rsid w:val="001A40F1"/>
    <w:rsid w:val="001A56AD"/>
    <w:rsid w:val="001D46B4"/>
    <w:rsid w:val="001F6780"/>
    <w:rsid w:val="00224E79"/>
    <w:rsid w:val="00227932"/>
    <w:rsid w:val="00257A57"/>
    <w:rsid w:val="002822EF"/>
    <w:rsid w:val="00282A22"/>
    <w:rsid w:val="0029449F"/>
    <w:rsid w:val="002B0150"/>
    <w:rsid w:val="002B2F65"/>
    <w:rsid w:val="002B7BF1"/>
    <w:rsid w:val="002C29EF"/>
    <w:rsid w:val="002C5B6D"/>
    <w:rsid w:val="003507B5"/>
    <w:rsid w:val="00390DD0"/>
    <w:rsid w:val="003A7456"/>
    <w:rsid w:val="003B7D8D"/>
    <w:rsid w:val="003D45F2"/>
    <w:rsid w:val="003D755F"/>
    <w:rsid w:val="003E0507"/>
    <w:rsid w:val="003E729B"/>
    <w:rsid w:val="003F31E2"/>
    <w:rsid w:val="003F6320"/>
    <w:rsid w:val="00407718"/>
    <w:rsid w:val="004114D2"/>
    <w:rsid w:val="00413663"/>
    <w:rsid w:val="004530CF"/>
    <w:rsid w:val="00455D15"/>
    <w:rsid w:val="0045731B"/>
    <w:rsid w:val="004B22BE"/>
    <w:rsid w:val="004E2599"/>
    <w:rsid w:val="004E530B"/>
    <w:rsid w:val="00524CB0"/>
    <w:rsid w:val="005340DB"/>
    <w:rsid w:val="00536586"/>
    <w:rsid w:val="00541980"/>
    <w:rsid w:val="00557B3B"/>
    <w:rsid w:val="0057131E"/>
    <w:rsid w:val="005B365D"/>
    <w:rsid w:val="005E013B"/>
    <w:rsid w:val="005E3E7E"/>
    <w:rsid w:val="005F5837"/>
    <w:rsid w:val="005F607A"/>
    <w:rsid w:val="006412DC"/>
    <w:rsid w:val="006426A7"/>
    <w:rsid w:val="00651D3A"/>
    <w:rsid w:val="00682D21"/>
    <w:rsid w:val="006876F5"/>
    <w:rsid w:val="006A00F1"/>
    <w:rsid w:val="006B0363"/>
    <w:rsid w:val="006B3E59"/>
    <w:rsid w:val="006C7E77"/>
    <w:rsid w:val="006F7A2F"/>
    <w:rsid w:val="0070675E"/>
    <w:rsid w:val="007958DA"/>
    <w:rsid w:val="007C5CB9"/>
    <w:rsid w:val="008276F9"/>
    <w:rsid w:val="00847A34"/>
    <w:rsid w:val="0086357B"/>
    <w:rsid w:val="00890270"/>
    <w:rsid w:val="00896219"/>
    <w:rsid w:val="008B6CD7"/>
    <w:rsid w:val="008E3ECE"/>
    <w:rsid w:val="008F5615"/>
    <w:rsid w:val="00945C63"/>
    <w:rsid w:val="00962DE8"/>
    <w:rsid w:val="00972DE8"/>
    <w:rsid w:val="00992E6F"/>
    <w:rsid w:val="0099530F"/>
    <w:rsid w:val="009B6719"/>
    <w:rsid w:val="009E6976"/>
    <w:rsid w:val="00A54FF9"/>
    <w:rsid w:val="00A61B0A"/>
    <w:rsid w:val="00A77653"/>
    <w:rsid w:val="00A834BC"/>
    <w:rsid w:val="00A936C5"/>
    <w:rsid w:val="00A94B21"/>
    <w:rsid w:val="00A96A02"/>
    <w:rsid w:val="00AB74F5"/>
    <w:rsid w:val="00AC798B"/>
    <w:rsid w:val="00AE242C"/>
    <w:rsid w:val="00AE7D75"/>
    <w:rsid w:val="00B04C1B"/>
    <w:rsid w:val="00B16D8D"/>
    <w:rsid w:val="00B27241"/>
    <w:rsid w:val="00B452F5"/>
    <w:rsid w:val="00B4716D"/>
    <w:rsid w:val="00B637F1"/>
    <w:rsid w:val="00B666A5"/>
    <w:rsid w:val="00B82443"/>
    <w:rsid w:val="00B84D08"/>
    <w:rsid w:val="00BC496C"/>
    <w:rsid w:val="00BF24A3"/>
    <w:rsid w:val="00C25796"/>
    <w:rsid w:val="00C51A16"/>
    <w:rsid w:val="00C6376D"/>
    <w:rsid w:val="00CA4289"/>
    <w:rsid w:val="00D060FF"/>
    <w:rsid w:val="00D1010A"/>
    <w:rsid w:val="00D16333"/>
    <w:rsid w:val="00D213FA"/>
    <w:rsid w:val="00D61F1F"/>
    <w:rsid w:val="00D76726"/>
    <w:rsid w:val="00D92C76"/>
    <w:rsid w:val="00DD0872"/>
    <w:rsid w:val="00DD361A"/>
    <w:rsid w:val="00DF53A5"/>
    <w:rsid w:val="00E27449"/>
    <w:rsid w:val="00E471EF"/>
    <w:rsid w:val="00E60B2B"/>
    <w:rsid w:val="00E6135A"/>
    <w:rsid w:val="00E8186E"/>
    <w:rsid w:val="00EB2CB7"/>
    <w:rsid w:val="00EC42EE"/>
    <w:rsid w:val="00ED5211"/>
    <w:rsid w:val="00EF7C17"/>
    <w:rsid w:val="00F12228"/>
    <w:rsid w:val="00F129CF"/>
    <w:rsid w:val="00F33E9E"/>
    <w:rsid w:val="00F44F71"/>
    <w:rsid w:val="00F55B55"/>
    <w:rsid w:val="00F560E6"/>
    <w:rsid w:val="00FB0772"/>
    <w:rsid w:val="00FE314C"/>
    <w:rsid w:val="00FF7DEE"/>
    <w:rsid w:val="017F180D"/>
    <w:rsid w:val="02383E1A"/>
    <w:rsid w:val="091667B3"/>
    <w:rsid w:val="0A475469"/>
    <w:rsid w:val="106F46AD"/>
    <w:rsid w:val="11C95F9C"/>
    <w:rsid w:val="177F0AE4"/>
    <w:rsid w:val="17DAA45E"/>
    <w:rsid w:val="18EE7016"/>
    <w:rsid w:val="19114EAB"/>
    <w:rsid w:val="1B030F42"/>
    <w:rsid w:val="214C3C6A"/>
    <w:rsid w:val="21F31FF1"/>
    <w:rsid w:val="2333134F"/>
    <w:rsid w:val="265010C1"/>
    <w:rsid w:val="2F2315EF"/>
    <w:rsid w:val="32AD7CAD"/>
    <w:rsid w:val="352A66D7"/>
    <w:rsid w:val="36CD2176"/>
    <w:rsid w:val="386701EA"/>
    <w:rsid w:val="3C9B628D"/>
    <w:rsid w:val="414F73B2"/>
    <w:rsid w:val="45FB6232"/>
    <w:rsid w:val="4C475CE7"/>
    <w:rsid w:val="55261C41"/>
    <w:rsid w:val="5C9F6C2E"/>
    <w:rsid w:val="5EF51172"/>
    <w:rsid w:val="603345A8"/>
    <w:rsid w:val="61A9479A"/>
    <w:rsid w:val="63B49F48"/>
    <w:rsid w:val="6A657B43"/>
    <w:rsid w:val="6BFF3AE6"/>
    <w:rsid w:val="6FCCCC9C"/>
    <w:rsid w:val="73E3065A"/>
    <w:rsid w:val="758076E2"/>
    <w:rsid w:val="767A68AF"/>
    <w:rsid w:val="77ECFF13"/>
    <w:rsid w:val="7AFDE6F2"/>
    <w:rsid w:val="7BBFCEAB"/>
    <w:rsid w:val="7DABBDA6"/>
    <w:rsid w:val="7EBCB717"/>
    <w:rsid w:val="7EDDB6DC"/>
    <w:rsid w:val="7EEDAAA0"/>
    <w:rsid w:val="7F1B1E8E"/>
    <w:rsid w:val="7F3C4968"/>
    <w:rsid w:val="7FBF4EF6"/>
    <w:rsid w:val="7FE32BCF"/>
    <w:rsid w:val="7FF3E31C"/>
    <w:rsid w:val="8FD5A758"/>
    <w:rsid w:val="B79C446A"/>
    <w:rsid w:val="BB29E256"/>
    <w:rsid w:val="BB7F3EDB"/>
    <w:rsid w:val="BEFBD7DC"/>
    <w:rsid w:val="BFBF31CD"/>
    <w:rsid w:val="BFE3C6B9"/>
    <w:rsid w:val="BFEE8BF2"/>
    <w:rsid w:val="C7299F8F"/>
    <w:rsid w:val="CEFB75C7"/>
    <w:rsid w:val="CFFFFF00"/>
    <w:rsid w:val="D3DFE932"/>
    <w:rsid w:val="D6BB5B82"/>
    <w:rsid w:val="DCFB8CCC"/>
    <w:rsid w:val="DF3360A0"/>
    <w:rsid w:val="DF7EAE4F"/>
    <w:rsid w:val="E4FF0AF7"/>
    <w:rsid w:val="E8FF54E8"/>
    <w:rsid w:val="EDFE40A3"/>
    <w:rsid w:val="EF74A9E3"/>
    <w:rsid w:val="EF7F0C02"/>
    <w:rsid w:val="EFF7D699"/>
    <w:rsid w:val="F2EF46BC"/>
    <w:rsid w:val="F3ED8DBB"/>
    <w:rsid w:val="F5F599C9"/>
    <w:rsid w:val="FB9CB430"/>
    <w:rsid w:val="FBCC510C"/>
    <w:rsid w:val="FD716F46"/>
    <w:rsid w:val="FFF524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4">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annotation text"/>
    <w:basedOn w:val="1"/>
    <w:link w:val="20"/>
    <w:qFormat/>
    <w:uiPriority w:val="0"/>
    <w:pPr>
      <w:jc w:val="left"/>
    </w:pPr>
  </w:style>
  <w:style w:type="paragraph" w:styleId="5">
    <w:name w:val="Body Text Indent"/>
    <w:qFormat/>
    <w:uiPriority w:val="0"/>
    <w:pPr>
      <w:widowControl w:val="0"/>
      <w:spacing w:after="120"/>
      <w:ind w:left="420" w:leftChars="200"/>
      <w:jc w:val="both"/>
    </w:pPr>
    <w:rPr>
      <w:rFonts w:ascii="Times New Roman" w:hAnsi="Times New Roman" w:eastAsia="宋体" w:cs="Times New Roman"/>
      <w:kern w:val="2"/>
      <w:sz w:val="21"/>
      <w:szCs w:val="24"/>
      <w:lang w:val="zh-CN" w:eastAsia="zh-CN" w:bidi="ar-SA"/>
    </w:rPr>
  </w:style>
  <w:style w:type="paragraph" w:styleId="6">
    <w:name w:val="Balloon Text"/>
    <w:basedOn w:val="1"/>
    <w:link w:val="22"/>
    <w:qFormat/>
    <w:uiPriority w:val="0"/>
    <w:rPr>
      <w:sz w:val="18"/>
      <w:szCs w:val="18"/>
    </w:rPr>
  </w:style>
  <w:style w:type="paragraph" w:styleId="7">
    <w:name w:val="footer"/>
    <w:qFormat/>
    <w:uiPriority w:val="0"/>
    <w:pPr>
      <w:widowControl w:val="0"/>
      <w:tabs>
        <w:tab w:val="center" w:pos="4153"/>
        <w:tab w:val="right" w:pos="8306"/>
      </w:tabs>
      <w:snapToGrid w:val="0"/>
    </w:pPr>
    <w:rPr>
      <w:rFonts w:ascii="Times New Roman" w:hAnsi="Times New Roman" w:eastAsia="宋体" w:cs="Times New Roman"/>
      <w:kern w:val="2"/>
      <w:sz w:val="18"/>
      <w:szCs w:val="18"/>
      <w:lang w:val="en-US" w:eastAsia="zh-CN" w:bidi="ar-SA"/>
    </w:rPr>
  </w:style>
  <w:style w:type="paragraph" w:styleId="8">
    <w:name w:val="header"/>
    <w:qFormat/>
    <w:uiPriority w:val="0"/>
    <w:pPr>
      <w:widowControl w:val="0"/>
      <w:numPr>
        <w:ilvl w:val="6"/>
        <w:numId w:val="1"/>
      </w:numPr>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9">
    <w:name w:val="toc 1"/>
    <w:next w:val="1"/>
    <w:qFormat/>
    <w:uiPriority w:val="0"/>
    <w:pPr>
      <w:widowControl w:val="0"/>
      <w:spacing w:before="120" w:after="120"/>
    </w:pPr>
    <w:rPr>
      <w:rFonts w:ascii="等线" w:hAnsi="Times New Roman" w:eastAsia="等线" w:cs="Times New Roman"/>
      <w:b/>
      <w:bCs/>
      <w:caps/>
      <w:kern w:val="2"/>
      <w:lang w:val="en-US" w:eastAsia="zh-CN" w:bidi="ar-SA"/>
    </w:rPr>
  </w:style>
  <w:style w:type="paragraph" w:styleId="10">
    <w:name w:val="toc 2"/>
    <w:next w:val="1"/>
    <w:qFormat/>
    <w:uiPriority w:val="0"/>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11">
    <w:name w:val="annotation subject"/>
    <w:basedOn w:val="4"/>
    <w:next w:val="4"/>
    <w:link w:val="21"/>
    <w:qFormat/>
    <w:uiPriority w:val="0"/>
    <w:rPr>
      <w:b/>
      <w:bCs/>
    </w:rPr>
  </w:style>
  <w:style w:type="paragraph" w:styleId="12">
    <w:name w:val="Body Text First Indent 2"/>
    <w:qFormat/>
    <w:uiPriority w:val="0"/>
    <w:pPr>
      <w:widowControl w:val="0"/>
      <w:spacing w:after="120"/>
      <w:ind w:left="420" w:leftChars="200" w:firstLine="420" w:firstLineChars="200"/>
      <w:jc w:val="both"/>
    </w:pPr>
    <w:rPr>
      <w:rFonts w:ascii="Times New Roman" w:hAnsi="Times New Roman" w:eastAsia="宋体" w:cs="Times New Roman"/>
      <w:kern w:val="2"/>
      <w:sz w:val="21"/>
      <w:szCs w:val="24"/>
      <w:lang w:val="zh-CN" w:eastAsia="zh-CN" w:bidi="ar-SA"/>
    </w:rPr>
  </w:style>
  <w:style w:type="character" w:styleId="15">
    <w:name w:val="Hyperlink"/>
    <w:qFormat/>
    <w:uiPriority w:val="0"/>
    <w:rPr>
      <w:color w:val="0000FF"/>
      <w:u w:val="single"/>
    </w:rPr>
  </w:style>
  <w:style w:type="character" w:styleId="16">
    <w:name w:val="annotation reference"/>
    <w:basedOn w:val="14"/>
    <w:uiPriority w:val="0"/>
    <w:rPr>
      <w:sz w:val="21"/>
      <w:szCs w:val="21"/>
    </w:rPr>
  </w:style>
  <w:style w:type="paragraph" w:customStyle="1" w:styleId="17">
    <w:name w:val="内容正文"/>
    <w:qFormat/>
    <w:uiPriority w:val="0"/>
    <w:pPr>
      <w:widowControl w:val="0"/>
      <w:spacing w:beforeLines="50" w:afterLines="50"/>
      <w:jc w:val="both"/>
    </w:pPr>
    <w:rPr>
      <w:rFonts w:ascii="Arial" w:hAnsi="Arial" w:eastAsia="Times New Roman" w:cs="Times New Roman"/>
      <w:kern w:val="2"/>
      <w:sz w:val="21"/>
      <w:szCs w:val="21"/>
      <w:lang w:val="en-US" w:eastAsia="zh-CN" w:bidi="ar-SA"/>
    </w:rPr>
  </w:style>
  <w:style w:type="paragraph" w:customStyle="1" w:styleId="18">
    <w:name w:val="_Style 9"/>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9">
    <w:name w:val="Other|1"/>
    <w:qFormat/>
    <w:uiPriority w:val="0"/>
    <w:pPr>
      <w:widowControl w:val="0"/>
      <w:jc w:val="center"/>
    </w:pPr>
    <w:rPr>
      <w:rFonts w:ascii="宋体" w:hAnsi="宋体" w:eastAsia="宋体" w:cs="宋体"/>
      <w:kern w:val="2"/>
      <w:sz w:val="19"/>
      <w:szCs w:val="19"/>
      <w:lang w:val="zh-TW" w:eastAsia="zh-TW" w:bidi="zh-TW"/>
    </w:rPr>
  </w:style>
  <w:style w:type="character" w:customStyle="1" w:styleId="20">
    <w:name w:val="批注文字 Char"/>
    <w:basedOn w:val="14"/>
    <w:link w:val="4"/>
    <w:uiPriority w:val="0"/>
    <w:rPr>
      <w:kern w:val="2"/>
      <w:sz w:val="21"/>
      <w:szCs w:val="24"/>
    </w:rPr>
  </w:style>
  <w:style w:type="character" w:customStyle="1" w:styleId="21">
    <w:name w:val="批注主题 Char"/>
    <w:basedOn w:val="20"/>
    <w:link w:val="11"/>
    <w:qFormat/>
    <w:uiPriority w:val="0"/>
    <w:rPr>
      <w:b/>
      <w:bCs/>
      <w:kern w:val="2"/>
      <w:sz w:val="21"/>
      <w:szCs w:val="24"/>
    </w:rPr>
  </w:style>
  <w:style w:type="character" w:customStyle="1" w:styleId="22">
    <w:name w:val="批注框文本 Char"/>
    <w:basedOn w:val="14"/>
    <w:link w:val="6"/>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Pages>
  <Words>169</Words>
  <Characters>965</Characters>
  <Lines>8</Lines>
  <Paragraphs>2</Paragraphs>
  <TotalTime>4</TotalTime>
  <ScaleCrop>false</ScaleCrop>
  <LinksUpToDate>false</LinksUpToDate>
  <CharactersWithSpaces>1132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2024-05-12T15:56:00Z</dcterms:created>
  <dc:creator>luofang</dc:creator>
  <cp:lastModifiedBy>敖姣</cp:lastModifiedBy>
  <cp:lastPrinted>2024-06-01T10:00:00Z</cp:lastPrinted>
  <dcterms:modified xsi:type="dcterms:W3CDTF">2026-06-11T09:30:26Z</dcterms:modified>
  <cp:revision>145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EE77C8F4A6C444AB8F153C1EA0C251FF</vt:lpwstr>
  </property>
</Properties>
</file>