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5D65E33">
      <w:pPr>
        <w:keepNext w:val="0"/>
        <w:keepLines w:val="0"/>
        <w:widowControl/>
        <w:suppressLineNumbers w:val="0"/>
        <w:jc w:val="center"/>
        <w:rPr>
          <w:color w:val="auto"/>
          <w:sz w:val="24"/>
          <w:szCs w:val="24"/>
        </w:rPr>
      </w:pPr>
      <w:r>
        <w:rPr>
          <w:rFonts w:hint="eastAsia" w:ascii="宋体" w:hAnsi="宋体" w:eastAsia="宋体" w:cs="宋体"/>
          <w:b/>
          <w:bCs/>
          <w:color w:val="auto"/>
          <w:kern w:val="0"/>
          <w:sz w:val="24"/>
          <w:szCs w:val="24"/>
          <w:lang w:val="en-US" w:eastAsia="zh-CN" w:bidi="ar"/>
        </w:rPr>
        <w:t>南方电网科学研究院有限责任公司</w:t>
      </w:r>
    </w:p>
    <w:p w14:paraId="71B9093B">
      <w:pPr>
        <w:keepNext w:val="0"/>
        <w:keepLines w:val="0"/>
        <w:widowControl/>
        <w:suppressLineNumbers w:val="0"/>
        <w:jc w:val="center"/>
        <w:rPr>
          <w:rFonts w:hint="eastAsia" w:ascii="宋体" w:hAnsi="宋体" w:eastAsia="宋体" w:cs="宋体"/>
          <w:b/>
          <w:bCs/>
          <w:color w:val="auto"/>
          <w:kern w:val="0"/>
          <w:sz w:val="24"/>
          <w:szCs w:val="24"/>
          <w:lang w:val="en-US" w:eastAsia="zh-CN" w:bidi="ar"/>
        </w:rPr>
      </w:pPr>
      <w:r>
        <w:rPr>
          <w:rFonts w:hint="eastAsia" w:ascii="宋体" w:hAnsi="宋体" w:eastAsia="宋体" w:cs="宋体"/>
          <w:b/>
          <w:bCs/>
          <w:color w:val="auto"/>
          <w:kern w:val="0"/>
          <w:sz w:val="24"/>
          <w:szCs w:val="24"/>
          <w:lang w:val="en-US" w:eastAsia="zh-CN" w:bidi="ar"/>
        </w:rPr>
        <w:t>智能密码钥匙（key）</w:t>
      </w:r>
    </w:p>
    <w:p w14:paraId="17EC5793">
      <w:pPr>
        <w:keepNext w:val="0"/>
        <w:keepLines w:val="0"/>
        <w:widowControl/>
        <w:suppressLineNumbers w:val="0"/>
        <w:jc w:val="center"/>
        <w:rPr>
          <w:color w:val="auto"/>
          <w:sz w:val="24"/>
          <w:szCs w:val="24"/>
        </w:rPr>
      </w:pPr>
      <w:r>
        <w:rPr>
          <w:rFonts w:hint="eastAsia" w:ascii="宋体" w:hAnsi="宋体" w:eastAsia="宋体" w:cs="宋体"/>
          <w:b/>
          <w:bCs/>
          <w:color w:val="auto"/>
          <w:kern w:val="0"/>
          <w:sz w:val="24"/>
          <w:szCs w:val="24"/>
          <w:lang w:val="en-US" w:eastAsia="zh-CN" w:bidi="ar"/>
        </w:rPr>
        <w:t>零星采购技术附件</w:t>
      </w:r>
    </w:p>
    <w:p w14:paraId="0998A2CC">
      <w:pPr>
        <w:keepNext w:val="0"/>
        <w:keepLines w:val="0"/>
        <w:widowControl/>
        <w:suppressLineNumbers w:val="0"/>
        <w:jc w:val="left"/>
        <w:rPr>
          <w:color w:val="auto"/>
          <w:sz w:val="24"/>
          <w:szCs w:val="24"/>
        </w:rPr>
      </w:pPr>
      <w:r>
        <w:rPr>
          <w:rFonts w:hint="eastAsia" w:ascii="宋体" w:hAnsi="宋体" w:eastAsia="宋体" w:cs="宋体"/>
          <w:b/>
          <w:bCs/>
          <w:color w:val="auto"/>
          <w:kern w:val="0"/>
          <w:sz w:val="24"/>
          <w:szCs w:val="24"/>
          <w:lang w:val="en-US" w:eastAsia="zh-CN" w:bidi="ar"/>
        </w:rPr>
        <w:t xml:space="preserve">一、 </w:t>
      </w:r>
    </w:p>
    <w:p w14:paraId="49A485B6">
      <w:pPr>
        <w:keepNext w:val="0"/>
        <w:keepLines w:val="0"/>
        <w:widowControl/>
        <w:suppressLineNumbers w:val="0"/>
        <w:jc w:val="left"/>
        <w:rPr>
          <w:color w:val="auto"/>
          <w:sz w:val="24"/>
          <w:szCs w:val="24"/>
        </w:rPr>
      </w:pPr>
      <w:r>
        <w:rPr>
          <w:rFonts w:hint="eastAsia" w:ascii="宋体" w:hAnsi="宋体" w:eastAsia="宋体" w:cs="宋体"/>
          <w:b/>
          <w:bCs/>
          <w:color w:val="auto"/>
          <w:kern w:val="0"/>
          <w:sz w:val="24"/>
          <w:szCs w:val="24"/>
          <w:lang w:val="en-US" w:eastAsia="zh-CN" w:bidi="ar"/>
        </w:rPr>
        <w:t xml:space="preserve">采购范围及要求 </w:t>
      </w:r>
    </w:p>
    <w:p w14:paraId="48A9BEFF">
      <w:pPr>
        <w:keepNext w:val="0"/>
        <w:keepLines w:val="0"/>
        <w:widowControl/>
        <w:suppressLineNumbers w:val="0"/>
        <w:jc w:val="left"/>
        <w:rPr>
          <w:rFonts w:hint="default"/>
          <w:color w:val="auto"/>
          <w:sz w:val="24"/>
          <w:szCs w:val="24"/>
          <w:lang w:val="en-US"/>
        </w:rPr>
      </w:pPr>
      <w:r>
        <w:rPr>
          <w:rFonts w:hint="eastAsia" w:ascii="宋体" w:hAnsi="宋体" w:eastAsia="宋体" w:cs="宋体"/>
          <w:color w:val="auto"/>
          <w:kern w:val="0"/>
          <w:sz w:val="24"/>
          <w:szCs w:val="24"/>
          <w:lang w:val="en-US" w:eastAsia="zh-CN" w:bidi="ar"/>
        </w:rPr>
        <w:t xml:space="preserve">采购智能密码钥匙（key）200个，物品技术参数要求如下： </w:t>
      </w:r>
    </w:p>
    <w:p w14:paraId="57E639C2">
      <w:pPr>
        <w:pStyle w:val="3"/>
        <w:numPr>
          <w:ilvl w:val="0"/>
          <w:numId w:val="0"/>
        </w:numPr>
        <w:spacing w:line="360" w:lineRule="auto"/>
        <w:ind w:leftChars="0"/>
        <w:rPr>
          <w:rFonts w:hint="eastAsia" w:ascii="宋体" w:hAnsi="宋体" w:eastAsia="宋体" w:cs="宋体"/>
          <w:b w:val="0"/>
          <w:bCs w:val="0"/>
          <w:color w:val="auto"/>
          <w:kern w:val="0"/>
          <w:sz w:val="24"/>
          <w:szCs w:val="24"/>
          <w:lang w:val="en-US" w:eastAsia="zh-CN" w:bidi="ar"/>
        </w:rPr>
      </w:pPr>
      <w:bookmarkStart w:id="0" w:name="_Toc100514062"/>
      <w:r>
        <w:rPr>
          <w:rFonts w:hint="eastAsia" w:ascii="宋体" w:hAnsi="宋体" w:eastAsia="宋体" w:cs="宋体"/>
          <w:b w:val="0"/>
          <w:bCs w:val="0"/>
          <w:color w:val="auto"/>
          <w:kern w:val="0"/>
          <w:sz w:val="24"/>
          <w:szCs w:val="24"/>
          <w:lang w:val="en-US" w:eastAsia="zh-CN" w:bidi="ar"/>
        </w:rPr>
        <w:t>功能要求</w:t>
      </w:r>
      <w:bookmarkEnd w:id="0"/>
    </w:p>
    <w:p w14:paraId="629498AC">
      <w:pPr>
        <w:pStyle w:val="8"/>
        <w:numPr>
          <w:ilvl w:val="0"/>
          <w:numId w:val="2"/>
        </w:numPr>
        <w:spacing w:line="360" w:lineRule="auto"/>
        <w:ind w:firstLineChars="0"/>
        <w:rPr>
          <w:rFonts w:hint="eastAsia" w:ascii="宋体" w:hAnsi="宋体" w:eastAsia="宋体" w:cs="宋体"/>
          <w:b w:val="0"/>
          <w:bCs w:val="0"/>
          <w:color w:val="auto"/>
          <w:kern w:val="0"/>
          <w:sz w:val="24"/>
          <w:szCs w:val="24"/>
          <w:lang w:val="zh-CN" w:eastAsia="zh-CN" w:bidi="ar"/>
        </w:rPr>
      </w:pPr>
      <w:r>
        <w:rPr>
          <w:rFonts w:hint="eastAsia" w:ascii="宋体" w:hAnsi="宋体" w:eastAsia="宋体" w:cs="宋体"/>
          <w:b w:val="0"/>
          <w:bCs w:val="0"/>
          <w:color w:val="auto"/>
          <w:kern w:val="0"/>
          <w:sz w:val="24"/>
          <w:szCs w:val="24"/>
          <w:lang w:val="zh-CN" w:eastAsia="zh-CN" w:bidi="ar"/>
        </w:rPr>
        <w:t>采用USB接口设计，标准USB 1.1设备，支持USB2.0接口；</w:t>
      </w:r>
    </w:p>
    <w:p w14:paraId="3FADCABF">
      <w:pPr>
        <w:pStyle w:val="8"/>
        <w:numPr>
          <w:ilvl w:val="0"/>
          <w:numId w:val="2"/>
        </w:numPr>
        <w:spacing w:line="360" w:lineRule="auto"/>
        <w:ind w:firstLineChars="0"/>
        <w:rPr>
          <w:rFonts w:hint="eastAsia" w:ascii="宋体" w:hAnsi="宋体" w:eastAsia="宋体" w:cs="宋体"/>
          <w:b w:val="0"/>
          <w:bCs w:val="0"/>
          <w:color w:val="auto"/>
          <w:kern w:val="0"/>
          <w:sz w:val="24"/>
          <w:szCs w:val="24"/>
          <w:lang w:val="zh-CN" w:eastAsia="zh-CN" w:bidi="ar"/>
        </w:rPr>
      </w:pPr>
      <w:r>
        <w:rPr>
          <w:rFonts w:hint="eastAsia" w:ascii="宋体" w:hAnsi="宋体" w:eastAsia="宋体" w:cs="宋体"/>
          <w:b w:val="0"/>
          <w:bCs w:val="0"/>
          <w:color w:val="auto"/>
          <w:kern w:val="0"/>
          <w:sz w:val="24"/>
          <w:szCs w:val="24"/>
          <w:lang w:val="zh-CN" w:eastAsia="zh-CN" w:bidi="ar"/>
        </w:rPr>
        <w:t>基于公钥体系的数字证书和私钥的安全载体；</w:t>
      </w:r>
    </w:p>
    <w:p w14:paraId="729D5677">
      <w:pPr>
        <w:pStyle w:val="8"/>
        <w:numPr>
          <w:ilvl w:val="0"/>
          <w:numId w:val="2"/>
        </w:numPr>
        <w:spacing w:line="360" w:lineRule="auto"/>
        <w:ind w:firstLineChars="0"/>
        <w:rPr>
          <w:rFonts w:hint="eastAsia" w:ascii="宋体" w:hAnsi="宋体" w:eastAsia="宋体" w:cs="宋体"/>
          <w:b w:val="0"/>
          <w:bCs w:val="0"/>
          <w:color w:val="auto"/>
          <w:kern w:val="0"/>
          <w:sz w:val="24"/>
          <w:szCs w:val="24"/>
          <w:lang w:val="zh-CN" w:eastAsia="zh-CN" w:bidi="ar"/>
        </w:rPr>
      </w:pPr>
      <w:r>
        <w:rPr>
          <w:rFonts w:hint="eastAsia" w:ascii="宋体" w:hAnsi="宋体" w:eastAsia="宋体" w:cs="宋体"/>
          <w:b w:val="0"/>
          <w:bCs w:val="0"/>
          <w:color w:val="auto"/>
          <w:kern w:val="0"/>
          <w:sz w:val="24"/>
          <w:szCs w:val="24"/>
          <w:lang w:val="zh-CN" w:eastAsia="zh-CN" w:bidi="ar"/>
        </w:rPr>
        <w:t>采用“硬件 + PIN码”的双因子认证，保证数字证书和私钥的合法使用；</w:t>
      </w:r>
    </w:p>
    <w:p w14:paraId="5E05A7FD">
      <w:pPr>
        <w:pStyle w:val="8"/>
        <w:numPr>
          <w:ilvl w:val="0"/>
          <w:numId w:val="2"/>
        </w:numPr>
        <w:spacing w:line="360" w:lineRule="auto"/>
        <w:ind w:firstLineChars="0"/>
        <w:rPr>
          <w:rFonts w:hint="eastAsia" w:ascii="宋体" w:hAnsi="宋体" w:eastAsia="宋体" w:cs="宋体"/>
          <w:b w:val="0"/>
          <w:bCs w:val="0"/>
          <w:color w:val="auto"/>
          <w:kern w:val="0"/>
          <w:sz w:val="24"/>
          <w:szCs w:val="24"/>
          <w:lang w:val="zh-CN" w:eastAsia="zh-CN" w:bidi="ar"/>
        </w:rPr>
      </w:pPr>
      <w:r>
        <w:rPr>
          <w:rFonts w:hint="eastAsia" w:ascii="宋体" w:hAnsi="宋体" w:eastAsia="宋体" w:cs="宋体"/>
          <w:b w:val="0"/>
          <w:bCs w:val="0"/>
          <w:color w:val="auto"/>
          <w:kern w:val="0"/>
          <w:sz w:val="24"/>
          <w:szCs w:val="24"/>
          <w:lang w:val="zh-CN" w:eastAsia="zh-CN" w:bidi="ar"/>
        </w:rPr>
        <w:t>算法支持RSA、SM2、DES、3DES、SHA-1、SSF33、SM1；</w:t>
      </w:r>
    </w:p>
    <w:p w14:paraId="03AE8737">
      <w:pPr>
        <w:pStyle w:val="8"/>
        <w:numPr>
          <w:ilvl w:val="0"/>
          <w:numId w:val="2"/>
        </w:numPr>
        <w:spacing w:line="360" w:lineRule="auto"/>
        <w:ind w:firstLineChars="0"/>
        <w:rPr>
          <w:rFonts w:hint="eastAsia" w:ascii="宋体" w:hAnsi="宋体" w:eastAsia="宋体" w:cs="宋体"/>
          <w:b w:val="0"/>
          <w:bCs w:val="0"/>
          <w:color w:val="auto"/>
          <w:kern w:val="0"/>
          <w:sz w:val="24"/>
          <w:szCs w:val="24"/>
          <w:lang w:val="zh-CN" w:eastAsia="zh-CN" w:bidi="ar"/>
        </w:rPr>
      </w:pPr>
      <w:r>
        <w:rPr>
          <w:rFonts w:hint="eastAsia" w:ascii="宋体" w:hAnsi="宋体" w:eastAsia="宋体" w:cs="宋体"/>
          <w:b w:val="0"/>
          <w:bCs w:val="0"/>
          <w:color w:val="auto"/>
          <w:kern w:val="0"/>
          <w:sz w:val="24"/>
          <w:szCs w:val="24"/>
          <w:lang w:val="zh-CN" w:eastAsia="zh-CN" w:bidi="ar"/>
        </w:rPr>
        <w:t>标准PC/SC驱动，通过微软驱动签名；</w:t>
      </w:r>
    </w:p>
    <w:p w14:paraId="41A33F22">
      <w:pPr>
        <w:pStyle w:val="8"/>
        <w:numPr>
          <w:ilvl w:val="0"/>
          <w:numId w:val="2"/>
        </w:numPr>
        <w:spacing w:line="360" w:lineRule="auto"/>
        <w:ind w:firstLineChars="0"/>
        <w:rPr>
          <w:rFonts w:hint="eastAsia" w:ascii="宋体" w:hAnsi="宋体" w:eastAsia="宋体" w:cs="宋体"/>
          <w:b w:val="0"/>
          <w:bCs w:val="0"/>
          <w:color w:val="auto"/>
          <w:kern w:val="0"/>
          <w:sz w:val="24"/>
          <w:szCs w:val="24"/>
          <w:lang w:val="en-US" w:eastAsia="zh-CN" w:bidi="ar"/>
        </w:rPr>
      </w:pPr>
      <w:r>
        <w:rPr>
          <w:rFonts w:hint="eastAsia" w:ascii="宋体" w:hAnsi="宋体" w:eastAsia="宋体" w:cs="宋体"/>
          <w:b w:val="0"/>
          <w:bCs w:val="0"/>
          <w:color w:val="auto"/>
          <w:kern w:val="0"/>
          <w:sz w:val="24"/>
          <w:szCs w:val="24"/>
          <w:lang w:val="zh-CN" w:eastAsia="zh-CN" w:bidi="ar"/>
        </w:rPr>
        <w:t>符合RoHS环保要求，遵守WEEE指令要求；</w:t>
      </w:r>
      <w:bookmarkStart w:id="1" w:name="_Toc100514064"/>
    </w:p>
    <w:p w14:paraId="04A2F527">
      <w:pPr>
        <w:pStyle w:val="8"/>
        <w:numPr>
          <w:numId w:val="0"/>
        </w:numPr>
        <w:spacing w:line="360" w:lineRule="auto"/>
        <w:ind w:leftChars="0"/>
        <w:rPr>
          <w:rFonts w:hint="eastAsia" w:ascii="宋体" w:hAnsi="宋体" w:eastAsia="宋体" w:cs="宋体"/>
          <w:b w:val="0"/>
          <w:bCs w:val="0"/>
          <w:color w:val="auto"/>
          <w:kern w:val="0"/>
          <w:sz w:val="24"/>
          <w:szCs w:val="24"/>
          <w:lang w:val="en-US" w:eastAsia="zh-CN" w:bidi="ar"/>
        </w:rPr>
      </w:pPr>
      <w:r>
        <w:rPr>
          <w:rFonts w:hint="eastAsia" w:ascii="宋体" w:hAnsi="宋体" w:eastAsia="宋体" w:cs="宋体"/>
          <w:b w:val="0"/>
          <w:bCs w:val="0"/>
          <w:color w:val="auto"/>
          <w:kern w:val="0"/>
          <w:sz w:val="24"/>
          <w:szCs w:val="24"/>
          <w:lang w:val="en-US" w:eastAsia="zh-CN" w:bidi="ar"/>
        </w:rPr>
        <w:t>其他要求</w:t>
      </w:r>
      <w:bookmarkEnd w:id="1"/>
    </w:p>
    <w:p w14:paraId="19194580">
      <w:pPr>
        <w:pStyle w:val="8"/>
        <w:numPr>
          <w:ilvl w:val="0"/>
          <w:numId w:val="2"/>
        </w:numPr>
        <w:spacing w:line="360" w:lineRule="auto"/>
        <w:ind w:firstLineChars="0"/>
        <w:rPr>
          <w:rFonts w:hint="eastAsia" w:ascii="宋体" w:hAnsi="宋体" w:eastAsia="宋体" w:cs="宋体"/>
          <w:b w:val="0"/>
          <w:bCs w:val="0"/>
          <w:color w:val="auto"/>
          <w:kern w:val="0"/>
          <w:sz w:val="24"/>
          <w:szCs w:val="24"/>
          <w:lang w:val="zh-CN" w:eastAsia="zh-CN" w:bidi="ar"/>
        </w:rPr>
      </w:pPr>
      <w:r>
        <w:rPr>
          <w:rFonts w:hint="eastAsia" w:ascii="宋体" w:hAnsi="宋体" w:eastAsia="宋体" w:cs="宋体"/>
          <w:b w:val="0"/>
          <w:bCs w:val="0"/>
          <w:color w:val="auto"/>
          <w:kern w:val="0"/>
          <w:sz w:val="24"/>
          <w:szCs w:val="24"/>
          <w:lang w:val="zh-CN" w:eastAsia="zh-CN" w:bidi="ar"/>
        </w:rPr>
        <w:t>产品具有国家密码管理局颁发《商用密码产品认证证书》（提供有效期内的证书并加盖制造商鲜章）；</w:t>
      </w:r>
    </w:p>
    <w:p w14:paraId="6ED50E49">
      <w:pPr>
        <w:pStyle w:val="8"/>
        <w:numPr>
          <w:ilvl w:val="0"/>
          <w:numId w:val="2"/>
        </w:numPr>
        <w:spacing w:line="360" w:lineRule="auto"/>
        <w:ind w:firstLineChars="0"/>
        <w:rPr>
          <w:rFonts w:hint="eastAsia" w:ascii="宋体" w:hAnsi="宋体" w:eastAsia="宋体" w:cs="宋体"/>
          <w:b w:val="0"/>
          <w:bCs w:val="0"/>
          <w:color w:val="auto"/>
          <w:kern w:val="0"/>
          <w:sz w:val="24"/>
          <w:szCs w:val="24"/>
          <w:lang w:val="zh-CN" w:eastAsia="zh-CN" w:bidi="ar"/>
        </w:rPr>
      </w:pPr>
      <w:r>
        <w:rPr>
          <w:rFonts w:hint="eastAsia" w:ascii="宋体" w:hAnsi="宋体" w:eastAsia="宋体" w:cs="宋体"/>
          <w:b w:val="0"/>
          <w:bCs w:val="0"/>
          <w:color w:val="auto"/>
          <w:kern w:val="0"/>
          <w:sz w:val="24"/>
          <w:szCs w:val="24"/>
          <w:lang w:val="zh-CN" w:eastAsia="zh-CN" w:bidi="ar"/>
        </w:rPr>
        <w:t>产品具有国家版权局颁发的《计算机软件著作权登记证书》；</w:t>
      </w:r>
    </w:p>
    <w:p w14:paraId="2DB9CC4E">
      <w:pPr>
        <w:pStyle w:val="8"/>
        <w:numPr>
          <w:ilvl w:val="0"/>
          <w:numId w:val="2"/>
        </w:numPr>
        <w:spacing w:line="360" w:lineRule="auto"/>
        <w:ind w:firstLineChars="0"/>
        <w:rPr>
          <w:rFonts w:hint="eastAsia" w:ascii="宋体" w:hAnsi="宋体" w:eastAsia="宋体" w:cs="宋体"/>
          <w:b w:val="0"/>
          <w:bCs w:val="0"/>
          <w:color w:val="auto"/>
          <w:kern w:val="0"/>
          <w:sz w:val="24"/>
          <w:szCs w:val="24"/>
          <w:lang w:val="zh-CN" w:eastAsia="zh-CN" w:bidi="ar"/>
        </w:rPr>
      </w:pPr>
      <w:r>
        <w:rPr>
          <w:rFonts w:hint="eastAsia" w:ascii="宋体" w:hAnsi="宋体" w:eastAsia="宋体" w:cs="宋体"/>
          <w:b w:val="0"/>
          <w:bCs w:val="0"/>
          <w:color w:val="auto"/>
          <w:kern w:val="0"/>
          <w:sz w:val="24"/>
          <w:szCs w:val="24"/>
          <w:lang w:val="en-US" w:eastAsia="zh-CN" w:bidi="ar"/>
        </w:rPr>
        <w:t>产品交付时需具有南方电网Logo；</w:t>
      </w:r>
    </w:p>
    <w:p w14:paraId="4BB7E7B2">
      <w:pPr>
        <w:spacing w:line="360" w:lineRule="auto"/>
        <w:rPr>
          <w:rFonts w:ascii="仿宋" w:hAnsi="仿宋" w:eastAsia="仿宋" w:cs="仿宋"/>
          <w:color w:val="auto"/>
          <w:sz w:val="24"/>
          <w:szCs w:val="24"/>
          <w:highlight w:val="yellow"/>
          <w:lang w:val="zh-CN"/>
        </w:rPr>
      </w:pPr>
      <w:bookmarkStart w:id="2" w:name="_GoBack"/>
      <w:bookmarkEnd w:id="2"/>
    </w:p>
    <w:p w14:paraId="04F135F9">
      <w:pPr>
        <w:rPr>
          <w:rFonts w:hint="default"/>
          <w:color w:val="auto"/>
          <w:sz w:val="24"/>
          <w:szCs w:val="24"/>
          <w:lang w:val="en-US" w:eastAsia="zh-CN"/>
        </w:rPr>
      </w:pPr>
      <w:r>
        <w:rPr>
          <w:rFonts w:hint="eastAsia"/>
          <w:color w:val="auto"/>
          <w:sz w:val="24"/>
          <w:szCs w:val="24"/>
          <w:lang w:val="en-US" w:eastAsia="zh-CN"/>
        </w:rPr>
        <w:t>具体参数指标：</w:t>
      </w:r>
    </w:p>
    <w:tbl>
      <w:tblPr>
        <w:tblStyle w:val="5"/>
        <w:tblpPr w:leftFromText="180" w:rightFromText="180" w:vertAnchor="text" w:tblpY="1"/>
        <w:tblOverlap w:val="never"/>
        <w:tblW w:w="488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5"/>
        <w:gridCol w:w="6944"/>
      </w:tblGrid>
      <w:tr w14:paraId="5C0401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blHeader/>
        </w:trPr>
        <w:tc>
          <w:tcPr>
            <w:tcW w:w="831" w:type="pct"/>
            <w:shd w:val="clear" w:color="auto" w:fill="FFFFFF" w:themeFill="background1"/>
            <w:vAlign w:val="center"/>
          </w:tcPr>
          <w:p w14:paraId="44275507">
            <w:pPr>
              <w:jc w:val="center"/>
              <w:rPr>
                <w:rFonts w:ascii="仿宋" w:hAnsi="仿宋"/>
                <w:b/>
                <w:color w:val="auto"/>
                <w:sz w:val="24"/>
                <w:szCs w:val="24"/>
              </w:rPr>
            </w:pPr>
            <w:r>
              <w:rPr>
                <w:rFonts w:ascii="仿宋" w:hAnsi="仿宋"/>
                <w:b/>
                <w:color w:val="auto"/>
                <w:sz w:val="24"/>
                <w:szCs w:val="24"/>
              </w:rPr>
              <w:t>指标项</w:t>
            </w:r>
          </w:p>
        </w:tc>
        <w:tc>
          <w:tcPr>
            <w:tcW w:w="4169" w:type="pct"/>
            <w:shd w:val="clear" w:color="auto" w:fill="FFFFFF" w:themeFill="background1"/>
            <w:vAlign w:val="center"/>
          </w:tcPr>
          <w:p w14:paraId="37FEC20E">
            <w:pPr>
              <w:jc w:val="center"/>
              <w:rPr>
                <w:rFonts w:ascii="仿宋" w:hAnsi="仿宋"/>
                <w:b/>
                <w:color w:val="auto"/>
                <w:sz w:val="24"/>
                <w:szCs w:val="24"/>
              </w:rPr>
            </w:pPr>
            <w:r>
              <w:rPr>
                <w:rFonts w:ascii="仿宋" w:hAnsi="仿宋"/>
                <w:b/>
                <w:color w:val="auto"/>
                <w:sz w:val="24"/>
                <w:szCs w:val="24"/>
              </w:rPr>
              <w:t>技术参数</w:t>
            </w:r>
          </w:p>
        </w:tc>
      </w:tr>
      <w:tr w14:paraId="719EEA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1" w:type="pct"/>
            <w:vMerge w:val="restart"/>
            <w:shd w:val="clear" w:color="auto" w:fill="auto"/>
            <w:vAlign w:val="center"/>
          </w:tcPr>
          <w:p w14:paraId="73A8485E">
            <w:pPr>
              <w:rPr>
                <w:color w:val="auto"/>
                <w:sz w:val="24"/>
                <w:szCs w:val="24"/>
              </w:rPr>
            </w:pPr>
            <w:r>
              <w:rPr>
                <w:rFonts w:hint="eastAsia"/>
                <w:color w:val="auto"/>
                <w:sz w:val="24"/>
                <w:szCs w:val="24"/>
              </w:rPr>
              <w:t>产品资质</w:t>
            </w:r>
          </w:p>
        </w:tc>
        <w:tc>
          <w:tcPr>
            <w:tcW w:w="4169" w:type="pct"/>
            <w:shd w:val="clear" w:color="auto" w:fill="auto"/>
            <w:vAlign w:val="center"/>
          </w:tcPr>
          <w:p w14:paraId="1F79D35B">
            <w:pPr>
              <w:rPr>
                <w:color w:val="auto"/>
                <w:sz w:val="24"/>
                <w:szCs w:val="24"/>
              </w:rPr>
            </w:pPr>
            <w:r>
              <w:rPr>
                <w:rFonts w:hint="eastAsia"/>
                <w:color w:val="auto"/>
                <w:sz w:val="24"/>
                <w:szCs w:val="24"/>
              </w:rPr>
              <w:t>产品具备国家密码管理局商用密码检测中心颁发的商用密码产品认证证书。</w:t>
            </w:r>
          </w:p>
        </w:tc>
      </w:tr>
      <w:tr w14:paraId="45BE7E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1" w:type="pct"/>
            <w:vMerge w:val="continue"/>
            <w:shd w:val="clear" w:color="auto" w:fill="auto"/>
            <w:vAlign w:val="center"/>
          </w:tcPr>
          <w:p w14:paraId="1B75C2B5">
            <w:pPr>
              <w:rPr>
                <w:color w:val="auto"/>
                <w:sz w:val="24"/>
                <w:szCs w:val="24"/>
              </w:rPr>
            </w:pPr>
          </w:p>
        </w:tc>
        <w:tc>
          <w:tcPr>
            <w:tcW w:w="4169" w:type="pct"/>
            <w:shd w:val="clear" w:color="auto" w:fill="auto"/>
            <w:vAlign w:val="center"/>
          </w:tcPr>
          <w:p w14:paraId="064C8D02">
            <w:pPr>
              <w:rPr>
                <w:color w:val="auto"/>
                <w:sz w:val="24"/>
                <w:szCs w:val="24"/>
              </w:rPr>
            </w:pPr>
            <w:r>
              <w:rPr>
                <w:color w:val="auto"/>
                <w:sz w:val="24"/>
                <w:szCs w:val="24"/>
              </w:rPr>
              <w:t>产品具备国家版权局颁发的软件著作权。</w:t>
            </w:r>
          </w:p>
        </w:tc>
      </w:tr>
      <w:tr w14:paraId="14F8F5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1" w:type="pct"/>
            <w:vMerge w:val="restart"/>
            <w:shd w:val="clear" w:color="auto" w:fill="auto"/>
            <w:vAlign w:val="center"/>
          </w:tcPr>
          <w:p w14:paraId="1EB19219">
            <w:pPr>
              <w:rPr>
                <w:color w:val="auto"/>
                <w:sz w:val="24"/>
                <w:szCs w:val="24"/>
              </w:rPr>
            </w:pPr>
            <w:r>
              <w:rPr>
                <w:rFonts w:hint="eastAsia"/>
                <w:color w:val="auto"/>
                <w:sz w:val="24"/>
                <w:szCs w:val="24"/>
              </w:rPr>
              <w:t>硬件参数</w:t>
            </w:r>
          </w:p>
        </w:tc>
        <w:tc>
          <w:tcPr>
            <w:tcW w:w="4169" w:type="pct"/>
            <w:shd w:val="clear" w:color="auto" w:fill="auto"/>
            <w:vAlign w:val="center"/>
          </w:tcPr>
          <w:p w14:paraId="7FDF905D">
            <w:pPr>
              <w:rPr>
                <w:color w:val="auto"/>
                <w:sz w:val="24"/>
                <w:szCs w:val="24"/>
              </w:rPr>
            </w:pPr>
            <w:r>
              <w:rPr>
                <w:rFonts w:hint="eastAsia"/>
                <w:color w:val="auto"/>
                <w:sz w:val="24"/>
                <w:szCs w:val="24"/>
              </w:rPr>
              <w:t>内嵌32位高性能、高容量智能卡芯片</w:t>
            </w:r>
          </w:p>
        </w:tc>
      </w:tr>
      <w:tr w14:paraId="36E707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1" w:type="pct"/>
            <w:vMerge w:val="continue"/>
            <w:shd w:val="clear" w:color="auto" w:fill="auto"/>
            <w:vAlign w:val="center"/>
          </w:tcPr>
          <w:p w14:paraId="7736EA3F">
            <w:pPr>
              <w:rPr>
                <w:color w:val="auto"/>
                <w:sz w:val="24"/>
                <w:szCs w:val="24"/>
              </w:rPr>
            </w:pPr>
          </w:p>
        </w:tc>
        <w:tc>
          <w:tcPr>
            <w:tcW w:w="4169" w:type="pct"/>
            <w:shd w:val="clear" w:color="auto" w:fill="auto"/>
            <w:vAlign w:val="center"/>
          </w:tcPr>
          <w:p w14:paraId="76868D17">
            <w:pPr>
              <w:rPr>
                <w:color w:val="auto"/>
                <w:sz w:val="24"/>
                <w:szCs w:val="24"/>
              </w:rPr>
            </w:pPr>
            <w:r>
              <w:rPr>
                <w:rFonts w:hint="eastAsia"/>
                <w:color w:val="auto"/>
                <w:sz w:val="24"/>
                <w:szCs w:val="24"/>
              </w:rPr>
              <w:t>自主知识产权COS，存储空间不少于128KB</w:t>
            </w:r>
          </w:p>
        </w:tc>
      </w:tr>
      <w:tr w14:paraId="3CD69E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1" w:type="pct"/>
            <w:vMerge w:val="continue"/>
            <w:shd w:val="clear" w:color="auto" w:fill="auto"/>
            <w:vAlign w:val="center"/>
          </w:tcPr>
          <w:p w14:paraId="01D2A619">
            <w:pPr>
              <w:rPr>
                <w:color w:val="auto"/>
                <w:sz w:val="24"/>
                <w:szCs w:val="24"/>
              </w:rPr>
            </w:pPr>
          </w:p>
        </w:tc>
        <w:tc>
          <w:tcPr>
            <w:tcW w:w="4169" w:type="pct"/>
            <w:shd w:val="clear" w:color="auto" w:fill="auto"/>
            <w:vAlign w:val="center"/>
          </w:tcPr>
          <w:p w14:paraId="2B43F943">
            <w:pPr>
              <w:rPr>
                <w:color w:val="auto"/>
                <w:sz w:val="24"/>
                <w:szCs w:val="24"/>
              </w:rPr>
            </w:pPr>
            <w:r>
              <w:rPr>
                <w:rFonts w:hint="eastAsia"/>
                <w:color w:val="auto"/>
                <w:sz w:val="24"/>
                <w:szCs w:val="24"/>
              </w:rPr>
              <w:t>支持2个以上国密应用，同时支持8个以上证书</w:t>
            </w:r>
          </w:p>
        </w:tc>
      </w:tr>
      <w:tr w14:paraId="54C9E4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1" w:type="pct"/>
            <w:vMerge w:val="continue"/>
            <w:shd w:val="clear" w:color="auto" w:fill="auto"/>
            <w:vAlign w:val="center"/>
          </w:tcPr>
          <w:p w14:paraId="2C4E3AC1">
            <w:pPr>
              <w:jc w:val="center"/>
              <w:rPr>
                <w:color w:val="auto"/>
                <w:sz w:val="24"/>
                <w:szCs w:val="24"/>
              </w:rPr>
            </w:pPr>
          </w:p>
        </w:tc>
        <w:tc>
          <w:tcPr>
            <w:tcW w:w="4169" w:type="pct"/>
            <w:shd w:val="clear" w:color="auto" w:fill="auto"/>
            <w:vAlign w:val="center"/>
          </w:tcPr>
          <w:p w14:paraId="08FAB16C">
            <w:pPr>
              <w:rPr>
                <w:color w:val="auto"/>
                <w:sz w:val="24"/>
                <w:szCs w:val="24"/>
              </w:rPr>
            </w:pPr>
            <w:r>
              <w:rPr>
                <w:rFonts w:hint="eastAsia"/>
                <w:color w:val="auto"/>
                <w:sz w:val="24"/>
                <w:szCs w:val="24"/>
              </w:rPr>
              <w:t>验证及运算过程在硬件内部完成，私钥永不出Key，具有多种对抗攻击的安全检测和保护手段</w:t>
            </w:r>
          </w:p>
        </w:tc>
      </w:tr>
      <w:tr w14:paraId="3DADB1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831" w:type="pct"/>
            <w:vMerge w:val="continue"/>
            <w:shd w:val="clear" w:color="auto" w:fill="auto"/>
            <w:vAlign w:val="center"/>
          </w:tcPr>
          <w:p w14:paraId="13FE9D66">
            <w:pPr>
              <w:jc w:val="center"/>
              <w:rPr>
                <w:color w:val="auto"/>
                <w:sz w:val="24"/>
                <w:szCs w:val="24"/>
              </w:rPr>
            </w:pPr>
          </w:p>
        </w:tc>
        <w:tc>
          <w:tcPr>
            <w:tcW w:w="4169" w:type="pct"/>
            <w:shd w:val="clear" w:color="auto" w:fill="auto"/>
            <w:vAlign w:val="center"/>
          </w:tcPr>
          <w:p w14:paraId="151DA888">
            <w:pPr>
              <w:rPr>
                <w:color w:val="auto"/>
                <w:sz w:val="24"/>
                <w:szCs w:val="24"/>
              </w:rPr>
            </w:pPr>
            <w:r>
              <w:rPr>
                <w:rFonts w:hint="eastAsia"/>
                <w:color w:val="auto"/>
                <w:sz w:val="24"/>
                <w:szCs w:val="24"/>
              </w:rPr>
              <w:t>符合USB2.0规范，兼容USB1.1，兼容3.0规范接口</w:t>
            </w:r>
          </w:p>
        </w:tc>
      </w:tr>
      <w:tr w14:paraId="35737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1" w:type="pct"/>
            <w:vMerge w:val="restart"/>
            <w:shd w:val="clear" w:color="auto" w:fill="auto"/>
            <w:vAlign w:val="center"/>
          </w:tcPr>
          <w:p w14:paraId="616C70DA">
            <w:pPr>
              <w:jc w:val="center"/>
              <w:rPr>
                <w:color w:val="auto"/>
                <w:sz w:val="24"/>
                <w:szCs w:val="24"/>
              </w:rPr>
            </w:pPr>
            <w:r>
              <w:rPr>
                <w:rFonts w:hint="eastAsia"/>
                <w:color w:val="auto"/>
                <w:sz w:val="24"/>
                <w:szCs w:val="24"/>
              </w:rPr>
              <w:t>支持系统</w:t>
            </w:r>
          </w:p>
        </w:tc>
        <w:tc>
          <w:tcPr>
            <w:tcW w:w="4169" w:type="pct"/>
            <w:shd w:val="clear" w:color="auto" w:fill="auto"/>
            <w:vAlign w:val="center"/>
          </w:tcPr>
          <w:p w14:paraId="4C051090">
            <w:pPr>
              <w:rPr>
                <w:color w:val="auto"/>
                <w:sz w:val="24"/>
                <w:szCs w:val="24"/>
              </w:rPr>
            </w:pPr>
            <w:r>
              <w:rPr>
                <w:color w:val="auto"/>
                <w:sz w:val="24"/>
                <w:szCs w:val="24"/>
              </w:rPr>
              <w:t>Windows XP/2000</w:t>
            </w:r>
            <w:r>
              <w:rPr>
                <w:rFonts w:hint="eastAsia"/>
                <w:color w:val="auto"/>
                <w:sz w:val="24"/>
                <w:szCs w:val="24"/>
              </w:rPr>
              <w:t>/</w:t>
            </w:r>
            <w:r>
              <w:rPr>
                <w:color w:val="auto"/>
                <w:sz w:val="24"/>
                <w:szCs w:val="24"/>
              </w:rPr>
              <w:t>2003/7/8/10</w:t>
            </w:r>
            <w:r>
              <w:rPr>
                <w:rFonts w:hint="eastAsia"/>
                <w:color w:val="auto"/>
                <w:sz w:val="24"/>
                <w:szCs w:val="24"/>
              </w:rPr>
              <w:t>/</w:t>
            </w:r>
            <w:r>
              <w:rPr>
                <w:color w:val="auto"/>
                <w:sz w:val="24"/>
                <w:szCs w:val="24"/>
              </w:rPr>
              <w:t>11</w:t>
            </w:r>
          </w:p>
        </w:tc>
      </w:tr>
      <w:tr w14:paraId="6627D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1" w:type="pct"/>
            <w:vMerge w:val="continue"/>
            <w:shd w:val="clear" w:color="auto" w:fill="auto"/>
            <w:vAlign w:val="center"/>
          </w:tcPr>
          <w:p w14:paraId="2016BCA1">
            <w:pPr>
              <w:jc w:val="center"/>
              <w:rPr>
                <w:color w:val="auto"/>
                <w:sz w:val="24"/>
                <w:szCs w:val="24"/>
              </w:rPr>
            </w:pPr>
          </w:p>
        </w:tc>
        <w:tc>
          <w:tcPr>
            <w:tcW w:w="4169" w:type="pct"/>
            <w:shd w:val="clear" w:color="auto" w:fill="auto"/>
            <w:vAlign w:val="center"/>
          </w:tcPr>
          <w:p w14:paraId="4E778663">
            <w:pPr>
              <w:rPr>
                <w:color w:val="auto"/>
                <w:sz w:val="24"/>
                <w:szCs w:val="24"/>
              </w:rPr>
            </w:pPr>
            <w:r>
              <w:rPr>
                <w:rFonts w:hint="eastAsia"/>
                <w:color w:val="auto"/>
                <w:sz w:val="24"/>
                <w:szCs w:val="24"/>
              </w:rPr>
              <w:t>信创（统信、麒麟等国产操作系统）</w:t>
            </w:r>
          </w:p>
        </w:tc>
      </w:tr>
      <w:tr w14:paraId="2A97C5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31" w:type="pct"/>
            <w:vMerge w:val="restart"/>
            <w:shd w:val="clear" w:color="auto" w:fill="auto"/>
            <w:vAlign w:val="center"/>
          </w:tcPr>
          <w:p w14:paraId="6764FDD1">
            <w:pPr>
              <w:jc w:val="center"/>
              <w:rPr>
                <w:color w:val="auto"/>
                <w:sz w:val="24"/>
                <w:szCs w:val="24"/>
              </w:rPr>
            </w:pPr>
            <w:r>
              <w:rPr>
                <w:rFonts w:hint="eastAsia"/>
                <w:color w:val="auto"/>
                <w:sz w:val="24"/>
                <w:szCs w:val="24"/>
              </w:rPr>
              <w:t>支持标准</w:t>
            </w:r>
          </w:p>
        </w:tc>
        <w:tc>
          <w:tcPr>
            <w:tcW w:w="4169" w:type="pct"/>
            <w:shd w:val="clear" w:color="auto" w:fill="auto"/>
            <w:vAlign w:val="center"/>
          </w:tcPr>
          <w:p w14:paraId="090C3CF5">
            <w:pPr>
              <w:rPr>
                <w:color w:val="auto"/>
                <w:sz w:val="24"/>
                <w:szCs w:val="24"/>
              </w:rPr>
            </w:pPr>
            <w:r>
              <w:rPr>
                <w:rFonts w:hint="eastAsia"/>
                <w:color w:val="auto"/>
                <w:sz w:val="24"/>
                <w:szCs w:val="24"/>
              </w:rPr>
              <w:t>CSP/PKCS#11、SKF国密标准</w:t>
            </w:r>
          </w:p>
        </w:tc>
      </w:tr>
      <w:tr w14:paraId="7CE1AE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1" w:type="pct"/>
            <w:vMerge w:val="continue"/>
            <w:shd w:val="clear" w:color="auto" w:fill="auto"/>
            <w:vAlign w:val="center"/>
          </w:tcPr>
          <w:p w14:paraId="091FEF91">
            <w:pPr>
              <w:jc w:val="center"/>
              <w:rPr>
                <w:color w:val="auto"/>
                <w:sz w:val="24"/>
                <w:szCs w:val="24"/>
              </w:rPr>
            </w:pPr>
          </w:p>
        </w:tc>
        <w:tc>
          <w:tcPr>
            <w:tcW w:w="4169" w:type="pct"/>
            <w:shd w:val="clear" w:color="auto" w:fill="auto"/>
            <w:vAlign w:val="center"/>
          </w:tcPr>
          <w:p w14:paraId="07AF1498">
            <w:pPr>
              <w:rPr>
                <w:color w:val="auto"/>
                <w:sz w:val="24"/>
                <w:szCs w:val="24"/>
              </w:rPr>
            </w:pPr>
            <w:r>
              <w:rPr>
                <w:rFonts w:hint="eastAsia"/>
                <w:color w:val="auto"/>
                <w:sz w:val="24"/>
                <w:szCs w:val="24"/>
              </w:rPr>
              <w:t>支持X.509 v3标准证书格式</w:t>
            </w:r>
          </w:p>
        </w:tc>
      </w:tr>
      <w:tr w14:paraId="54BDA1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1" w:type="pct"/>
            <w:vMerge w:val="continue"/>
            <w:shd w:val="clear" w:color="auto" w:fill="auto"/>
            <w:vAlign w:val="center"/>
          </w:tcPr>
          <w:p w14:paraId="597F591E">
            <w:pPr>
              <w:jc w:val="center"/>
              <w:rPr>
                <w:color w:val="auto"/>
                <w:sz w:val="24"/>
                <w:szCs w:val="24"/>
              </w:rPr>
            </w:pPr>
          </w:p>
        </w:tc>
        <w:tc>
          <w:tcPr>
            <w:tcW w:w="4169" w:type="pct"/>
            <w:shd w:val="clear" w:color="auto" w:fill="auto"/>
            <w:vAlign w:val="center"/>
          </w:tcPr>
          <w:p w14:paraId="2EE76186">
            <w:pPr>
              <w:rPr>
                <w:color w:val="auto"/>
                <w:sz w:val="24"/>
                <w:szCs w:val="24"/>
              </w:rPr>
            </w:pPr>
            <w:r>
              <w:rPr>
                <w:rFonts w:hint="eastAsia"/>
                <w:color w:val="auto"/>
                <w:sz w:val="24"/>
                <w:szCs w:val="24"/>
              </w:rPr>
              <w:t>AES/SHA256/RSA2048/SM1/SM2/SM3/SM4(256位)，对称算法支持ECB、CBC模式</w:t>
            </w:r>
          </w:p>
        </w:tc>
      </w:tr>
      <w:tr w14:paraId="4D9D81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1" w:type="pct"/>
            <w:vMerge w:val="continue"/>
            <w:shd w:val="clear" w:color="auto" w:fill="auto"/>
            <w:vAlign w:val="center"/>
          </w:tcPr>
          <w:p w14:paraId="72E20075">
            <w:pPr>
              <w:jc w:val="center"/>
              <w:rPr>
                <w:color w:val="auto"/>
                <w:sz w:val="24"/>
                <w:szCs w:val="24"/>
              </w:rPr>
            </w:pPr>
          </w:p>
        </w:tc>
        <w:tc>
          <w:tcPr>
            <w:tcW w:w="4169" w:type="pct"/>
            <w:shd w:val="clear" w:color="auto" w:fill="auto"/>
            <w:vAlign w:val="center"/>
          </w:tcPr>
          <w:p w14:paraId="7A735D91">
            <w:pPr>
              <w:rPr>
                <w:color w:val="auto"/>
                <w:sz w:val="24"/>
                <w:szCs w:val="24"/>
              </w:rPr>
            </w:pPr>
            <w:r>
              <w:rPr>
                <w:rFonts w:hint="eastAsia"/>
                <w:color w:val="auto"/>
                <w:sz w:val="24"/>
                <w:szCs w:val="24"/>
              </w:rPr>
              <w:t>符合USB2.0规范，兼容USB1.1，兼容3.0规范接口</w:t>
            </w:r>
          </w:p>
        </w:tc>
      </w:tr>
      <w:tr w14:paraId="467F23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1" w:type="pct"/>
            <w:vMerge w:val="restart"/>
            <w:shd w:val="clear" w:color="auto" w:fill="auto"/>
            <w:vAlign w:val="center"/>
          </w:tcPr>
          <w:p w14:paraId="4F2C8AF5">
            <w:pPr>
              <w:jc w:val="center"/>
              <w:rPr>
                <w:color w:val="auto"/>
                <w:sz w:val="24"/>
                <w:szCs w:val="24"/>
              </w:rPr>
            </w:pPr>
            <w:r>
              <w:rPr>
                <w:rFonts w:hint="eastAsia"/>
                <w:color w:val="auto"/>
                <w:sz w:val="24"/>
                <w:szCs w:val="24"/>
              </w:rPr>
              <w:t>支持接口</w:t>
            </w:r>
          </w:p>
        </w:tc>
        <w:tc>
          <w:tcPr>
            <w:tcW w:w="4169" w:type="pct"/>
            <w:shd w:val="clear" w:color="auto" w:fill="auto"/>
            <w:vAlign w:val="center"/>
          </w:tcPr>
          <w:p w14:paraId="54BE8DB2">
            <w:pPr>
              <w:rPr>
                <w:color w:val="auto"/>
                <w:sz w:val="24"/>
                <w:szCs w:val="24"/>
              </w:rPr>
            </w:pPr>
            <w:r>
              <w:rPr>
                <w:rFonts w:hint="eastAsia"/>
                <w:color w:val="auto"/>
                <w:sz w:val="24"/>
                <w:szCs w:val="24"/>
              </w:rPr>
              <w:t>提供CSP/PKCS#11/SKF开发接口</w:t>
            </w:r>
          </w:p>
        </w:tc>
      </w:tr>
      <w:tr w14:paraId="0CF68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1" w:type="pct"/>
            <w:vMerge w:val="continue"/>
            <w:shd w:val="clear" w:color="auto" w:fill="auto"/>
            <w:vAlign w:val="center"/>
          </w:tcPr>
          <w:p w14:paraId="531D288B">
            <w:pPr>
              <w:jc w:val="center"/>
              <w:rPr>
                <w:color w:val="auto"/>
                <w:sz w:val="24"/>
                <w:szCs w:val="24"/>
              </w:rPr>
            </w:pPr>
          </w:p>
        </w:tc>
        <w:tc>
          <w:tcPr>
            <w:tcW w:w="4169" w:type="pct"/>
            <w:shd w:val="clear" w:color="auto" w:fill="auto"/>
            <w:vAlign w:val="center"/>
          </w:tcPr>
          <w:p w14:paraId="177B9270">
            <w:pPr>
              <w:rPr>
                <w:color w:val="auto"/>
                <w:sz w:val="24"/>
                <w:szCs w:val="24"/>
              </w:rPr>
            </w:pPr>
            <w:r>
              <w:rPr>
                <w:rFonts w:hint="eastAsia"/>
                <w:color w:val="auto"/>
                <w:sz w:val="24"/>
                <w:szCs w:val="24"/>
              </w:rPr>
              <w:t>支持RSA/SM2且同时支持SKF/CSP/P11接口互通调用</w:t>
            </w:r>
          </w:p>
        </w:tc>
      </w:tr>
      <w:tr w14:paraId="66D05C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1" w:type="pct"/>
            <w:vMerge w:val="restart"/>
            <w:shd w:val="clear" w:color="auto" w:fill="auto"/>
            <w:vAlign w:val="center"/>
          </w:tcPr>
          <w:p w14:paraId="051528B7">
            <w:pPr>
              <w:jc w:val="center"/>
              <w:rPr>
                <w:color w:val="auto"/>
                <w:sz w:val="24"/>
                <w:szCs w:val="24"/>
              </w:rPr>
            </w:pPr>
            <w:r>
              <w:rPr>
                <w:rFonts w:hint="eastAsia"/>
                <w:color w:val="auto"/>
                <w:sz w:val="24"/>
                <w:szCs w:val="24"/>
              </w:rPr>
              <w:t>规格参数</w:t>
            </w:r>
          </w:p>
        </w:tc>
        <w:tc>
          <w:tcPr>
            <w:tcW w:w="4169" w:type="pct"/>
            <w:shd w:val="clear" w:color="auto" w:fill="auto"/>
            <w:vAlign w:val="center"/>
          </w:tcPr>
          <w:p w14:paraId="6ED396E9">
            <w:pPr>
              <w:rPr>
                <w:color w:val="auto"/>
                <w:sz w:val="24"/>
                <w:szCs w:val="24"/>
              </w:rPr>
            </w:pPr>
            <w:r>
              <w:rPr>
                <w:rFonts w:hint="eastAsia"/>
                <w:color w:val="auto"/>
                <w:sz w:val="24"/>
                <w:szCs w:val="24"/>
              </w:rPr>
              <w:t>存储年限：大于10年</w:t>
            </w:r>
          </w:p>
        </w:tc>
      </w:tr>
      <w:tr w14:paraId="2BD73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1" w:type="pct"/>
            <w:vMerge w:val="continue"/>
            <w:shd w:val="clear" w:color="auto" w:fill="auto"/>
            <w:vAlign w:val="center"/>
          </w:tcPr>
          <w:p w14:paraId="7AADCF2E">
            <w:pPr>
              <w:jc w:val="center"/>
              <w:rPr>
                <w:color w:val="auto"/>
                <w:sz w:val="24"/>
                <w:szCs w:val="24"/>
              </w:rPr>
            </w:pPr>
          </w:p>
        </w:tc>
        <w:tc>
          <w:tcPr>
            <w:tcW w:w="4169" w:type="pct"/>
            <w:shd w:val="clear" w:color="auto" w:fill="auto"/>
            <w:vAlign w:val="center"/>
          </w:tcPr>
          <w:p w14:paraId="4B67D392">
            <w:pPr>
              <w:rPr>
                <w:color w:val="auto"/>
                <w:sz w:val="24"/>
                <w:szCs w:val="24"/>
              </w:rPr>
            </w:pPr>
            <w:r>
              <w:rPr>
                <w:rFonts w:hint="eastAsia"/>
                <w:color w:val="auto"/>
                <w:sz w:val="24"/>
                <w:szCs w:val="24"/>
              </w:rPr>
              <w:t>擦写次数：室温下擦写次数10万次</w:t>
            </w:r>
          </w:p>
        </w:tc>
      </w:tr>
      <w:tr w14:paraId="3F5881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1" w:type="pct"/>
            <w:vMerge w:val="continue"/>
            <w:shd w:val="clear" w:color="auto" w:fill="auto"/>
            <w:vAlign w:val="center"/>
          </w:tcPr>
          <w:p w14:paraId="76ACD453">
            <w:pPr>
              <w:jc w:val="center"/>
              <w:rPr>
                <w:color w:val="auto"/>
                <w:sz w:val="24"/>
                <w:szCs w:val="24"/>
              </w:rPr>
            </w:pPr>
          </w:p>
        </w:tc>
        <w:tc>
          <w:tcPr>
            <w:tcW w:w="4169" w:type="pct"/>
            <w:shd w:val="clear" w:color="auto" w:fill="auto"/>
            <w:vAlign w:val="center"/>
          </w:tcPr>
          <w:p w14:paraId="21F9839F">
            <w:pPr>
              <w:rPr>
                <w:color w:val="auto"/>
                <w:sz w:val="24"/>
                <w:szCs w:val="24"/>
              </w:rPr>
            </w:pPr>
            <w:r>
              <w:rPr>
                <w:rFonts w:hint="eastAsia"/>
                <w:color w:val="auto"/>
                <w:sz w:val="24"/>
                <w:szCs w:val="24"/>
              </w:rPr>
              <w:t>工作电压：4.5～5.5V(USB口供电)</w:t>
            </w:r>
          </w:p>
        </w:tc>
      </w:tr>
      <w:tr w14:paraId="279406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1" w:type="pct"/>
            <w:vMerge w:val="continue"/>
            <w:shd w:val="clear" w:color="auto" w:fill="auto"/>
            <w:vAlign w:val="center"/>
          </w:tcPr>
          <w:p w14:paraId="18351ED1">
            <w:pPr>
              <w:jc w:val="center"/>
              <w:rPr>
                <w:color w:val="auto"/>
                <w:sz w:val="24"/>
                <w:szCs w:val="24"/>
              </w:rPr>
            </w:pPr>
          </w:p>
        </w:tc>
        <w:tc>
          <w:tcPr>
            <w:tcW w:w="4169" w:type="pct"/>
            <w:shd w:val="clear" w:color="auto" w:fill="auto"/>
            <w:vAlign w:val="center"/>
          </w:tcPr>
          <w:p w14:paraId="49DBBAB3">
            <w:pPr>
              <w:rPr>
                <w:color w:val="auto"/>
                <w:sz w:val="24"/>
                <w:szCs w:val="24"/>
              </w:rPr>
            </w:pPr>
            <w:r>
              <w:rPr>
                <w:rFonts w:hint="eastAsia"/>
                <w:color w:val="auto"/>
                <w:sz w:val="24"/>
                <w:szCs w:val="24"/>
              </w:rPr>
              <w:t>工作电流：&lt;60mA，功率&lt; 300 mW</w:t>
            </w:r>
          </w:p>
        </w:tc>
      </w:tr>
      <w:tr w14:paraId="622547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1" w:type="pct"/>
            <w:vMerge w:val="continue"/>
            <w:shd w:val="clear" w:color="auto" w:fill="auto"/>
            <w:vAlign w:val="center"/>
          </w:tcPr>
          <w:p w14:paraId="0BB2749E">
            <w:pPr>
              <w:jc w:val="center"/>
              <w:rPr>
                <w:color w:val="auto"/>
                <w:sz w:val="24"/>
                <w:szCs w:val="24"/>
              </w:rPr>
            </w:pPr>
          </w:p>
        </w:tc>
        <w:tc>
          <w:tcPr>
            <w:tcW w:w="4169" w:type="pct"/>
            <w:shd w:val="clear" w:color="auto" w:fill="auto"/>
            <w:vAlign w:val="center"/>
          </w:tcPr>
          <w:p w14:paraId="6736D313">
            <w:pPr>
              <w:rPr>
                <w:color w:val="auto"/>
                <w:sz w:val="24"/>
                <w:szCs w:val="24"/>
              </w:rPr>
            </w:pPr>
            <w:r>
              <w:rPr>
                <w:rFonts w:hint="eastAsia"/>
                <w:color w:val="auto"/>
                <w:sz w:val="24"/>
                <w:szCs w:val="24"/>
              </w:rPr>
              <w:t>工作温度：0℃～70℃</w:t>
            </w:r>
          </w:p>
        </w:tc>
      </w:tr>
      <w:tr w14:paraId="660FCD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1" w:type="pct"/>
            <w:vMerge w:val="continue"/>
            <w:shd w:val="clear" w:color="auto" w:fill="auto"/>
            <w:vAlign w:val="center"/>
          </w:tcPr>
          <w:p w14:paraId="7FD66232">
            <w:pPr>
              <w:jc w:val="center"/>
              <w:rPr>
                <w:color w:val="auto"/>
                <w:sz w:val="24"/>
                <w:szCs w:val="24"/>
              </w:rPr>
            </w:pPr>
          </w:p>
        </w:tc>
        <w:tc>
          <w:tcPr>
            <w:tcW w:w="4169" w:type="pct"/>
            <w:shd w:val="clear" w:color="auto" w:fill="auto"/>
            <w:vAlign w:val="center"/>
          </w:tcPr>
          <w:p w14:paraId="1925963E">
            <w:pPr>
              <w:rPr>
                <w:color w:val="auto"/>
                <w:sz w:val="24"/>
                <w:szCs w:val="24"/>
              </w:rPr>
            </w:pPr>
            <w:r>
              <w:rPr>
                <w:rFonts w:hint="eastAsia"/>
                <w:color w:val="auto"/>
                <w:sz w:val="24"/>
                <w:szCs w:val="24"/>
              </w:rPr>
              <w:t>存放温度：-20℃～85℃</w:t>
            </w:r>
          </w:p>
        </w:tc>
      </w:tr>
      <w:tr w14:paraId="6A9538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1" w:type="pct"/>
            <w:vMerge w:val="continue"/>
            <w:shd w:val="clear" w:color="auto" w:fill="auto"/>
            <w:vAlign w:val="center"/>
          </w:tcPr>
          <w:p w14:paraId="365282E6">
            <w:pPr>
              <w:jc w:val="center"/>
              <w:rPr>
                <w:color w:val="auto"/>
                <w:sz w:val="24"/>
                <w:szCs w:val="24"/>
              </w:rPr>
            </w:pPr>
          </w:p>
        </w:tc>
        <w:tc>
          <w:tcPr>
            <w:tcW w:w="4169" w:type="pct"/>
            <w:shd w:val="clear" w:color="auto" w:fill="auto"/>
            <w:vAlign w:val="center"/>
          </w:tcPr>
          <w:p w14:paraId="0A0F37B9">
            <w:pPr>
              <w:rPr>
                <w:color w:val="auto"/>
                <w:sz w:val="24"/>
                <w:szCs w:val="24"/>
              </w:rPr>
            </w:pPr>
            <w:r>
              <w:rPr>
                <w:rFonts w:hint="eastAsia"/>
                <w:color w:val="auto"/>
                <w:sz w:val="24"/>
                <w:szCs w:val="24"/>
              </w:rPr>
              <w:t>湿度：&lt;90%RH</w:t>
            </w:r>
          </w:p>
        </w:tc>
      </w:tr>
      <w:tr w14:paraId="151AB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1" w:type="pct"/>
            <w:vMerge w:val="restart"/>
            <w:shd w:val="clear" w:color="auto" w:fill="auto"/>
            <w:vAlign w:val="center"/>
          </w:tcPr>
          <w:p w14:paraId="1DB2368C">
            <w:pPr>
              <w:jc w:val="center"/>
              <w:rPr>
                <w:color w:val="auto"/>
                <w:sz w:val="24"/>
                <w:szCs w:val="24"/>
              </w:rPr>
            </w:pPr>
            <w:r>
              <w:rPr>
                <w:rFonts w:hint="eastAsia"/>
                <w:color w:val="auto"/>
                <w:sz w:val="24"/>
                <w:szCs w:val="24"/>
              </w:rPr>
              <w:t>性能参数</w:t>
            </w:r>
          </w:p>
        </w:tc>
        <w:tc>
          <w:tcPr>
            <w:tcW w:w="4169" w:type="pct"/>
            <w:shd w:val="clear" w:color="auto" w:fill="auto"/>
            <w:vAlign w:val="center"/>
          </w:tcPr>
          <w:p w14:paraId="565D34B4">
            <w:pPr>
              <w:rPr>
                <w:color w:val="auto"/>
                <w:sz w:val="24"/>
                <w:szCs w:val="24"/>
              </w:rPr>
            </w:pPr>
            <w:r>
              <w:rPr>
                <w:rFonts w:hint="eastAsia"/>
                <w:color w:val="auto"/>
                <w:sz w:val="24"/>
                <w:szCs w:val="24"/>
              </w:rPr>
              <w:t>SM1加解密 ≥1.4Mbps</w:t>
            </w:r>
          </w:p>
        </w:tc>
      </w:tr>
      <w:tr w14:paraId="0947E2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1" w:type="pct"/>
            <w:vMerge w:val="continue"/>
            <w:shd w:val="clear" w:color="auto" w:fill="auto"/>
            <w:vAlign w:val="center"/>
          </w:tcPr>
          <w:p w14:paraId="36F3E482">
            <w:pPr>
              <w:jc w:val="center"/>
              <w:rPr>
                <w:color w:val="auto"/>
                <w:sz w:val="24"/>
                <w:szCs w:val="24"/>
              </w:rPr>
            </w:pPr>
          </w:p>
        </w:tc>
        <w:tc>
          <w:tcPr>
            <w:tcW w:w="4169" w:type="pct"/>
            <w:shd w:val="clear" w:color="auto" w:fill="auto"/>
            <w:vAlign w:val="center"/>
          </w:tcPr>
          <w:p w14:paraId="1473272F">
            <w:pPr>
              <w:rPr>
                <w:color w:val="auto"/>
                <w:sz w:val="24"/>
                <w:szCs w:val="24"/>
              </w:rPr>
            </w:pPr>
            <w:r>
              <w:rPr>
                <w:rFonts w:hint="eastAsia"/>
                <w:color w:val="auto"/>
                <w:sz w:val="24"/>
                <w:szCs w:val="24"/>
              </w:rPr>
              <w:t>SM4加解密 ≥1.7Mbps</w:t>
            </w:r>
          </w:p>
        </w:tc>
      </w:tr>
      <w:tr w14:paraId="362D7D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1" w:type="pct"/>
            <w:vMerge w:val="continue"/>
            <w:shd w:val="clear" w:color="auto" w:fill="auto"/>
            <w:vAlign w:val="center"/>
          </w:tcPr>
          <w:p w14:paraId="68DB0249">
            <w:pPr>
              <w:jc w:val="center"/>
              <w:rPr>
                <w:color w:val="auto"/>
                <w:sz w:val="24"/>
                <w:szCs w:val="24"/>
              </w:rPr>
            </w:pPr>
          </w:p>
        </w:tc>
        <w:tc>
          <w:tcPr>
            <w:tcW w:w="4169" w:type="pct"/>
            <w:shd w:val="clear" w:color="auto" w:fill="auto"/>
            <w:vAlign w:val="center"/>
          </w:tcPr>
          <w:p w14:paraId="6C1058FA">
            <w:pPr>
              <w:rPr>
                <w:color w:val="auto"/>
                <w:sz w:val="24"/>
                <w:szCs w:val="24"/>
              </w:rPr>
            </w:pPr>
            <w:r>
              <w:rPr>
                <w:rFonts w:hint="eastAsia"/>
                <w:color w:val="auto"/>
                <w:sz w:val="24"/>
                <w:szCs w:val="24"/>
              </w:rPr>
              <w:t>SM2密钥对生成 ≥4次/秒</w:t>
            </w:r>
          </w:p>
        </w:tc>
      </w:tr>
      <w:tr w14:paraId="72A6BB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831" w:type="pct"/>
            <w:vMerge w:val="continue"/>
            <w:shd w:val="clear" w:color="auto" w:fill="auto"/>
            <w:vAlign w:val="center"/>
          </w:tcPr>
          <w:p w14:paraId="3FAA8E90">
            <w:pPr>
              <w:jc w:val="center"/>
              <w:rPr>
                <w:color w:val="auto"/>
                <w:sz w:val="24"/>
                <w:szCs w:val="24"/>
              </w:rPr>
            </w:pPr>
          </w:p>
        </w:tc>
        <w:tc>
          <w:tcPr>
            <w:tcW w:w="4169" w:type="pct"/>
            <w:shd w:val="clear" w:color="auto" w:fill="auto"/>
            <w:vAlign w:val="center"/>
          </w:tcPr>
          <w:p w14:paraId="5E1BFD85">
            <w:pPr>
              <w:rPr>
                <w:color w:val="auto"/>
                <w:sz w:val="24"/>
                <w:szCs w:val="24"/>
              </w:rPr>
            </w:pPr>
            <w:r>
              <w:rPr>
                <w:rFonts w:hint="eastAsia"/>
                <w:color w:val="auto"/>
                <w:sz w:val="24"/>
                <w:szCs w:val="24"/>
              </w:rPr>
              <w:t>SM2解密 ≥90次/秒</w:t>
            </w:r>
          </w:p>
        </w:tc>
      </w:tr>
      <w:tr w14:paraId="6B7CD7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831" w:type="pct"/>
            <w:vMerge w:val="continue"/>
            <w:shd w:val="clear" w:color="auto" w:fill="auto"/>
            <w:vAlign w:val="center"/>
          </w:tcPr>
          <w:p w14:paraId="4814294F">
            <w:pPr>
              <w:jc w:val="center"/>
              <w:rPr>
                <w:color w:val="auto"/>
                <w:sz w:val="24"/>
                <w:szCs w:val="24"/>
              </w:rPr>
            </w:pPr>
          </w:p>
        </w:tc>
        <w:tc>
          <w:tcPr>
            <w:tcW w:w="4169" w:type="pct"/>
            <w:shd w:val="clear" w:color="auto" w:fill="auto"/>
            <w:vAlign w:val="center"/>
          </w:tcPr>
          <w:p w14:paraId="140FC2C9">
            <w:pPr>
              <w:rPr>
                <w:color w:val="auto"/>
                <w:sz w:val="24"/>
                <w:szCs w:val="24"/>
              </w:rPr>
            </w:pPr>
            <w:r>
              <w:rPr>
                <w:rFonts w:hint="eastAsia"/>
                <w:color w:val="auto"/>
                <w:sz w:val="24"/>
                <w:szCs w:val="24"/>
              </w:rPr>
              <w:t>SM2签名 ≥120次/秒</w:t>
            </w:r>
          </w:p>
        </w:tc>
      </w:tr>
      <w:tr w14:paraId="68DFFA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831" w:type="pct"/>
            <w:vMerge w:val="continue"/>
            <w:shd w:val="clear" w:color="auto" w:fill="auto"/>
            <w:vAlign w:val="center"/>
          </w:tcPr>
          <w:p w14:paraId="5A8430A5">
            <w:pPr>
              <w:jc w:val="center"/>
              <w:rPr>
                <w:color w:val="auto"/>
                <w:sz w:val="24"/>
                <w:szCs w:val="24"/>
              </w:rPr>
            </w:pPr>
          </w:p>
        </w:tc>
        <w:tc>
          <w:tcPr>
            <w:tcW w:w="4169" w:type="pct"/>
            <w:shd w:val="clear" w:color="auto" w:fill="auto"/>
            <w:vAlign w:val="center"/>
          </w:tcPr>
          <w:p w14:paraId="3EAC4713">
            <w:pPr>
              <w:rPr>
                <w:color w:val="auto"/>
                <w:sz w:val="24"/>
                <w:szCs w:val="24"/>
              </w:rPr>
            </w:pPr>
            <w:r>
              <w:rPr>
                <w:rFonts w:hint="eastAsia"/>
                <w:color w:val="auto"/>
                <w:sz w:val="24"/>
                <w:szCs w:val="24"/>
              </w:rPr>
              <w:t>SM2验签 ≥90次/秒</w:t>
            </w:r>
          </w:p>
        </w:tc>
      </w:tr>
      <w:tr w14:paraId="3C152E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1" w:type="pct"/>
            <w:vMerge w:val="continue"/>
            <w:shd w:val="clear" w:color="auto" w:fill="auto"/>
            <w:vAlign w:val="center"/>
          </w:tcPr>
          <w:p w14:paraId="2CB2072D">
            <w:pPr>
              <w:jc w:val="center"/>
              <w:rPr>
                <w:color w:val="auto"/>
                <w:sz w:val="24"/>
                <w:szCs w:val="24"/>
              </w:rPr>
            </w:pPr>
          </w:p>
        </w:tc>
        <w:tc>
          <w:tcPr>
            <w:tcW w:w="4169" w:type="pct"/>
            <w:shd w:val="clear" w:color="auto" w:fill="auto"/>
            <w:vAlign w:val="center"/>
          </w:tcPr>
          <w:p w14:paraId="7EAC9553">
            <w:pPr>
              <w:rPr>
                <w:color w:val="auto"/>
                <w:sz w:val="24"/>
                <w:szCs w:val="24"/>
              </w:rPr>
            </w:pPr>
            <w:r>
              <w:rPr>
                <w:rFonts w:hint="eastAsia"/>
                <w:color w:val="auto"/>
                <w:sz w:val="24"/>
                <w:szCs w:val="24"/>
              </w:rPr>
              <w:t>RSA密钥对生成（1024） ≤0.7秒/次</w:t>
            </w:r>
          </w:p>
        </w:tc>
      </w:tr>
      <w:tr w14:paraId="19507C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831" w:type="pct"/>
            <w:vMerge w:val="continue"/>
            <w:shd w:val="clear" w:color="auto" w:fill="auto"/>
            <w:vAlign w:val="center"/>
          </w:tcPr>
          <w:p w14:paraId="612FCF82">
            <w:pPr>
              <w:jc w:val="center"/>
              <w:rPr>
                <w:color w:val="auto"/>
                <w:sz w:val="24"/>
                <w:szCs w:val="24"/>
              </w:rPr>
            </w:pPr>
          </w:p>
        </w:tc>
        <w:tc>
          <w:tcPr>
            <w:tcW w:w="4169" w:type="pct"/>
            <w:shd w:val="clear" w:color="auto" w:fill="auto"/>
            <w:vAlign w:val="center"/>
          </w:tcPr>
          <w:p w14:paraId="54FB18AD">
            <w:pPr>
              <w:rPr>
                <w:color w:val="auto"/>
                <w:sz w:val="24"/>
                <w:szCs w:val="24"/>
              </w:rPr>
            </w:pPr>
            <w:r>
              <w:rPr>
                <w:rFonts w:hint="eastAsia"/>
                <w:color w:val="auto"/>
                <w:sz w:val="24"/>
                <w:szCs w:val="24"/>
              </w:rPr>
              <w:t>RSA签名（1024） ≥95次/秒</w:t>
            </w:r>
          </w:p>
        </w:tc>
      </w:tr>
      <w:tr w14:paraId="6A770C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1" w:type="pct"/>
            <w:vMerge w:val="continue"/>
            <w:shd w:val="clear" w:color="auto" w:fill="auto"/>
            <w:vAlign w:val="center"/>
          </w:tcPr>
          <w:p w14:paraId="437130F1">
            <w:pPr>
              <w:jc w:val="center"/>
              <w:rPr>
                <w:color w:val="auto"/>
                <w:sz w:val="24"/>
                <w:szCs w:val="24"/>
              </w:rPr>
            </w:pPr>
          </w:p>
        </w:tc>
        <w:tc>
          <w:tcPr>
            <w:tcW w:w="4169" w:type="pct"/>
            <w:shd w:val="clear" w:color="auto" w:fill="auto"/>
            <w:vAlign w:val="center"/>
          </w:tcPr>
          <w:p w14:paraId="0184A6BB">
            <w:pPr>
              <w:rPr>
                <w:color w:val="auto"/>
                <w:sz w:val="24"/>
                <w:szCs w:val="24"/>
              </w:rPr>
            </w:pPr>
            <w:r>
              <w:rPr>
                <w:rFonts w:hint="eastAsia"/>
                <w:color w:val="auto"/>
                <w:sz w:val="24"/>
                <w:szCs w:val="24"/>
              </w:rPr>
              <w:t>RSA密钥对生成（2048） ≤3秒/次</w:t>
            </w:r>
          </w:p>
        </w:tc>
      </w:tr>
      <w:tr w14:paraId="22887A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1" w:type="pct"/>
            <w:vMerge w:val="continue"/>
            <w:shd w:val="clear" w:color="auto" w:fill="auto"/>
            <w:vAlign w:val="center"/>
          </w:tcPr>
          <w:p w14:paraId="022E2F24">
            <w:pPr>
              <w:jc w:val="center"/>
              <w:rPr>
                <w:color w:val="auto"/>
                <w:sz w:val="24"/>
                <w:szCs w:val="24"/>
              </w:rPr>
            </w:pPr>
          </w:p>
        </w:tc>
        <w:tc>
          <w:tcPr>
            <w:tcW w:w="4169" w:type="pct"/>
            <w:shd w:val="clear" w:color="auto" w:fill="auto"/>
            <w:vAlign w:val="center"/>
          </w:tcPr>
          <w:p w14:paraId="1BE9177F">
            <w:pPr>
              <w:rPr>
                <w:color w:val="auto"/>
                <w:sz w:val="24"/>
                <w:szCs w:val="24"/>
              </w:rPr>
            </w:pPr>
            <w:r>
              <w:rPr>
                <w:rFonts w:hint="eastAsia"/>
                <w:color w:val="auto"/>
                <w:sz w:val="24"/>
                <w:szCs w:val="24"/>
              </w:rPr>
              <w:t>RSA签名（2048） ≥29次/秒</w:t>
            </w:r>
          </w:p>
        </w:tc>
      </w:tr>
    </w:tbl>
    <w:p w14:paraId="07BDB62E">
      <w:pPr>
        <w:spacing w:line="360" w:lineRule="auto"/>
        <w:rPr>
          <w:rFonts w:ascii="仿宋" w:hAnsi="仿宋" w:eastAsia="仿宋" w:cs="仿宋"/>
          <w:color w:val="auto"/>
          <w:sz w:val="24"/>
          <w:szCs w:val="24"/>
          <w:highlight w:val="yellow"/>
        </w:rPr>
      </w:pPr>
    </w:p>
    <w:p w14:paraId="123CB141">
      <w:pPr>
        <w:keepNext w:val="0"/>
        <w:keepLines w:val="0"/>
        <w:widowControl/>
        <w:numPr>
          <w:ilvl w:val="0"/>
          <w:numId w:val="3"/>
        </w:numPr>
        <w:suppressLineNumbers w:val="0"/>
        <w:jc w:val="left"/>
        <w:rPr>
          <w:rFonts w:hint="default" w:ascii="宋体" w:hAnsi="宋体" w:eastAsia="宋体" w:cs="宋体"/>
          <w:b/>
          <w:bCs/>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资格条件</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31"/>
        <w:gridCol w:w="7291"/>
      </w:tblGrid>
      <w:tr w14:paraId="5C5453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1" w:type="dxa"/>
          </w:tcPr>
          <w:p w14:paraId="2BE0D8C3">
            <w:pPr>
              <w:keepNext w:val="0"/>
              <w:keepLines w:val="0"/>
              <w:widowControl/>
              <w:numPr>
                <w:ilvl w:val="0"/>
                <w:numId w:val="0"/>
              </w:numPr>
              <w:suppressLineNumbers w:val="0"/>
              <w:jc w:val="left"/>
              <w:rPr>
                <w:rFonts w:hint="default" w:ascii="宋体" w:hAnsi="宋体" w:eastAsia="宋体" w:cs="宋体"/>
                <w:b/>
                <w:bCs/>
                <w:color w:val="000000"/>
                <w:kern w:val="0"/>
                <w:sz w:val="24"/>
                <w:szCs w:val="24"/>
                <w:vertAlign w:val="baseline"/>
                <w:lang w:val="en-US" w:eastAsia="zh-CN" w:bidi="ar"/>
              </w:rPr>
            </w:pPr>
            <w:r>
              <w:rPr>
                <w:rFonts w:hint="eastAsia" w:ascii="宋体" w:hAnsi="宋体" w:eastAsia="宋体" w:cs="宋体"/>
                <w:b/>
                <w:bCs/>
                <w:color w:val="000000"/>
                <w:kern w:val="0"/>
                <w:sz w:val="24"/>
                <w:szCs w:val="24"/>
                <w:vertAlign w:val="baseline"/>
                <w:lang w:val="en-US" w:eastAsia="zh-CN" w:bidi="ar"/>
              </w:rPr>
              <w:t>序号</w:t>
            </w:r>
          </w:p>
        </w:tc>
        <w:tc>
          <w:tcPr>
            <w:tcW w:w="7291" w:type="dxa"/>
          </w:tcPr>
          <w:p w14:paraId="6327714F">
            <w:pPr>
              <w:keepNext w:val="0"/>
              <w:keepLines w:val="0"/>
              <w:widowControl/>
              <w:numPr>
                <w:ilvl w:val="0"/>
                <w:numId w:val="0"/>
              </w:numPr>
              <w:suppressLineNumbers w:val="0"/>
              <w:jc w:val="left"/>
              <w:rPr>
                <w:rFonts w:hint="default" w:ascii="宋体" w:hAnsi="宋体" w:eastAsia="宋体" w:cs="宋体"/>
                <w:b/>
                <w:bCs/>
                <w:color w:val="000000"/>
                <w:kern w:val="0"/>
                <w:sz w:val="24"/>
                <w:szCs w:val="24"/>
                <w:vertAlign w:val="baseline"/>
                <w:lang w:val="en-US" w:eastAsia="zh-CN" w:bidi="ar"/>
              </w:rPr>
            </w:pPr>
            <w:r>
              <w:rPr>
                <w:rFonts w:hint="eastAsia" w:ascii="宋体" w:hAnsi="宋体" w:eastAsia="宋体" w:cs="宋体"/>
                <w:b/>
                <w:bCs/>
                <w:color w:val="000000"/>
                <w:kern w:val="0"/>
                <w:sz w:val="24"/>
                <w:szCs w:val="24"/>
                <w:vertAlign w:val="baseline"/>
                <w:lang w:val="en-US" w:eastAsia="zh-CN" w:bidi="ar"/>
              </w:rPr>
              <w:t>内容</w:t>
            </w:r>
          </w:p>
        </w:tc>
      </w:tr>
      <w:tr w14:paraId="52FE4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1" w:type="dxa"/>
          </w:tcPr>
          <w:p w14:paraId="6EEF68A2">
            <w:pPr>
              <w:keepNext w:val="0"/>
              <w:keepLines w:val="0"/>
              <w:widowControl/>
              <w:numPr>
                <w:ilvl w:val="0"/>
                <w:numId w:val="0"/>
              </w:numPr>
              <w:suppressLineNumbers w:val="0"/>
              <w:jc w:val="left"/>
              <w:rPr>
                <w:rFonts w:hint="default" w:ascii="宋体" w:hAnsi="宋体" w:eastAsia="宋体" w:cs="宋体"/>
                <w:b/>
                <w:bCs/>
                <w:color w:val="000000"/>
                <w:kern w:val="0"/>
                <w:sz w:val="24"/>
                <w:szCs w:val="24"/>
                <w:vertAlign w:val="baseline"/>
                <w:lang w:val="en-US" w:eastAsia="zh-CN" w:bidi="ar"/>
              </w:rPr>
            </w:pPr>
            <w:r>
              <w:rPr>
                <w:rFonts w:hint="eastAsia" w:ascii="宋体" w:hAnsi="宋体" w:eastAsia="宋体" w:cs="宋体"/>
                <w:b/>
                <w:bCs/>
                <w:color w:val="000000"/>
                <w:kern w:val="0"/>
                <w:sz w:val="24"/>
                <w:szCs w:val="24"/>
                <w:vertAlign w:val="baseline"/>
                <w:lang w:val="en-US" w:eastAsia="zh-CN" w:bidi="ar"/>
              </w:rPr>
              <w:t>1</w:t>
            </w:r>
          </w:p>
        </w:tc>
        <w:tc>
          <w:tcPr>
            <w:tcW w:w="7291" w:type="dxa"/>
          </w:tcPr>
          <w:p w14:paraId="0E2AE23F">
            <w:pPr>
              <w:keepNext w:val="0"/>
              <w:keepLines w:val="0"/>
              <w:widowControl/>
              <w:suppressLineNumbers w:val="0"/>
              <w:jc w:val="left"/>
              <w:rPr>
                <w:rFonts w:hint="default" w:ascii="宋体" w:hAnsi="宋体" w:eastAsia="宋体" w:cs="宋体"/>
                <w:b/>
                <w:bCs/>
                <w:color w:val="000000"/>
                <w:kern w:val="0"/>
                <w:sz w:val="24"/>
                <w:szCs w:val="24"/>
                <w:vertAlign w:val="baseline"/>
                <w:lang w:val="en-US" w:eastAsia="zh-CN" w:bidi="ar"/>
              </w:rPr>
            </w:pPr>
            <w:r>
              <w:rPr>
                <w:rFonts w:hint="eastAsia" w:ascii="宋体" w:hAnsi="宋体" w:eastAsia="宋体" w:cs="宋体"/>
                <w:color w:val="000000"/>
                <w:kern w:val="0"/>
                <w:sz w:val="24"/>
                <w:szCs w:val="24"/>
                <w:lang w:val="en-US" w:eastAsia="zh-CN" w:bidi="ar"/>
              </w:rPr>
              <w:t>报价单位为企业的，应提供有效的营业执照（海外及港澳台企业如无营业执照应提供有效登记注册证明文件；企业分支机构应同时提供总公司出具的项目授权）；报价单位为事业单位或社团的，应提供有效的事业单位法人证书或社团法人证书；报价单位为非法人组织的，应当提供有关监管机构颁发的执业许可证明文件；报价单位为自然人的，应提供有效的身份证明；</w:t>
            </w:r>
          </w:p>
        </w:tc>
      </w:tr>
      <w:tr w14:paraId="5B7C7A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1" w:type="dxa"/>
          </w:tcPr>
          <w:p w14:paraId="64958F6F">
            <w:pPr>
              <w:keepNext w:val="0"/>
              <w:keepLines w:val="0"/>
              <w:widowControl/>
              <w:numPr>
                <w:ilvl w:val="0"/>
                <w:numId w:val="0"/>
              </w:numPr>
              <w:suppressLineNumbers w:val="0"/>
              <w:jc w:val="left"/>
              <w:rPr>
                <w:rFonts w:hint="default" w:ascii="宋体" w:hAnsi="宋体" w:eastAsia="宋体" w:cs="宋体"/>
                <w:b/>
                <w:bCs/>
                <w:color w:val="000000"/>
                <w:kern w:val="0"/>
                <w:sz w:val="24"/>
                <w:szCs w:val="24"/>
                <w:vertAlign w:val="baseline"/>
                <w:lang w:val="en-US" w:eastAsia="zh-CN" w:bidi="ar"/>
              </w:rPr>
            </w:pPr>
            <w:r>
              <w:rPr>
                <w:rFonts w:hint="eastAsia" w:ascii="宋体" w:hAnsi="宋体" w:eastAsia="宋体" w:cs="宋体"/>
                <w:b/>
                <w:bCs/>
                <w:color w:val="000000"/>
                <w:kern w:val="0"/>
                <w:sz w:val="24"/>
                <w:szCs w:val="24"/>
                <w:vertAlign w:val="baseline"/>
                <w:lang w:val="en-US" w:eastAsia="zh-CN" w:bidi="ar"/>
              </w:rPr>
              <w:t>2</w:t>
            </w:r>
          </w:p>
        </w:tc>
        <w:tc>
          <w:tcPr>
            <w:tcW w:w="7291" w:type="dxa"/>
          </w:tcPr>
          <w:p w14:paraId="20DA3442">
            <w:pPr>
              <w:keepNext w:val="0"/>
              <w:keepLines w:val="0"/>
              <w:widowControl/>
              <w:suppressLineNumbers w:val="0"/>
              <w:jc w:val="left"/>
              <w:rPr>
                <w:rFonts w:hint="default" w:ascii="宋体" w:hAnsi="宋体" w:eastAsia="宋体" w:cs="宋体"/>
                <w:b/>
                <w:bCs/>
                <w:color w:val="000000"/>
                <w:kern w:val="0"/>
                <w:sz w:val="24"/>
                <w:szCs w:val="24"/>
                <w:vertAlign w:val="baseline"/>
                <w:lang w:val="en-US" w:eastAsia="zh-CN" w:bidi="ar"/>
              </w:rPr>
            </w:pPr>
            <w:r>
              <w:rPr>
                <w:rFonts w:hint="eastAsia" w:ascii="宋体" w:hAnsi="宋体" w:eastAsia="宋体" w:cs="宋体"/>
                <w:color w:val="000000"/>
                <w:kern w:val="0"/>
                <w:sz w:val="24"/>
                <w:szCs w:val="24"/>
                <w:lang w:val="en-US" w:eastAsia="zh-CN" w:bidi="ar"/>
              </w:rPr>
              <w:t>单位负责人为同一人或者存在控股、管理关系的不同单位，不得同时参加报价；</w:t>
            </w:r>
          </w:p>
        </w:tc>
      </w:tr>
      <w:tr w14:paraId="432DA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1" w:type="dxa"/>
          </w:tcPr>
          <w:p w14:paraId="1BDA254F">
            <w:pPr>
              <w:keepNext w:val="0"/>
              <w:keepLines w:val="0"/>
              <w:widowControl/>
              <w:numPr>
                <w:ilvl w:val="0"/>
                <w:numId w:val="0"/>
              </w:numPr>
              <w:suppressLineNumbers w:val="0"/>
              <w:jc w:val="left"/>
              <w:rPr>
                <w:rFonts w:hint="default" w:ascii="宋体" w:hAnsi="宋体" w:eastAsia="宋体" w:cs="宋体"/>
                <w:b/>
                <w:bCs/>
                <w:color w:val="000000"/>
                <w:kern w:val="0"/>
                <w:sz w:val="24"/>
                <w:szCs w:val="24"/>
                <w:vertAlign w:val="baseline"/>
                <w:lang w:val="en-US" w:eastAsia="zh-CN" w:bidi="ar"/>
              </w:rPr>
            </w:pPr>
            <w:r>
              <w:rPr>
                <w:rFonts w:hint="eastAsia" w:ascii="宋体" w:hAnsi="宋体" w:eastAsia="宋体" w:cs="宋体"/>
                <w:b/>
                <w:bCs/>
                <w:color w:val="000000"/>
                <w:kern w:val="0"/>
                <w:sz w:val="24"/>
                <w:szCs w:val="24"/>
                <w:vertAlign w:val="baseline"/>
                <w:lang w:val="en-US" w:eastAsia="zh-CN" w:bidi="ar"/>
              </w:rPr>
              <w:t>3</w:t>
            </w:r>
          </w:p>
        </w:tc>
        <w:tc>
          <w:tcPr>
            <w:tcW w:w="7291" w:type="dxa"/>
          </w:tcPr>
          <w:p w14:paraId="45F459E6">
            <w:pPr>
              <w:keepNext w:val="0"/>
              <w:keepLines w:val="0"/>
              <w:widowControl/>
              <w:suppressLineNumbers w:val="0"/>
              <w:jc w:val="left"/>
              <w:rPr>
                <w:rFonts w:hint="default" w:ascii="宋体" w:hAnsi="宋体" w:eastAsia="宋体" w:cs="宋体"/>
                <w:b/>
                <w:bCs/>
                <w:color w:val="000000"/>
                <w:kern w:val="0"/>
                <w:sz w:val="24"/>
                <w:szCs w:val="24"/>
                <w:vertAlign w:val="baseline"/>
                <w:lang w:val="en-US" w:eastAsia="zh-CN" w:bidi="ar"/>
              </w:rPr>
            </w:pPr>
            <w:r>
              <w:rPr>
                <w:rFonts w:hint="eastAsia" w:ascii="宋体" w:hAnsi="宋体" w:eastAsia="宋体" w:cs="宋体"/>
                <w:color w:val="000000"/>
                <w:kern w:val="0"/>
                <w:sz w:val="24"/>
                <w:szCs w:val="24"/>
                <w:lang w:val="en-US" w:eastAsia="zh-CN" w:bidi="ar"/>
              </w:rPr>
              <w:t>报价单位没有被中国南方电网有限责任公司暂停或取消其投标资格的。</w:t>
            </w:r>
          </w:p>
        </w:tc>
      </w:tr>
    </w:tbl>
    <w:p w14:paraId="2704FBC9">
      <w:pPr>
        <w:keepNext w:val="0"/>
        <w:keepLines w:val="0"/>
        <w:widowControl/>
        <w:numPr>
          <w:ilvl w:val="0"/>
          <w:numId w:val="0"/>
        </w:numPr>
        <w:suppressLineNumbers w:val="0"/>
        <w:jc w:val="left"/>
        <w:rPr>
          <w:rFonts w:hint="default" w:ascii="宋体" w:hAnsi="宋体" w:eastAsia="宋体" w:cs="宋体"/>
          <w:b/>
          <w:bCs/>
          <w:color w:val="000000"/>
          <w:kern w:val="0"/>
          <w:sz w:val="24"/>
          <w:szCs w:val="24"/>
          <w:lang w:val="en-US" w:eastAsia="zh-CN" w:bidi="ar"/>
        </w:rPr>
      </w:pPr>
    </w:p>
    <w:p w14:paraId="614657E8">
      <w:pPr>
        <w:keepNext w:val="0"/>
        <w:keepLines w:val="0"/>
        <w:widowControl/>
        <w:suppressLineNumbers w:val="0"/>
        <w:jc w:val="left"/>
        <w:rPr>
          <w:sz w:val="24"/>
          <w:szCs w:val="24"/>
        </w:rPr>
      </w:pPr>
      <w:r>
        <w:rPr>
          <w:rFonts w:hint="eastAsia" w:ascii="宋体" w:hAnsi="宋体" w:eastAsia="宋体" w:cs="宋体"/>
          <w:b/>
          <w:bCs/>
          <w:color w:val="000000"/>
          <w:kern w:val="0"/>
          <w:sz w:val="24"/>
          <w:szCs w:val="24"/>
          <w:lang w:val="en-US" w:eastAsia="zh-CN" w:bidi="ar"/>
        </w:rPr>
        <w:t xml:space="preserve">三、 成交办法 </w:t>
      </w:r>
    </w:p>
    <w:p w14:paraId="3738E97F">
      <w:pPr>
        <w:keepNext w:val="0"/>
        <w:keepLines w:val="0"/>
        <w:widowControl/>
        <w:suppressLineNumbers w:val="0"/>
        <w:jc w:val="left"/>
        <w:rPr>
          <w:sz w:val="24"/>
          <w:szCs w:val="24"/>
        </w:rPr>
      </w:pPr>
      <w:r>
        <w:rPr>
          <w:rFonts w:hint="eastAsia" w:ascii="宋体" w:hAnsi="宋体" w:eastAsia="宋体" w:cs="宋体"/>
          <w:color w:val="000000"/>
          <w:kern w:val="0"/>
          <w:sz w:val="24"/>
          <w:szCs w:val="24"/>
          <w:lang w:val="en-US" w:eastAsia="zh-CN" w:bidi="ar"/>
        </w:rPr>
        <w:t>根据满足资格条件的各家单位有效报价，选择报价最低者为成交对象。</w:t>
      </w:r>
    </w:p>
    <w:p w14:paraId="622A5646">
      <w:pPr>
        <w:rPr>
          <w:color w:val="auto"/>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2E75DB7"/>
    <w:multiLevelType w:val="singleLevel"/>
    <w:tmpl w:val="82E75DB7"/>
    <w:lvl w:ilvl="0" w:tentative="0">
      <w:start w:val="2"/>
      <w:numFmt w:val="chineseCounting"/>
      <w:suff w:val="space"/>
      <w:lvlText w:val="%1、"/>
      <w:lvlJc w:val="left"/>
      <w:rPr>
        <w:rFonts w:hint="eastAsia"/>
      </w:rPr>
    </w:lvl>
  </w:abstractNum>
  <w:abstractNum w:abstractNumId="1">
    <w:nsid w:val="08281373"/>
    <w:multiLevelType w:val="multilevel"/>
    <w:tmpl w:val="08281373"/>
    <w:lvl w:ilvl="0" w:tentative="0">
      <w:start w:val="1"/>
      <w:numFmt w:val="decimal"/>
      <w:lvlText w:val="%1"/>
      <w:lvlJc w:val="left"/>
      <w:pPr>
        <w:tabs>
          <w:tab w:val="left" w:pos="432"/>
        </w:tabs>
        <w:ind w:left="432" w:hanging="432"/>
      </w:pPr>
    </w:lvl>
    <w:lvl w:ilvl="1" w:tentative="0">
      <w:start w:val="1"/>
      <w:numFmt w:val="decimal"/>
      <w:pStyle w:val="2"/>
      <w:lvlText w:val="%1.%2"/>
      <w:lvlJc w:val="left"/>
      <w:pPr>
        <w:tabs>
          <w:tab w:val="left" w:pos="576"/>
        </w:tabs>
        <w:ind w:left="576" w:hanging="576"/>
      </w:pPr>
      <w:rPr>
        <w:rFonts w:cs="Times New Roman"/>
        <w:b w:val="0"/>
        <w:bCs w:val="0"/>
        <w:i w:val="0"/>
        <w:iCs w:val="0"/>
        <w:caps w:val="0"/>
        <w:smallCaps w:val="0"/>
        <w:strike w:val="0"/>
        <w:dstrike w:val="0"/>
        <w:vanish w:val="0"/>
        <w:spacing w:val="0"/>
        <w:position w:val="0"/>
        <w:u w:val="none"/>
        <w:vertAlign w:val="baseline"/>
      </w:rPr>
    </w:lvl>
    <w:lvl w:ilvl="2" w:tentative="0">
      <w:start w:val="1"/>
      <w:numFmt w:val="decimal"/>
      <w:lvlText w:val="%1.%2.%3"/>
      <w:lvlJc w:val="left"/>
      <w:pPr>
        <w:tabs>
          <w:tab w:val="left" w:pos="720"/>
        </w:tabs>
        <w:ind w:left="720" w:hanging="720"/>
      </w:pPr>
    </w:lvl>
    <w:lvl w:ilvl="3" w:tentative="0">
      <w:start w:val="1"/>
      <w:numFmt w:val="decimal"/>
      <w:lvlText w:val="%1.%2.%3.%4"/>
      <w:lvlJc w:val="left"/>
      <w:pPr>
        <w:tabs>
          <w:tab w:val="left" w:pos="864"/>
        </w:tabs>
        <w:ind w:left="864" w:hanging="864"/>
      </w:pPr>
    </w:lvl>
    <w:lvl w:ilvl="4" w:tentative="0">
      <w:start w:val="1"/>
      <w:numFmt w:val="decimal"/>
      <w:lvlText w:val="%1.%2.%3.%4.%5"/>
      <w:lvlJc w:val="left"/>
      <w:pPr>
        <w:tabs>
          <w:tab w:val="left" w:pos="1008"/>
        </w:tabs>
        <w:ind w:left="1008" w:hanging="1008"/>
      </w:pPr>
    </w:lvl>
    <w:lvl w:ilvl="5" w:tentative="0">
      <w:start w:val="1"/>
      <w:numFmt w:val="decimal"/>
      <w:lvlText w:val="%1.%2.%3.%4.%5.%6"/>
      <w:lvlJc w:val="left"/>
      <w:pPr>
        <w:tabs>
          <w:tab w:val="left" w:pos="1152"/>
        </w:tabs>
        <w:ind w:left="1152" w:hanging="1152"/>
      </w:pPr>
    </w:lvl>
    <w:lvl w:ilvl="6" w:tentative="0">
      <w:start w:val="1"/>
      <w:numFmt w:val="decimal"/>
      <w:lvlText w:val="%1.%2.%3.%4.%5.%6.%7"/>
      <w:lvlJc w:val="left"/>
      <w:pPr>
        <w:tabs>
          <w:tab w:val="left" w:pos="1296"/>
        </w:tabs>
        <w:ind w:left="1296" w:hanging="1296"/>
      </w:pPr>
    </w:lvl>
    <w:lvl w:ilvl="7" w:tentative="0">
      <w:start w:val="1"/>
      <w:numFmt w:val="decimal"/>
      <w:lvlText w:val="%1.%2.%3.%4.%5.%6.%7.%8"/>
      <w:lvlJc w:val="left"/>
      <w:pPr>
        <w:tabs>
          <w:tab w:val="left" w:pos="1440"/>
        </w:tabs>
        <w:ind w:left="1440" w:hanging="1440"/>
      </w:pPr>
    </w:lvl>
    <w:lvl w:ilvl="8" w:tentative="0">
      <w:start w:val="1"/>
      <w:numFmt w:val="decimal"/>
      <w:lvlText w:val="%1.%2.%3.%4.%5.%6.%7.%8.%9"/>
      <w:lvlJc w:val="left"/>
      <w:pPr>
        <w:tabs>
          <w:tab w:val="left" w:pos="1584"/>
        </w:tabs>
        <w:ind w:left="1584" w:hanging="1584"/>
      </w:pPr>
    </w:lvl>
  </w:abstractNum>
  <w:abstractNum w:abstractNumId="2">
    <w:nsid w:val="4B105D99"/>
    <w:multiLevelType w:val="multilevel"/>
    <w:tmpl w:val="4B105D99"/>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3503B2"/>
    <w:rsid w:val="19BA1B13"/>
    <w:rsid w:val="2C47045E"/>
    <w:rsid w:val="30101282"/>
    <w:rsid w:val="330C6C7B"/>
    <w:rsid w:val="5E1A4F53"/>
    <w:rsid w:val="5F7C63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qFormat/>
    <w:uiPriority w:val="0"/>
    <w:pPr>
      <w:keepNext/>
      <w:keepLines/>
      <w:numPr>
        <w:ilvl w:val="1"/>
        <w:numId w:val="1"/>
      </w:numPr>
      <w:tabs>
        <w:tab w:val="left" w:pos="432"/>
      </w:tabs>
      <w:spacing w:before="260" w:after="260" w:line="416" w:lineRule="auto"/>
      <w:outlineLvl w:val="1"/>
    </w:pPr>
    <w:rPr>
      <w:rFonts w:ascii="Times New Roman" w:hAnsi="Times New Roman" w:eastAsia="黑体" w:cs="Times New Roman"/>
      <w:b/>
      <w:bCs/>
      <w:sz w:val="32"/>
      <w:szCs w:val="32"/>
    </w:rPr>
  </w:style>
  <w:style w:type="paragraph" w:styleId="3">
    <w:name w:val="heading 3"/>
    <w:basedOn w:val="1"/>
    <w:next w:val="1"/>
    <w:unhideWhenUsed/>
    <w:qFormat/>
    <w:uiPriority w:val="9"/>
    <w:pPr>
      <w:keepNext/>
      <w:keepLines/>
      <w:spacing w:before="260" w:after="260" w:line="416" w:lineRule="auto"/>
      <w:outlineLvl w:val="2"/>
    </w:pPr>
    <w:rPr>
      <w:b/>
      <w:bCs/>
      <w:sz w:val="32"/>
      <w:szCs w:val="32"/>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footer"/>
    <w:basedOn w:val="1"/>
    <w:unhideWhenUsed/>
    <w:qFormat/>
    <w:uiPriority w:val="99"/>
    <w:pPr>
      <w:tabs>
        <w:tab w:val="center" w:pos="4153"/>
        <w:tab w:val="right" w:pos="8306"/>
      </w:tabs>
      <w:snapToGrid w:val="0"/>
      <w:jc w:val="left"/>
    </w:pPr>
    <w:rPr>
      <w:sz w:val="18"/>
      <w:szCs w:val="18"/>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8">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85</TotalTime>
  <ScaleCrop>false</ScaleCrop>
  <LinksUpToDate>false</LinksUpToDate>
  <CharactersWithSpaces>0</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2026-06-02T08:06:00Z</dcterms:created>
  <dc:creator>zhangguangyue</dc:creator>
  <cp:lastModifiedBy>张广越</cp:lastModifiedBy>
  <dcterms:modified xsi:type="dcterms:W3CDTF">2026-06-09T08:42:55Z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62F3D5815E0F46299DA3C39D110D3794_12</vt:lpwstr>
  </property>
</Properties>
</file>