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</w:pPr>
      <w:r>
        <w:rPr>
          <w:rFonts w:hint="eastAsia" w:eastAsia="黑体"/>
          <w:b/>
          <w:sz w:val="5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-934720</wp:posOffset>
            </wp:positionV>
            <wp:extent cx="8118475" cy="3167380"/>
            <wp:effectExtent l="0" t="0" r="9525" b="7620"/>
            <wp:wrapTight wrapText="bothSides">
              <wp:wrapPolygon>
                <wp:start x="0" y="0"/>
                <wp:lineTo x="0" y="21479"/>
                <wp:lineTo x="21558" y="21479"/>
                <wp:lineTo x="21558" y="0"/>
                <wp:lineTo x="0" y="0"/>
              </wp:wrapPolygon>
            </wp:wrapTight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18475" cy="316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before="624" w:beforeLines="200"/>
        <w:jc w:val="center"/>
        <w:rPr>
          <w:rFonts w:hint="default" w:ascii="Times New Roman" w:hAnsi="Times New Roman" w:eastAsia="黑体" w:cs="Times New Roman"/>
          <w:b/>
          <w:sz w:val="52"/>
          <w:szCs w:val="24"/>
          <w:lang w:val="en-US"/>
        </w:rPr>
      </w:pPr>
      <w:r>
        <w:rPr>
          <w:rFonts w:hint="eastAsia" w:ascii="Times New Roman" w:hAnsi="Times New Roman" w:eastAsia="黑体" w:cs="Times New Roman"/>
          <w:b/>
          <w:sz w:val="52"/>
          <w:szCs w:val="24"/>
          <w:lang w:val="en-US" w:eastAsia="zh-CN"/>
        </w:rPr>
        <w:t>2026年曲靖供电局综合服务中心窗帘采购技术规范书</w:t>
      </w:r>
    </w:p>
    <w:p>
      <w:pPr>
        <w:spacing w:before="624" w:beforeLines="200"/>
        <w:jc w:val="center"/>
        <w:rPr>
          <w:rFonts w:hint="eastAsia" w:ascii="黑体" w:eastAsia="黑体"/>
          <w:b/>
          <w:spacing w:val="20"/>
          <w:w w:val="135"/>
          <w:sz w:val="30"/>
          <w:lang w:val="en-US" w:eastAsia="zh-CN"/>
        </w:rPr>
      </w:pPr>
    </w:p>
    <w:p>
      <w:pPr>
        <w:pStyle w:val="2"/>
        <w:numPr>
          <w:ilvl w:val="1"/>
          <w:numId w:val="0"/>
        </w:numPr>
        <w:ind w:left="210" w:leftChars="0"/>
        <w:rPr>
          <w:rFonts w:hint="eastAsia"/>
          <w:lang w:val="en-US" w:eastAsia="zh-CN"/>
        </w:rPr>
      </w:pPr>
    </w:p>
    <w:p>
      <w:pPr>
        <w:rPr>
          <w:rFonts w:hint="eastAsia" w:ascii="黑体" w:eastAsia="黑体"/>
          <w:b/>
          <w:spacing w:val="20"/>
          <w:w w:val="135"/>
          <w:sz w:val="30"/>
          <w:lang w:val="en-US" w:eastAsia="zh-CN"/>
        </w:rPr>
      </w:pPr>
    </w:p>
    <w:p>
      <w:pPr>
        <w:pStyle w:val="2"/>
        <w:numPr>
          <w:ilvl w:val="1"/>
          <w:numId w:val="0"/>
        </w:numPr>
        <w:ind w:left="210" w:leftChars="0"/>
        <w:rPr>
          <w:rFonts w:hint="eastAsia"/>
          <w:lang w:val="en-US" w:eastAsia="zh-CN"/>
        </w:rPr>
      </w:pPr>
    </w:p>
    <w:p>
      <w:pPr>
        <w:rPr>
          <w:rFonts w:hint="eastAsia" w:ascii="黑体" w:eastAsia="黑体"/>
          <w:b/>
          <w:spacing w:val="20"/>
          <w:w w:val="135"/>
          <w:sz w:val="30"/>
          <w:lang w:val="en-US" w:eastAsia="zh-CN"/>
        </w:rPr>
      </w:pPr>
    </w:p>
    <w:p>
      <w:pPr>
        <w:pStyle w:val="2"/>
        <w:numPr>
          <w:ilvl w:val="1"/>
          <w:numId w:val="0"/>
        </w:numPr>
        <w:ind w:left="210" w:leftChars="0"/>
        <w:rPr>
          <w:rFonts w:hint="eastAsia"/>
          <w:lang w:val="en-US" w:eastAsia="zh-CN"/>
        </w:rPr>
      </w:pPr>
    </w:p>
    <w:p>
      <w:pPr>
        <w:rPr>
          <w:rFonts w:hint="eastAsia" w:ascii="黑体" w:eastAsia="黑体"/>
          <w:b/>
          <w:spacing w:val="20"/>
          <w:w w:val="135"/>
          <w:sz w:val="30"/>
          <w:lang w:val="en-US" w:eastAsia="zh-CN"/>
        </w:rPr>
      </w:pPr>
    </w:p>
    <w:p>
      <w:pPr>
        <w:pStyle w:val="2"/>
        <w:numPr>
          <w:ilvl w:val="1"/>
          <w:numId w:val="0"/>
        </w:numPr>
        <w:ind w:left="210" w:leftChars="0"/>
        <w:rPr>
          <w:rFonts w:hint="eastAsia"/>
          <w:lang w:val="en-US" w:eastAsia="zh-CN"/>
        </w:rPr>
      </w:pPr>
    </w:p>
    <w:p>
      <w:pPr>
        <w:rPr>
          <w:rFonts w:hint="eastAsia" w:ascii="黑体" w:eastAsia="黑体"/>
          <w:b/>
          <w:spacing w:val="20"/>
          <w:w w:val="135"/>
          <w:sz w:val="30"/>
          <w:lang w:val="en-US" w:eastAsia="zh-CN"/>
        </w:rPr>
      </w:pPr>
    </w:p>
    <w:p>
      <w:pPr>
        <w:pStyle w:val="2"/>
        <w:numPr>
          <w:ilvl w:val="1"/>
          <w:numId w:val="0"/>
        </w:numPr>
        <w:ind w:left="210" w:leftChars="0"/>
        <w:rPr>
          <w:rFonts w:hint="eastAsia"/>
          <w:lang w:val="en-US" w:eastAsia="zh-CN"/>
        </w:rPr>
      </w:pPr>
    </w:p>
    <w:p>
      <w:pPr>
        <w:pStyle w:val="2"/>
        <w:numPr>
          <w:ilvl w:val="1"/>
          <w:numId w:val="0"/>
        </w:numPr>
        <w:rPr>
          <w:rFonts w:hint="eastAsia"/>
          <w:lang w:val="en-US" w:eastAsia="zh-CN"/>
        </w:rPr>
      </w:pPr>
    </w:p>
    <w:p>
      <w:pPr>
        <w:spacing w:before="624" w:beforeLines="200"/>
        <w:jc w:val="center"/>
        <w:rPr>
          <w:rFonts w:hint="default" w:ascii="黑体" w:eastAsia="黑体"/>
          <w:b/>
          <w:spacing w:val="20"/>
          <w:w w:val="135"/>
          <w:sz w:val="30"/>
          <w:lang w:val="en-US" w:eastAsia="zh-CN"/>
        </w:rPr>
      </w:pPr>
      <w:r>
        <w:rPr>
          <w:rFonts w:hint="eastAsia" w:ascii="黑体" w:eastAsia="黑体"/>
          <w:b/>
          <w:spacing w:val="20"/>
          <w:w w:val="135"/>
          <w:sz w:val="30"/>
          <w:lang w:val="en-US" w:eastAsia="zh-CN"/>
        </w:rPr>
        <w:t>云南</w:t>
      </w:r>
      <w:r>
        <w:rPr>
          <w:rFonts w:hint="eastAsia" w:ascii="黑体" w:eastAsia="黑体"/>
          <w:b/>
          <w:spacing w:val="20"/>
          <w:w w:val="135"/>
          <w:sz w:val="30"/>
        </w:rPr>
        <w:t>电网有限责任公司</w:t>
      </w:r>
      <w:r>
        <w:rPr>
          <w:rFonts w:hint="eastAsia" w:ascii="黑体" w:eastAsia="黑体"/>
          <w:b/>
          <w:spacing w:val="20"/>
          <w:w w:val="135"/>
          <w:sz w:val="30"/>
          <w:lang w:val="en-US" w:eastAsia="zh-CN"/>
        </w:rPr>
        <w:t>曲靖供电局</w:t>
      </w:r>
    </w:p>
    <w:p>
      <w:pPr>
        <w:jc w:val="center"/>
        <w:rPr>
          <w:rFonts w:hint="eastAsia" w:ascii="黑体" w:eastAsia="黑体"/>
          <w:b/>
          <w:spacing w:val="20"/>
          <w:w w:val="135"/>
          <w:sz w:val="30"/>
        </w:rPr>
      </w:pPr>
      <w:r>
        <w:rPr>
          <w:rFonts w:hint="eastAsia" w:ascii="黑体" w:eastAsia="黑体"/>
          <w:b/>
          <w:spacing w:val="20"/>
          <w:w w:val="135"/>
          <w:sz w:val="30"/>
        </w:rPr>
        <w:t>20</w:t>
      </w:r>
      <w:r>
        <w:rPr>
          <w:rFonts w:hint="eastAsia" w:ascii="黑体" w:eastAsia="黑体"/>
          <w:b/>
          <w:spacing w:val="20"/>
          <w:w w:val="135"/>
          <w:sz w:val="30"/>
          <w:lang w:val="en-US" w:eastAsia="zh-CN"/>
        </w:rPr>
        <w:t>26</w:t>
      </w:r>
      <w:r>
        <w:rPr>
          <w:rFonts w:hint="eastAsia" w:ascii="黑体" w:eastAsia="黑体"/>
          <w:b/>
          <w:spacing w:val="20"/>
          <w:w w:val="135"/>
          <w:sz w:val="30"/>
        </w:rPr>
        <w:t>年</w:t>
      </w:r>
      <w:r>
        <w:rPr>
          <w:rFonts w:hint="eastAsia" w:ascii="黑体" w:eastAsia="黑体"/>
          <w:b/>
          <w:spacing w:val="20"/>
          <w:w w:val="135"/>
          <w:sz w:val="30"/>
          <w:lang w:val="en-US" w:eastAsia="zh-CN"/>
        </w:rPr>
        <w:t>6</w:t>
      </w:r>
      <w:r>
        <w:rPr>
          <w:rFonts w:hint="eastAsia" w:ascii="黑体" w:eastAsia="黑体"/>
          <w:b/>
          <w:spacing w:val="20"/>
          <w:w w:val="135"/>
          <w:sz w:val="30"/>
        </w:rPr>
        <w:t>月</w:t>
      </w:r>
    </w:p>
    <w:p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1 总则</w:t>
      </w:r>
    </w:p>
    <w:p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1.1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技术规范书适用于云南电网有限责任公司曲靖供电局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综合服务中心窗帘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采购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它提出了该项物资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面料、工艺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、安装等方面的技术要求。</w:t>
      </w:r>
    </w:p>
    <w:p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1.2 本技术规范书提出的是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最低限度的技术要求，并未对一切技术细节作出规定，也未充分引述有关标准和规范的条文，卖方保证提供的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产品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符合本规范书并满足不低于现行的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行业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标准和国家标准要求。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1.3 本技术规范书所使用的标准如与投标方所执行的标准不一致时，按较高标准执行。</w:t>
      </w:r>
    </w:p>
    <w:p>
      <w:pPr>
        <w:tabs>
          <w:tab w:val="left" w:pos="1112"/>
        </w:tabs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1.4 本技术规范书经招、</w:t>
      </w:r>
      <w:r>
        <w:rPr>
          <w:rFonts w:ascii="宋体" w:hAnsi="宋体"/>
          <w:sz w:val="24"/>
        </w:rPr>
        <w:t>投标</w:t>
      </w:r>
      <w:r>
        <w:rPr>
          <w:rFonts w:hint="eastAsia" w:ascii="宋体" w:hAnsi="宋体"/>
          <w:sz w:val="24"/>
        </w:rPr>
        <w:t>双方确认后作为服务合同的技术附件，与合同正文具有同等的法律效力。</w:t>
      </w:r>
    </w:p>
    <w:p>
      <w:pPr>
        <w:tabs>
          <w:tab w:val="left" w:pos="1112"/>
        </w:tabs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1.5本技术规范书未尽事宜，由招、</w:t>
      </w:r>
      <w:r>
        <w:rPr>
          <w:rFonts w:ascii="宋体" w:hAnsi="宋体"/>
          <w:sz w:val="24"/>
        </w:rPr>
        <w:t>投标</w:t>
      </w:r>
      <w:r>
        <w:rPr>
          <w:rFonts w:hint="eastAsia" w:ascii="宋体" w:hAnsi="宋体"/>
          <w:sz w:val="24"/>
        </w:rPr>
        <w:t>双方协商确定。</w:t>
      </w:r>
    </w:p>
    <w:p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bookmarkStart w:id="0" w:name="_Toc271281204"/>
      <w:bookmarkEnd w:id="0"/>
      <w:bookmarkStart w:id="1" w:name="_Toc246216316"/>
      <w:bookmarkEnd w:id="1"/>
      <w:bookmarkStart w:id="2" w:name="_Toc112756677"/>
      <w:bookmarkEnd w:id="2"/>
      <w:bookmarkStart w:id="3" w:name="_Toc279695347"/>
      <w:bookmarkEnd w:id="3"/>
      <w:bookmarkStart w:id="4" w:name="_Toc440106596"/>
      <w:bookmarkEnd w:id="4"/>
      <w:bookmarkStart w:id="5" w:name="_Toc276490890"/>
      <w:bookmarkEnd w:id="5"/>
      <w:bookmarkStart w:id="6" w:name="_Toc276492358"/>
      <w:bookmarkEnd w:id="6"/>
      <w:bookmarkStart w:id="7" w:name="_Toc340418312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</w:rPr>
        <w:t>2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 xml:space="preserve"> 项目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</w:rPr>
        <w:t>范围</w:t>
      </w:r>
      <w:bookmarkEnd w:id="7"/>
    </w:p>
    <w:p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80" w:firstLineChars="200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</w:pPr>
      <w:bookmarkStart w:id="8" w:name="_Toc340418314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曲靖供电局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员工宿舍、</w:t>
      </w:r>
      <w:bookmarkStart w:id="9" w:name="OLE_LINK2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变电运行一所</w:t>
      </w:r>
      <w:bookmarkEnd w:id="9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下辖</w:t>
      </w:r>
      <w:bookmarkStart w:id="28" w:name="_GoBack"/>
      <w:bookmarkEnd w:id="28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通泉、龙海、大庄三座变电站窗帘定制。供货范围为：云南省曲靖市麒麟区南苑路、寥廓北路、变电运行一所下辖通泉、龙海、大庄三座变电站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供货前应到现场实地测量窗户面积制作合适的产品，按实际安装数量供货、包干结算。</w:t>
      </w:r>
      <w:bookmarkEnd w:id="8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预测数量如下表：</w:t>
      </w: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4"/>
        <w:gridCol w:w="1852"/>
        <w:gridCol w:w="1425"/>
        <w:gridCol w:w="949"/>
        <w:gridCol w:w="323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5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8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物资名称</w:t>
            </w:r>
          </w:p>
        </w:tc>
        <w:tc>
          <w:tcPr>
            <w:tcW w:w="14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9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32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Times New Roman" w:hAnsi="Times New Roman" w:cs="Times New Roman" w:eastAsia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bookmarkStart w:id="10" w:name="OLE_LINK6" w:colFirst="1" w:colLast="5"/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8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布艺窗帘</w:t>
            </w:r>
          </w:p>
        </w:tc>
        <w:tc>
          <w:tcPr>
            <w:tcW w:w="14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平方米</w:t>
            </w:r>
          </w:p>
        </w:tc>
        <w:tc>
          <w:tcPr>
            <w:tcW w:w="9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276</w:t>
            </w:r>
          </w:p>
        </w:tc>
        <w:tc>
          <w:tcPr>
            <w:tcW w:w="32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员工宿舍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Times New Roman" w:hAnsi="Times New Roman" w:cs="Times New Roman" w:eastAsia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8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全遮光卷帘</w:t>
            </w:r>
          </w:p>
        </w:tc>
        <w:tc>
          <w:tcPr>
            <w:tcW w:w="14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平方米</w:t>
            </w:r>
          </w:p>
        </w:tc>
        <w:tc>
          <w:tcPr>
            <w:tcW w:w="9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42</w:t>
            </w:r>
          </w:p>
        </w:tc>
        <w:tc>
          <w:tcPr>
            <w:tcW w:w="32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通泉、龙海、大庄变电站</w:t>
            </w:r>
          </w:p>
        </w:tc>
      </w:tr>
      <w:bookmarkEnd w:id="10"/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/>
        <w:textAlignment w:val="auto"/>
        <w:rPr>
          <w:rFonts w:hint="eastAsia" w:ascii="Times New Roman" w:hAnsi="Times New Roman" w:cs="Times New Roman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bookmarkStart w:id="11" w:name="_Hlt513197683"/>
      <w:bookmarkEnd w:id="11"/>
      <w:r>
        <w:rPr>
          <w:rFonts w:hint="eastAsia" w:ascii="Times New Roman" w:hAnsi="Times New Roman" w:cs="Times New Roman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3 供货方式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ind w:left="0" w:right="0" w:firstLine="480" w:firstLineChars="200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4"/>
          <w:szCs w:val="24"/>
          <w:highlight w:val="yellow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由中标方安排专业窗帘安装人员到现场安装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highlight w:val="none"/>
          <w:u w:val="none"/>
        </w:rPr>
      </w:pPr>
      <w:r>
        <w:rPr>
          <w:rFonts w:hint="eastAsia" w:ascii="Times New Roman" w:hAnsi="Times New Roman" w:cs="Times New Roman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4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highlight w:val="none"/>
          <w:u w:val="none"/>
        </w:rPr>
        <w:t xml:space="preserve"> 面料及工艺标准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ind w:right="0"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投标方提供的产品</w:t>
      </w:r>
      <w:bookmarkStart w:id="12" w:name="_Toc487358412"/>
      <w:bookmarkEnd w:id="12"/>
      <w:bookmarkStart w:id="13" w:name="_Toc502462618"/>
      <w:bookmarkEnd w:id="13"/>
      <w:bookmarkStart w:id="14" w:name="_Toc282433758"/>
      <w:bookmarkEnd w:id="14"/>
      <w:bookmarkStart w:id="15" w:name="_Toc276492435"/>
      <w:bookmarkEnd w:id="15"/>
      <w:bookmarkStart w:id="16" w:name="_Toc487356754"/>
      <w:bookmarkEnd w:id="16"/>
      <w:bookmarkStart w:id="17" w:name="_Toc282993359"/>
      <w:bookmarkEnd w:id="17"/>
      <w:bookmarkStart w:id="18" w:name="_Toc296433015"/>
      <w:bookmarkEnd w:id="18"/>
      <w:bookmarkStart w:id="19" w:name="_Toc503066544"/>
      <w:bookmarkEnd w:id="19"/>
      <w:bookmarkStart w:id="20" w:name="_Toc276490917"/>
      <w:bookmarkEnd w:id="20"/>
      <w:bookmarkStart w:id="21" w:name="_Toc107649216"/>
      <w:bookmarkEnd w:id="21"/>
      <w:bookmarkStart w:id="22" w:name="_Toc506689390"/>
      <w:bookmarkEnd w:id="22"/>
      <w:bookmarkStart w:id="23" w:name="_Toc279695207"/>
      <w:bookmarkEnd w:id="23"/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必须是全新的，持久耐用的，符合GB/T 19817-2005、GB 18401-2010、GB/T 17591-2025及FZ/T 62011.4-2016的质量、环保及阻燃规定。（1）卷帘采用全遮光材料，遮光效率≥95%。覆盖窗框不漏光。（2）布艺窗帘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褶裥比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不低于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1:2.5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 w:eastAsiaTheme="minorEastAsia"/>
          <w:color w:val="auto"/>
          <w:sz w:val="24"/>
          <w:szCs w:val="24"/>
          <w:highlight w:val="none"/>
          <w:lang w:val="en-US" w:eastAsia="zh-CN"/>
        </w:rPr>
      </w:pPr>
      <w:bookmarkStart w:id="24" w:name="_Toc513001938"/>
      <w:bookmarkEnd w:id="24"/>
      <w:bookmarkStart w:id="25" w:name="_Toc513199115"/>
      <w:r>
        <w:rPr>
          <w:rFonts w:hint="eastAsia" w:ascii="Times New Roman" w:hAnsi="Times New Roman" w:cs="Times New Roman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5</w:t>
      </w:r>
      <w:bookmarkEnd w:id="25"/>
      <w:r>
        <w:rPr>
          <w:rFonts w:hint="eastAsia" w:ascii="Times New Roman" w:hAnsi="Times New Roman" w:cs="Times New Roman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 xml:space="preserve"> 安装要求</w:t>
      </w:r>
    </w:p>
    <w:p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5.1安装时间（1）曲靖供电局综合服务中心要求于7月13日前完成供货安装。（2）变电运行一所卷帘于安装前15日联系工作人员确认卷帘安装时间，在指定日期当日9：00前将产品运送至指定地点安装，总体要求在7月30日前完成供货安装。</w:t>
      </w:r>
    </w:p>
    <w:p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5.2其他要求 安装时应对墙面、地面、家具采取防护措施，安装完成后应清理现场。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ind w:left="0" w:right="0" w:firstLine="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6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验收标准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ind w:left="0" w:right="0" w:firstLine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窗帘成品应无明显色差、污渍、破损、脱线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、外观无瑕疵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等缺陷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，运行顺畅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平稳、无卡顿、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无异响，驻停位置准确。（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褶皱均匀、悬挂平整，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尺寸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误差≤±3mm/m5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3）安装位置合理无歪斜、扭曲、鼓包，确保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承重与稳定性，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能承受长期拉力，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操作寿命≥30,000次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验收由招标方人员现场验收，对于招标方提出的整改要求，投标方必须及时按要求整改。如果招标方验收不合格或施工材料不满足要求，并且投标方不配合整改的，招标方有权终止本次技术服务，所造成的一切损失由投标方承担。</w:t>
      </w:r>
    </w:p>
    <w:p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b/>
          <w:bCs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/>
          <w:bCs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cs="Times New Roman"/>
          <w:b/>
          <w:bCs/>
          <w:color w:val="auto"/>
          <w:sz w:val="24"/>
          <w:szCs w:val="24"/>
          <w:highlight w:val="none"/>
          <w:lang w:val="en-US" w:eastAsia="zh-CN"/>
        </w:rPr>
        <w:t>售后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highlight w:val="none"/>
        </w:rPr>
        <w:t>服务</w:t>
      </w:r>
    </w:p>
    <w:p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质保期按行业标准执行。质保期内，若发生质量问题，中标方须及时上门维修；若因产品质量问题导致无法正常使用，中标方须免费重新制作及安装。</w:t>
      </w:r>
    </w:p>
    <w:p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8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报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价方式：总价报价</w:t>
      </w:r>
    </w:p>
    <w:tbl>
      <w:tblPr>
        <w:tblStyle w:val="5"/>
        <w:tblW w:w="840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4"/>
        <w:gridCol w:w="1087"/>
        <w:gridCol w:w="1365"/>
        <w:gridCol w:w="1232"/>
        <w:gridCol w:w="1225"/>
        <w:gridCol w:w="29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245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物资名称</w:t>
            </w:r>
          </w:p>
        </w:tc>
        <w:tc>
          <w:tcPr>
            <w:tcW w:w="12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单位</w:t>
            </w:r>
          </w:p>
        </w:tc>
        <w:tc>
          <w:tcPr>
            <w:tcW w:w="12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数量</w:t>
            </w:r>
          </w:p>
        </w:tc>
        <w:tc>
          <w:tcPr>
            <w:tcW w:w="29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  <w:t>单价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（元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  <w:t>/平方米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Times New Roman" w:hAnsi="Times New Roman" w:cs="Times New Roman" w:eastAsiaTheme="minorEastAsia"/>
                <w:color w:val="auto"/>
                <w:sz w:val="24"/>
                <w:szCs w:val="24"/>
                <w:lang w:val="en-US" w:eastAsia="zh-CN"/>
              </w:rPr>
            </w:pPr>
            <w:bookmarkStart w:id="26" w:name="OLE_LINK4" w:colFirst="0" w:colLast="5"/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45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leftChars="0" w:right="0" w:rightChars="0"/>
              <w:jc w:val="center"/>
              <w:rPr>
                <w:rFonts w:hint="eastAsia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布艺窗帘</w:t>
            </w:r>
          </w:p>
        </w:tc>
        <w:tc>
          <w:tcPr>
            <w:tcW w:w="12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leftChars="0" w:right="0" w:rightChars="0"/>
              <w:jc w:val="center"/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平方米</w:t>
            </w:r>
          </w:p>
        </w:tc>
        <w:tc>
          <w:tcPr>
            <w:tcW w:w="12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leftChars="0" w:right="0" w:rightChars="0"/>
              <w:jc w:val="center"/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9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leftChars="0" w:right="0" w:rightChars="0"/>
              <w:jc w:val="center"/>
              <w:rPr>
                <w:rFonts w:hint="default" w:ascii="宋体" w:eastAsiaTheme="minorEastAsia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Times New Roman" w:hAnsi="Times New Roman" w:cs="Times New Roman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45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leftChars="0" w:right="0" w:rightChars="0"/>
              <w:jc w:val="center"/>
              <w:rPr>
                <w:rFonts w:hint="eastAsia" w:ascii="Times New Roman" w:hAnsi="Times New Roman" w:cs="Times New Roman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全遮光卷帘</w:t>
            </w:r>
          </w:p>
        </w:tc>
        <w:tc>
          <w:tcPr>
            <w:tcW w:w="12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平方米</w:t>
            </w:r>
          </w:p>
        </w:tc>
        <w:tc>
          <w:tcPr>
            <w:tcW w:w="12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9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leftChars="0" w:right="0" w:rightChars="0"/>
              <w:jc w:val="center"/>
              <w:rPr>
                <w:rFonts w:hint="default" w:ascii="宋体" w:eastAsiaTheme="minorEastAsia"/>
                <w:color w:val="auto"/>
                <w:sz w:val="24"/>
                <w:szCs w:val="24"/>
                <w:lang w:val="en-US" w:eastAsia="zh-CN"/>
              </w:rPr>
            </w:pPr>
          </w:p>
        </w:tc>
      </w:tr>
      <w:bookmarkEnd w:id="26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67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</w:pPr>
            <w:bookmarkStart w:id="27" w:name="OLE_LINK5" w:colFirst="0" w:colLast="3"/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  <w:t>总价（元）</w:t>
            </w: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457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  <w:t>限价（元）</w:t>
            </w:r>
          </w:p>
        </w:tc>
        <w:tc>
          <w:tcPr>
            <w:tcW w:w="29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  <w:t>48000</w:t>
            </w:r>
          </w:p>
        </w:tc>
      </w:tr>
      <w:bookmarkEnd w:id="27"/>
    </w:tbl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6"/>
    <w:multiLevelType w:val="multilevel"/>
    <w:tmpl w:val="00000016"/>
    <w:lvl w:ilvl="0" w:tentative="0">
      <w:start w:val="1"/>
      <w:numFmt w:val="none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pStyle w:val="2"/>
      <w:lvlText w:val="%2."/>
      <w:lvlJc w:val="left"/>
      <w:pPr>
        <w:tabs>
          <w:tab w:val="left" w:pos="1276"/>
        </w:tabs>
        <w:ind w:left="210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F0D"/>
    <w:rsid w:val="00AE1F0D"/>
    <w:rsid w:val="05DD2D92"/>
    <w:rsid w:val="09BE7FD0"/>
    <w:rsid w:val="0B6D4294"/>
    <w:rsid w:val="0D69333C"/>
    <w:rsid w:val="0F2941FB"/>
    <w:rsid w:val="109D627B"/>
    <w:rsid w:val="10EC2801"/>
    <w:rsid w:val="12842274"/>
    <w:rsid w:val="143D51A9"/>
    <w:rsid w:val="17066F94"/>
    <w:rsid w:val="17381BB0"/>
    <w:rsid w:val="17694D01"/>
    <w:rsid w:val="185A5411"/>
    <w:rsid w:val="19DB66C4"/>
    <w:rsid w:val="1A8A127A"/>
    <w:rsid w:val="1AB573DF"/>
    <w:rsid w:val="1C341D19"/>
    <w:rsid w:val="1D5D12BA"/>
    <w:rsid w:val="1E504CE4"/>
    <w:rsid w:val="20800B3D"/>
    <w:rsid w:val="210B39A6"/>
    <w:rsid w:val="28981A52"/>
    <w:rsid w:val="29DC085C"/>
    <w:rsid w:val="2A3957B5"/>
    <w:rsid w:val="2A722F50"/>
    <w:rsid w:val="2BFA33A0"/>
    <w:rsid w:val="2C12605B"/>
    <w:rsid w:val="2C3129E8"/>
    <w:rsid w:val="2CAF2340"/>
    <w:rsid w:val="2D8C18C2"/>
    <w:rsid w:val="305E74EC"/>
    <w:rsid w:val="360B7EBA"/>
    <w:rsid w:val="369C3A76"/>
    <w:rsid w:val="385F2084"/>
    <w:rsid w:val="3A6C4ED1"/>
    <w:rsid w:val="3B2F23DC"/>
    <w:rsid w:val="3CDE35A3"/>
    <w:rsid w:val="494926BF"/>
    <w:rsid w:val="497F1E4B"/>
    <w:rsid w:val="4C4C3644"/>
    <w:rsid w:val="4D7C3730"/>
    <w:rsid w:val="4D917E52"/>
    <w:rsid w:val="50C36A0F"/>
    <w:rsid w:val="5418600B"/>
    <w:rsid w:val="54DD73C8"/>
    <w:rsid w:val="59011261"/>
    <w:rsid w:val="5AD17D81"/>
    <w:rsid w:val="5E964126"/>
    <w:rsid w:val="5EE160E8"/>
    <w:rsid w:val="6D203A05"/>
    <w:rsid w:val="6EBB4B1A"/>
    <w:rsid w:val="6FA032F5"/>
    <w:rsid w:val="71460A73"/>
    <w:rsid w:val="73CB307D"/>
    <w:rsid w:val="743F7C25"/>
    <w:rsid w:val="74532949"/>
    <w:rsid w:val="75D83866"/>
    <w:rsid w:val="77C05491"/>
    <w:rsid w:val="786A41B8"/>
    <w:rsid w:val="7E50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keepNext/>
      <w:keepLines/>
      <w:numPr>
        <w:ilvl w:val="1"/>
        <w:numId w:val="1"/>
      </w:numPr>
      <w:topLinePunct/>
      <w:outlineLvl w:val="1"/>
    </w:pPr>
    <w:rPr>
      <w:rFonts w:eastAsia="黑体"/>
      <w:bCs/>
      <w:szCs w:val="21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</w:style>
  <w:style w:type="paragraph" w:styleId="4">
    <w:name w:val="Normal (Web)"/>
    <w:basedOn w:val="1"/>
    <w:qFormat/>
    <w:uiPriority w:val="0"/>
    <w:rPr>
      <w:sz w:val="24"/>
    </w:rPr>
  </w:style>
  <w:style w:type="paragraph" w:customStyle="1" w:styleId="7">
    <w:name w:val="Other|1"/>
    <w:basedOn w:val="1"/>
    <w:qFormat/>
    <w:uiPriority w:val="0"/>
    <w:pPr>
      <w:jc w:val="center"/>
    </w:pPr>
    <w:rPr>
      <w:rFonts w:ascii="宋体" w:hAnsi="宋体" w:eastAsia="宋体" w:cs="宋体"/>
      <w:sz w:val="26"/>
      <w:szCs w:val="26"/>
      <w:lang w:val="zh-TW" w:eastAsia="zh-TW" w:bidi="zh-TW"/>
    </w:rPr>
  </w:style>
  <w:style w:type="character" w:customStyle="1" w:styleId="8">
    <w:name w:val="font71"/>
    <w:basedOn w:val="6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paragraph" w:customStyle="1" w:styleId="9">
    <w:name w:val="_标准条文"/>
    <w:basedOn w:val="1"/>
    <w:qFormat/>
    <w:uiPriority w:val="0"/>
    <w:pPr>
      <w:overflowPunct w:val="0"/>
      <w:snapToGrid w:val="0"/>
      <w:spacing w:line="276" w:lineRule="auto"/>
      <w:ind w:firstLine="420" w:firstLineChars="200"/>
    </w:pPr>
    <w:rPr>
      <w:rFonts w:ascii="Arial" w:hAnsi="Arial" w:eastAsia="宋体" w:cs="Arial"/>
      <w:szCs w:val="21"/>
    </w:rPr>
  </w:style>
  <w:style w:type="paragraph" w:customStyle="1" w:styleId="10">
    <w:name w:val="Body text|1"/>
    <w:basedOn w:val="1"/>
    <w:qFormat/>
    <w:uiPriority w:val="0"/>
    <w:pPr>
      <w:spacing w:after="600"/>
      <w:jc w:val="center"/>
    </w:pPr>
    <w:rPr>
      <w:rFonts w:ascii="宋体" w:hAnsi="宋体" w:eastAsia="宋体" w:cs="宋体"/>
      <w:sz w:val="44"/>
      <w:szCs w:val="44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2022-04-25T06:51:00Z</dcterms:created>
  <dc:creator>Silence</dc:creator>
  <cp:lastModifiedBy>晏茜</cp:lastModifiedBy>
  <dcterms:modified xsi:type="dcterms:W3CDTF">2026-06-12T10:05:12Z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105361470E414900944A235AB0324860</vt:lpwstr>
  </property>
</Properties>
</file>