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default" w:ascii="宋体" w:hAnsi="宋体" w:eastAsia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</w:pPr>
      <w:bookmarkStart w:id="0" w:name="_Toc8445"/>
      <w:r>
        <w:rPr>
          <w:rFonts w:hint="eastAsia" w:hAnsi="宋体" w:eastAsia="宋体" w:cs="宋体"/>
          <w:b/>
          <w:bCs/>
          <w:snapToGrid w:val="0"/>
          <w:color w:val="auto"/>
          <w:kern w:val="0"/>
          <w:sz w:val="32"/>
          <w:szCs w:val="32"/>
          <w:highlight w:val="none"/>
          <w:u w:val="none"/>
          <w:lang w:val="en-US" w:eastAsia="zh-CN"/>
        </w:rPr>
        <w:t>标的1</w:t>
      </w:r>
      <w:bookmarkStart w:id="2" w:name="_GoBack"/>
      <w:bookmarkEnd w:id="2"/>
    </w:p>
    <w:p>
      <w:pPr>
        <w:pStyle w:val="5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eastAsia" w:hAnsi="宋体" w:cs="宋体"/>
          <w:b/>
          <w:color w:val="FF0000"/>
          <w:sz w:val="28"/>
          <w:szCs w:val="28"/>
          <w:highlight w:val="none"/>
          <w:lang w:val="en-US" w:eastAsia="zh-CN"/>
        </w:rPr>
      </w:pPr>
      <w:r>
        <w:rPr>
          <w:rFonts w:hint="eastAsia" w:hAnsi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项目</w:t>
      </w:r>
      <w:r>
        <w:rPr>
          <w:rFonts w:hint="eastAsia" w:ascii="宋体" w:hAnsi="宋体" w:eastAsia="宋体" w:cs="宋体"/>
          <w:b/>
          <w:bCs/>
          <w:snapToGrid w:val="0"/>
          <w:color w:val="auto"/>
          <w:kern w:val="0"/>
          <w:sz w:val="28"/>
          <w:szCs w:val="28"/>
          <w:highlight w:val="none"/>
          <w:u w:val="none"/>
          <w:lang w:val="en-US" w:eastAsia="zh-CN"/>
        </w:rPr>
        <w:t>名称：</w:t>
      </w:r>
      <w:r>
        <w:rPr>
          <w:rFonts w:hint="eastAsia" w:hAnsi="宋体" w:cs="宋体"/>
          <w:b/>
          <w:color w:val="auto"/>
          <w:sz w:val="28"/>
          <w:szCs w:val="28"/>
          <w:highlight w:val="none"/>
          <w:lang w:val="en-US" w:eastAsia="zh-CN"/>
        </w:rPr>
        <w:t>珠海220千伏斗湾输变电工程施工</w:t>
      </w:r>
    </w:p>
    <w:tbl>
      <w:tblPr>
        <w:tblStyle w:val="8"/>
        <w:tblW w:w="79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8"/>
        <w:gridCol w:w="2911"/>
        <w:gridCol w:w="40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序号</w:t>
            </w:r>
          </w:p>
        </w:tc>
        <w:tc>
          <w:tcPr>
            <w:tcW w:w="2911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</w:t>
            </w:r>
          </w:p>
        </w:tc>
        <w:tc>
          <w:tcPr>
            <w:tcW w:w="4062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hAnsi="宋体" w:eastAsia="宋体" w:cs="宋体"/>
                <w:b/>
                <w:bCs/>
                <w:snapToGrid w:val="0"/>
                <w:color w:val="auto"/>
                <w:sz w:val="21"/>
                <w:szCs w:val="21"/>
                <w:highlight w:val="none"/>
                <w:u w:val="none"/>
                <w:lang w:val="en-US" w:eastAsia="zh-CN"/>
              </w:rPr>
              <w:t>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2911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项目建设单位</w:t>
            </w:r>
          </w:p>
        </w:tc>
        <w:tc>
          <w:tcPr>
            <w:tcW w:w="4062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广东电网有限责任公司珠海供电局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2911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项目建设地点</w:t>
            </w:r>
          </w:p>
        </w:tc>
        <w:tc>
          <w:tcPr>
            <w:tcW w:w="4062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hAnsi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广东省珠海市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2911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可研批复文号</w:t>
            </w:r>
          </w:p>
        </w:tc>
        <w:tc>
          <w:tcPr>
            <w:tcW w:w="4062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广电规〔2026〕19号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2911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项目核准、备案文号</w:t>
            </w:r>
          </w:p>
        </w:tc>
        <w:tc>
          <w:tcPr>
            <w:tcW w:w="4062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2601-440403-04-01-222547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2911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资金落实情况</w:t>
            </w:r>
          </w:p>
        </w:tc>
        <w:tc>
          <w:tcPr>
            <w:tcW w:w="4062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 xml:space="preserve">珠供电计〔2026〕10 号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2911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初设批复文号</w:t>
            </w:r>
          </w:p>
        </w:tc>
        <w:tc>
          <w:tcPr>
            <w:tcW w:w="4062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 xml:space="preserve">广电建〔2026〕51号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2911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施工图预算批复文号</w:t>
            </w:r>
          </w:p>
        </w:tc>
        <w:tc>
          <w:tcPr>
            <w:tcW w:w="4062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暂无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2911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前期的设计或咨询服务单位</w:t>
            </w:r>
          </w:p>
        </w:tc>
        <w:tc>
          <w:tcPr>
            <w:tcW w:w="4062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珠海电力设计院有限公司/西北综合勘察设计研究院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78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2911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项目监理单位</w:t>
            </w:r>
          </w:p>
        </w:tc>
        <w:tc>
          <w:tcPr>
            <w:tcW w:w="4062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shd w:val="clear" w:color="auto" w:fill="auto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napToGrid w:val="0"/>
                <w:color w:val="auto"/>
                <w:kern w:val="0"/>
                <w:sz w:val="21"/>
                <w:szCs w:val="21"/>
                <w:highlight w:val="none"/>
                <w:u w:val="none"/>
                <w:vertAlign w:val="baseline"/>
                <w:lang w:val="en-US" w:eastAsia="zh-CN"/>
              </w:rPr>
              <w:t>暂无</w:t>
            </w:r>
          </w:p>
        </w:tc>
      </w:tr>
    </w:tbl>
    <w:p>
      <w:pPr>
        <w:pStyle w:val="5"/>
        <w:keepNext w:val="0"/>
        <w:keepLines w:val="0"/>
        <w:pageBreakBefore w:val="0"/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firstLine="562" w:firstLineChars="200"/>
        <w:jc w:val="center"/>
        <w:textAlignment w:val="auto"/>
        <w:outlineLvl w:val="0"/>
        <w:rPr>
          <w:rFonts w:hint="default" w:hAnsi="宋体" w:cs="宋体"/>
          <w:b/>
          <w:color w:val="FF0000"/>
          <w:sz w:val="28"/>
          <w:szCs w:val="28"/>
          <w:highlight w:val="none"/>
          <w:lang w:val="en-US" w:eastAsia="zh-CN"/>
        </w:rPr>
      </w:pPr>
    </w:p>
    <w:bookmarkEnd w:id="0"/>
    <w:p>
      <w:pPr>
        <w:pStyle w:val="5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建设规模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（一）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变电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工程</w:t>
      </w:r>
    </w:p>
    <w:p>
      <w:pPr>
        <w:pStyle w:val="5"/>
        <w:keepNext w:val="0"/>
        <w:keepLines w:val="0"/>
        <w:suppressLineNumbers w:val="0"/>
        <w:spacing w:before="0" w:beforeAutospacing="0" w:after="0" w:afterAutospacing="0" w:line="100" w:lineRule="atLeast"/>
        <w:ind w:left="0" w:right="0" w:firstLine="420" w:firstLineChars="200"/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1、220kV斗湾变电站工程：本期新建240MVA主变2台；新建220kV出线6回；新建110kV出线8回；新建10kV出线20回；新建电容器组：2×3×8Mvar、电抗器组：2×2×8Mvar；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2、220kV白藤变电站保护改造工程 ：至斗湾站220kV线路均配置双套电流差动保护，每套保护采用一路专用光纤通道和一路复用光纤通道构成的双通道，原有线路保护搬迁至斗湾站利用；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3、110kV锦绣变电站保护改造工程：至斗湾站110kV线路更换保护装置，配置双套复用光纤通道的电流差动保护；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4、110kV坭湾变电站保护改造工程：至斗湾站110kV线路更换保护装置，配置双套复用光纤通道的电流差动保护；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5、110kV榕益变电站保护改造工程：至斗湾站110kV线路配置双套复用光纤通道的电流差动保护，其中第一套保护利用站内原有线路保护装置；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420" w:firstLineChars="200"/>
        <w:textAlignment w:val="auto"/>
        <w:outlineLvl w:val="9"/>
        <w:rPr>
          <w:rFonts w:hint="default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6、110kV禾益变电站保护改造工程：至斗湾站110kV线路配置双套复用光纤通道的电流差动保护，原有保护装置搬迁至斗湾站利用</w:t>
      </w:r>
      <w:r>
        <w:rPr>
          <w:rFonts w:hint="eastAsia" w:hAnsi="宋体" w:cs="宋体"/>
          <w:b w:val="0"/>
          <w:bCs/>
          <w:color w:val="auto"/>
          <w:kern w:val="2"/>
          <w:sz w:val="21"/>
          <w:szCs w:val="21"/>
          <w:highlight w:val="none"/>
          <w:lang w:val="en-US" w:eastAsia="zh-CN" w:bidi="ar-SA"/>
        </w:rPr>
        <w:t>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</w:t>
      </w:r>
      <w:r>
        <w:rPr>
          <w:rFonts w:hint="eastAsia" w:hAnsi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二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）</w:t>
      </w: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</w:rPr>
        <w:t>线路工程</w:t>
      </w:r>
    </w:p>
    <w:p>
      <w:pPr>
        <w:pStyle w:val="5"/>
        <w:adjustRightInd w:val="0"/>
        <w:snapToGrid w:val="0"/>
        <w:spacing w:line="240" w:lineRule="auto"/>
        <w:ind w:firstLine="420" w:firstLineChars="200"/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1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1"/>
          <w:highlight w:val="none"/>
          <w:u w:val="none"/>
          <w:lang w:val="en-US" w:eastAsia="zh-CN" w:bidi="ar-SA"/>
        </w:rPr>
        <w:t>※架空线路部分：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  <w:t>220kV加白甲乙线解口入斗湾站线路工程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：解口220kV加林至白藤双回线路入斗湾站,形成220kV加林至斗湾双回线路及220kV斗湾至白藤双回线路。新建220kV同塔双回架空线路长约2×（2.1+2.1）km。导线截面2×630mm2；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  <w:t>110kV禾榕甲乙线解口入斗湾站线路工程（架空部分）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：解口110kV禾益至榕益双回线路入斗湾站,形成110kV斗湾至禾益双回线路及110kV斗湾至榕益双回线路。架空部分新建110kV同塔双回架空线路长约 2×（1.9+1.9）km。导线截面1×400mm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。</w:t>
      </w:r>
    </w:p>
    <w:p>
      <w:pPr>
        <w:pStyle w:val="5"/>
        <w:adjustRightInd w:val="0"/>
        <w:snapToGrid w:val="0"/>
        <w:spacing w:line="240" w:lineRule="auto"/>
        <w:ind w:firstLine="420" w:firstLineChars="200"/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1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1"/>
          <w:highlight w:val="none"/>
          <w:u w:val="none"/>
          <w:lang w:val="en-US" w:eastAsia="zh-CN" w:bidi="ar-SA"/>
        </w:rPr>
        <w:t>※电缆线路部分：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  <w:t>110kV锦湾甲乙线解口入斗湾站线路工程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：解口110kV锦绣至坭湾双回线路入斗湾站,形成110kV斗湾至锦绣双回线路及110kV斗湾至坭湾双回线路。新建110kV双回电缆线路长约2×（8.75+8.75）km。电缆铜导体截面1×1200mm2。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adjustRightInd w:val="0"/>
        <w:snapToGrid w:val="0"/>
        <w:spacing w:line="240" w:lineRule="auto"/>
        <w:ind w:firstLine="420" w:firstLineChars="200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i w:val="0"/>
          <w:iCs w:val="0"/>
          <w:color w:val="auto"/>
          <w:kern w:val="0"/>
          <w:sz w:val="21"/>
          <w:szCs w:val="21"/>
          <w:highlight w:val="none"/>
          <w:u w:val="none"/>
          <w:lang w:val="en-US" w:eastAsia="zh-CN" w:bidi="ar"/>
        </w:rPr>
        <w:t>110kV禾榕甲乙线解口入斗湾站线路工程（电缆部分）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：解口110kV禾益至榕益双回线路入斗湾站,形成110kV斗湾至禾益双回线路及110kV斗湾至榕益双回线路。电缆部分新建110kV双回电缆线路长约2×（0.47+0.47+1.28+1.38）km</w:t>
      </w:r>
      <w:r>
        <w:rPr>
          <w:rFonts w:hint="eastAsia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。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电缆铜导体截面1×1200mm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vertAlign w:val="superscript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outlineLvl w:val="1"/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color w:val="auto"/>
          <w:kern w:val="0"/>
          <w:sz w:val="21"/>
          <w:szCs w:val="21"/>
          <w:highlight w:val="none"/>
          <w:u w:val="none"/>
          <w:lang w:val="en-US" w:eastAsia="zh-CN"/>
        </w:rPr>
        <w:t>（三）通信工程</w:t>
      </w:r>
    </w:p>
    <w:p>
      <w:pPr>
        <w:pStyle w:val="5"/>
        <w:shd w:val="clear" w:color="auto" w:fill="auto"/>
        <w:adjustRightInd w:val="0"/>
        <w:snapToGrid w:val="0"/>
        <w:spacing w:line="240" w:lineRule="auto"/>
        <w:ind w:firstLine="420" w:firstLineChars="200"/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1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1"/>
          <w:highlight w:val="none"/>
          <w:u w:val="none"/>
          <w:lang w:val="en-US" w:eastAsia="zh-CN" w:bidi="ar-SA"/>
        </w:rPr>
        <w:t>1、配套通信设备工程：斗湾站配置2套STM-64 ASON设备，对侧站配置相应的光接口单元，接入珠海地区传输新ASON网和传输新网B；配置1套接入路由器、1套汇聚路由器，接入调度数据网；配置1套接入路由器，接入珠海地区综合数据网；配置1套汇聚交换机，接入珠海地区配电数据网；1套接入交换机，接入珠海地区语音视频网；配置3套E1接入网关设备、1套软交换系统IAD模块和1套统一通信终端；配置2套-48V/300A/800Ah通信电源，电源系统按双重化原则配置；配置2套通信电源监测装置及2套蓄电池远程核容装置；租用2套波分复用设备，用于临时通信方案；</w:t>
      </w:r>
    </w:p>
    <w:p>
      <w:pPr>
        <w:pStyle w:val="5"/>
        <w:shd w:val="clear" w:color="auto" w:fill="auto"/>
        <w:adjustRightInd w:val="0"/>
        <w:snapToGrid w:val="0"/>
        <w:spacing w:line="240" w:lineRule="auto"/>
        <w:ind w:firstLine="420" w:firstLineChars="200"/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1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1"/>
          <w:highlight w:val="none"/>
          <w:u w:val="none"/>
          <w:lang w:val="en-US" w:eastAsia="zh-CN" w:bidi="ar-SA"/>
        </w:rPr>
        <w:t>2、220kV加白甲乙线解口入斗湾站线路工程（OPGW光缆部分）：解口加林站至白藤站220kV线路的1条光缆入斗湾站，沿斗湾站至解口点新建线路建设2条48芯OPGW光缆，与原有光缆接续，形成斗湾站至加林站、斗湾站至白藤站各1条光缆路由，新建光缆路径长为2×2.1km；</w:t>
      </w:r>
    </w:p>
    <w:p>
      <w:pPr>
        <w:pStyle w:val="5"/>
        <w:shd w:val="clear" w:color="auto" w:fill="auto"/>
        <w:adjustRightInd w:val="0"/>
        <w:snapToGrid w:val="0"/>
        <w:spacing w:line="240" w:lineRule="auto"/>
        <w:ind w:firstLine="420" w:firstLineChars="200"/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1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1"/>
          <w:highlight w:val="none"/>
          <w:u w:val="none"/>
          <w:lang w:val="en-US" w:eastAsia="zh-CN" w:bidi="ar-SA"/>
        </w:rPr>
        <w:t>3、110kV锦湾甲乙线解口入斗湾站线路工程（管道光缆部分）：沿斗湾站至锦绣站110kV输电线路建设1条48芯管道光缆，新建光缆路径长为8.75km+6.1km；</w:t>
      </w:r>
    </w:p>
    <w:p>
      <w:pPr>
        <w:pStyle w:val="5"/>
        <w:shd w:val="clear" w:color="auto" w:fill="auto"/>
        <w:adjustRightInd w:val="0"/>
        <w:snapToGrid w:val="0"/>
        <w:spacing w:line="240" w:lineRule="auto"/>
        <w:ind w:firstLine="420" w:firstLineChars="200"/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1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1"/>
          <w:highlight w:val="none"/>
          <w:u w:val="none"/>
          <w:lang w:val="en-US" w:eastAsia="zh-CN" w:bidi="ar-SA"/>
        </w:rPr>
        <w:t>4、110kV禾榕甲乙线解口入斗湾站线路工程（管道光缆部分）：沿斗湾站至坭湾站110kV新建线路建设1条48芯管道光缆，新建光缆路径长为8.75km。</w:t>
      </w:r>
    </w:p>
    <w:p>
      <w:pPr>
        <w:pStyle w:val="5"/>
        <w:shd w:val="clear" w:color="auto" w:fill="auto"/>
        <w:adjustRightInd w:val="0"/>
        <w:snapToGrid w:val="0"/>
        <w:spacing w:line="240" w:lineRule="auto"/>
        <w:ind w:firstLine="420" w:firstLineChars="200"/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1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1"/>
          <w:highlight w:val="none"/>
          <w:u w:val="none"/>
          <w:lang w:val="en-US" w:eastAsia="zh-CN" w:bidi="ar-SA"/>
        </w:rPr>
        <w:t>5、110kV禾榕甲乙线解口入斗湾站线路工程（OPGW光缆部分）：沿斗湾站至禾益站110kV新建线路段建设1条48芯OPGW+管道光缆，新建光缆路径长为1.9km+1.85km；沿斗湾站至榕益站110kV新建线路段建设1条48芯OPGW+管道光缆，与原有光缆接续，形成斗湾站至榕益站1条光缆路由，新建光缆路径长为1.9km+1.75km。</w:t>
      </w:r>
    </w:p>
    <w:p>
      <w:pPr>
        <w:pStyle w:val="5"/>
        <w:shd w:val="clear" w:color="auto" w:fill="auto"/>
        <w:adjustRightInd w:val="0"/>
        <w:snapToGrid w:val="0"/>
        <w:spacing w:line="240" w:lineRule="auto"/>
        <w:ind w:firstLine="420" w:firstLineChars="200"/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1"/>
          <w:highlight w:val="none"/>
          <w:u w:val="none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1"/>
          <w:highlight w:val="none"/>
          <w:u w:val="none"/>
          <w:lang w:val="en-US" w:eastAsia="zh-CN" w:bidi="ar-SA"/>
        </w:rPr>
        <w:t>具体建设规模以施工图纸为准。</w:t>
      </w:r>
    </w:p>
    <w:p>
      <w:pPr>
        <w:pStyle w:val="5"/>
        <w:shd w:val="clear" w:color="auto" w:fill="auto"/>
        <w:adjustRightInd w:val="0"/>
        <w:snapToGrid w:val="0"/>
        <w:spacing w:line="240" w:lineRule="auto"/>
        <w:ind w:firstLine="420" w:firstLineChars="200"/>
        <w:rPr>
          <w:rFonts w:hint="eastAsia" w:ascii="宋体" w:hAnsi="宋体" w:eastAsia="宋体" w:cs="宋体"/>
          <w:b w:val="0"/>
          <w:bCs w:val="0"/>
          <w:color w:val="auto"/>
          <w:kern w:val="2"/>
          <w:sz w:val="21"/>
          <w:szCs w:val="21"/>
          <w:highlight w:val="none"/>
          <w:u w:val="none"/>
          <w:lang w:val="en-US" w:eastAsia="zh-CN" w:bidi="ar-SA"/>
        </w:rPr>
      </w:pPr>
    </w:p>
    <w:p>
      <w:pPr>
        <w:pStyle w:val="5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采购范围</w:t>
      </w:r>
      <w:bookmarkStart w:id="1" w:name="施工招标范围综合"/>
    </w:p>
    <w:bookmarkEnd w:id="1"/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施工招标范围：包括施工图范围内的建筑、安装及调试工程。施工图范围内的下列工作内容，无□及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instrText xml:space="preserve"> EQ \o\ac(</w:instrText>
      </w:r>
      <w:r>
        <w:rPr>
          <w:rFonts w:hint="eastAsia" w:ascii="宋体" w:hAnsi="宋体" w:eastAsia="宋体" w:cs="宋体"/>
          <w:b/>
          <w:bCs/>
          <w:color w:val="auto"/>
          <w:position w:val="-4"/>
          <w:sz w:val="31"/>
          <w:szCs w:val="21"/>
          <w:highlight w:val="none"/>
          <w:lang w:val="en-US" w:eastAsia="zh-CN"/>
        </w:rPr>
        <w:instrText xml:space="preserve">□</w:instrText>
      </w:r>
      <w:r>
        <w:rPr>
          <w:rFonts w:hint="eastAsia" w:ascii="宋体" w:hAnsi="宋体" w:eastAsia="宋体" w:cs="宋体"/>
          <w:b/>
          <w:bCs/>
          <w:color w:val="auto"/>
          <w:position w:val="0"/>
          <w:sz w:val="21"/>
          <w:szCs w:val="21"/>
          <w:highlight w:val="none"/>
          <w:lang w:val="en-US" w:eastAsia="zh-CN"/>
        </w:rPr>
        <w:instrText xml:space="preserve">,√)</w:instrTex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的为本次报价范围；□未打√的，不在本次报价范围内，特殊情况在“其他”中说明。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33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变电部分：</w:t>
      </w:r>
    </w:p>
    <w:p>
      <w:pPr>
        <w:autoSpaceDE w:val="0"/>
        <w:autoSpaceDN w:val="0"/>
        <w:adjustRightInd w:val="0"/>
        <w:spacing w:line="240" w:lineRule="auto"/>
        <w:ind w:firstLine="422" w:firstLineChars="200"/>
        <w:jc w:val="left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变电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建筑工程：</w:t>
      </w:r>
    </w:p>
    <w:p>
      <w:pPr>
        <w:autoSpaceDE w:val="0"/>
        <w:autoSpaceDN w:val="0"/>
        <w:adjustRightInd w:val="0"/>
        <w:spacing w:line="240" w:lineRule="auto"/>
        <w:ind w:firstLine="422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（一）主要生产工程：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主要生产建筑，配电装置建筑，供水系统，消防系统；</w:t>
      </w:r>
    </w:p>
    <w:p>
      <w:pPr>
        <w:autoSpaceDE w:val="0"/>
        <w:autoSpaceDN w:val="0"/>
        <w:adjustRightInd w:val="0"/>
        <w:spacing w:line="240" w:lineRule="auto"/>
        <w:ind w:firstLine="422" w:firstLineChars="20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（二）辅助生产工程：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辅助生产建筑，站区性建筑，特殊构筑物，全站沉降观测点，站区绿化；</w:t>
      </w:r>
    </w:p>
    <w:p>
      <w:pPr>
        <w:autoSpaceDE w:val="0"/>
        <w:autoSpaceDN w:val="0"/>
        <w:adjustRightInd w:val="0"/>
        <w:spacing w:line="240" w:lineRule="auto"/>
        <w:ind w:firstLine="422" w:firstLineChars="200"/>
        <w:jc w:val="left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（三）与站址有关的单项工程：</w:t>
      </w:r>
    </w:p>
    <w:p>
      <w:pPr>
        <w:autoSpaceDE w:val="0"/>
        <w:autoSpaceDN w:val="0"/>
        <w:adjustRightInd w:val="0"/>
        <w:spacing w:line="240" w:lineRule="auto"/>
        <w:ind w:firstLine="42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地基处理，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站外道路（其中□桥涵），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站外水源，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站外排水，□站外蒸发池，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施工降水，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临时施工电源，□临时施工水源，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临时施工道路，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临时施工通信线路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临时施工防护工程；</w:t>
      </w:r>
    </w:p>
    <w:p>
      <w:pPr>
        <w:autoSpaceDE w:val="0"/>
        <w:autoSpaceDN w:val="0"/>
        <w:adjustRightInd w:val="0"/>
        <w:spacing w:line="240" w:lineRule="auto"/>
        <w:ind w:firstLine="42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（四）其他费用工程：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白蚁防治，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拆除工程；</w:t>
      </w:r>
    </w:p>
    <w:p>
      <w:pPr>
        <w:autoSpaceDE w:val="0"/>
        <w:autoSpaceDN w:val="0"/>
        <w:adjustRightInd w:val="0"/>
        <w:spacing w:line="240" w:lineRule="auto"/>
        <w:ind w:firstLine="420"/>
        <w:jc w:val="left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（五）其他：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/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42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变电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安装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工程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：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bidi w:val="0"/>
        <w:spacing w:line="24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kern w:val="0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主要生产工程：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主变压器系统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配电装置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无功补偿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，控制及直流系统，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站用电系统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，电缆及接地，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远动系统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含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总调、中调、地调调度端的扩容）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，计费系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统，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highlight w:val="none"/>
          <w:lang w:eastAsia="zh-CN"/>
        </w:rPr>
        <w:t>全站调试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（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其中特殊调试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以合同附件特殊调试项目为准）</w:t>
      </w:r>
      <w:r>
        <w:rPr>
          <w:rFonts w:hint="eastAsia" w:ascii="宋体" w:hAnsi="宋体" w:eastAsia="宋体" w:cs="宋体"/>
          <w:b w:val="0"/>
          <w:bCs/>
          <w:color w:val="auto"/>
          <w:kern w:val="0"/>
          <w:sz w:val="21"/>
          <w:szCs w:val="21"/>
          <w:highlight w:val="none"/>
          <w:lang w:eastAsia="zh-CN"/>
        </w:rPr>
        <w:t>；</w:t>
      </w:r>
    </w:p>
    <w:p>
      <w:pPr>
        <w:autoSpaceDE w:val="0"/>
        <w:autoSpaceDN w:val="0"/>
        <w:adjustRightInd w:val="0"/>
        <w:spacing w:line="120" w:lineRule="atLeast"/>
        <w:ind w:firstLine="420"/>
        <w:jc w:val="left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）辅助生产工程：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检修及修配设备；</w:t>
      </w:r>
    </w:p>
    <w:p>
      <w:pPr>
        <w:autoSpaceDE w:val="0"/>
        <w:autoSpaceDN w:val="0"/>
        <w:adjustRightInd w:val="0"/>
        <w:spacing w:line="120" w:lineRule="atLeast"/>
        <w:ind w:firstLine="420"/>
        <w:jc w:val="left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（三）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与站址有关的单项工程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□站外电源，□站外通信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；</w:t>
      </w:r>
    </w:p>
    <w:p>
      <w:pPr>
        <w:autoSpaceDE w:val="0"/>
        <w:autoSpaceDN w:val="0"/>
        <w:adjustRightInd w:val="0"/>
        <w:spacing w:line="120" w:lineRule="atLeast"/>
        <w:ind w:firstLine="420"/>
        <w:jc w:val="left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（四）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费用工程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☑标志牌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装，☑拆除工程；</w:t>
      </w:r>
    </w:p>
    <w:p>
      <w:pPr>
        <w:autoSpaceDE w:val="0"/>
        <w:autoSpaceDN w:val="0"/>
        <w:adjustRightInd w:val="0"/>
        <w:spacing w:line="120" w:lineRule="atLeast"/>
        <w:ind w:firstLine="420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（五）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其他：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/      。</w:t>
      </w:r>
    </w:p>
    <w:p>
      <w:pPr>
        <w:autoSpaceDE w:val="0"/>
        <w:autoSpaceDN w:val="0"/>
        <w:adjustRightInd w:val="0"/>
        <w:ind w:firstLine="422" w:firstLineChars="200"/>
        <w:jc w:val="left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※架空线路部分：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基础工程：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基础工程材料工地运输，土石方工程，基础砌筑，基础防腐，基础防护，地基处理；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杆塔工程：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杆塔工程材料工地运输，杆塔组立；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接地工程：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接地工程材料工地运输，接地土石方，接地安装；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架线工程：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架线工程材料工地运输，导地线架设（不含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val="en-US" w:eastAsia="zh-CN"/>
        </w:rPr>
        <w:t>OPGW接续与测量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），导地线跨越架设（其中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☑带电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跨越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10千伏及以下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电力线路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□带电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跨越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val="en-US" w:eastAsia="zh-CN"/>
        </w:rPr>
        <w:t>35千伏及以上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电力线路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□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跨越铁路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☑高速公路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☑一、二级公路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bCs/>
          <w:strike w:val="0"/>
          <w:dstrike w:val="0"/>
          <w:color w:val="auto"/>
          <w:sz w:val="21"/>
          <w:szCs w:val="21"/>
          <w:highlight w:val="none"/>
        </w:rPr>
        <w:t>河流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），其他架线工程；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附件安装工程：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附件安装工程材料工地运输，绝缘子串及金具安装；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eastAsia="zh-CN"/>
        </w:rPr>
        <w:t>（六）辅助工程：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永久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施工道路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修筑，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尖峰、施工基面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土石方工程，护坡、挡土墙及排洪沟，基础永久性围堰，索道站安装，杆塔上装的各类辅助生产装置（其中：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☑标志牌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装，☑防坠地装置，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防鸟刺装置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输、送电线路试运；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（七）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费用工程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□拆除工程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施工临时占用地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补偿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（含牵引场地租用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费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□施工临时占用地（含牵引场地）青苗赔偿，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□临时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施工道路的青苗赔偿，□塔基占地及其青苗赔偿，□架线青苗赔偿，□接地线铺设的青苗赔偿，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塔基绿化恢复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，☑临时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</w:rPr>
        <w:t>施工道路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修筑费（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val="en-US" w:eastAsia="zh-CN"/>
        </w:rPr>
        <w:t>单价/总价均报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），输电线路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跨越补偿费（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□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</w:rPr>
        <w:t>跨越铁路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  <w:lang w:eastAsia="zh-CN"/>
        </w:rPr>
        <w:t>补偿费、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</w:rPr>
        <w:t>跨越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高速公路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  <w:lang w:eastAsia="zh-CN"/>
        </w:rPr>
        <w:t>补偿费、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□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</w:rPr>
        <w:t>跨越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一、二级公路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  <w:lang w:eastAsia="zh-CN"/>
        </w:rPr>
        <w:t>补偿费、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☑跨越通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</w:rPr>
        <w:t>航河流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none"/>
          <w:lang w:eastAsia="zh-CN"/>
        </w:rPr>
        <w:t>补偿费</w:t>
      </w:r>
      <w:r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  <w:lang w:eastAsia="zh-CN"/>
        </w:rPr>
        <w:t>）；</w:t>
      </w:r>
    </w:p>
    <w:p>
      <w:pPr>
        <w:autoSpaceDE w:val="0"/>
        <w:autoSpaceDN w:val="0"/>
        <w:adjustRightInd w:val="0"/>
        <w:ind w:firstLine="420"/>
        <w:jc w:val="left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（八）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其他：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  <w:lang w:eastAsia="zh-CN"/>
        </w:rPr>
        <w:t>☑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u w:val="single"/>
          <w:lang w:val="en-US" w:eastAsia="zh-CN"/>
        </w:rPr>
        <w:t xml:space="preserve"> 施工、措施费及其施工申请手续均由中标单位办理及支付，其中输电线路跨越补偿费，跨越高速公路补偿费按20万元/处计算、跨越通航河流补偿费按80万元/处计算；以上均为综合单价包干，结算时不予调整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。</w:t>
      </w:r>
    </w:p>
    <w:p>
      <w:pPr>
        <w:autoSpaceDE w:val="0"/>
        <w:autoSpaceDN w:val="0"/>
        <w:adjustRightInd w:val="0"/>
        <w:ind w:firstLine="420"/>
        <w:jc w:val="left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</w:pPr>
    </w:p>
    <w:p>
      <w:pPr>
        <w:pStyle w:val="5"/>
        <w:ind w:firstLine="422" w:firstLineChars="200"/>
        <w:jc w:val="left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※电缆线路部分：</w:t>
      </w:r>
    </w:p>
    <w:p>
      <w:pPr>
        <w:autoSpaceDE w:val="0"/>
        <w:autoSpaceDN w:val="0"/>
        <w:adjustRightInd w:val="0"/>
        <w:ind w:firstLine="422" w:firstLineChars="200"/>
        <w:jc w:val="left"/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施工图纸范围内的电缆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  <w:t>建筑：</w:t>
      </w:r>
    </w:p>
    <w:p>
      <w:pPr>
        <w:autoSpaceDE w:val="0"/>
        <w:autoSpaceDN w:val="0"/>
        <w:adjustRightInd w:val="0"/>
        <w:spacing w:line="120" w:lineRule="atLeast"/>
        <w:ind w:firstLine="422" w:firstLineChars="200"/>
        <w:jc w:val="left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</w:rPr>
        <w:t>（一）土石方：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材料运输，土石方挖填，开挖路面，修复路面，隧道挖填；</w:t>
      </w:r>
    </w:p>
    <w:p>
      <w:pPr>
        <w:autoSpaceDE w:val="0"/>
        <w:autoSpaceDN w:val="0"/>
        <w:adjustRightInd w:val="0"/>
        <w:spacing w:line="120" w:lineRule="atLeast"/>
        <w:ind w:firstLine="422" w:firstLineChars="200"/>
        <w:jc w:val="left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</w:rPr>
        <w:t>（二）构筑物：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材料运输，直埋电缆垫层及盖板，电缆沟、浅槽，工作井，电缆埋管，隧道，隧道工作井，栈桥，基础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；</w:t>
      </w:r>
    </w:p>
    <w:p>
      <w:pPr>
        <w:autoSpaceDE w:val="0"/>
        <w:autoSpaceDN w:val="0"/>
        <w:adjustRightInd w:val="0"/>
        <w:spacing w:line="120" w:lineRule="atLeast"/>
        <w:ind w:firstLine="422" w:firstLineChars="200"/>
        <w:jc w:val="left"/>
        <w:rPr>
          <w:rFonts w:hint="eastAsia" w:ascii="宋体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/>
          <w:b/>
          <w:bCs/>
          <w:color w:val="auto"/>
          <w:sz w:val="21"/>
          <w:szCs w:val="21"/>
          <w:highlight w:val="none"/>
        </w:rPr>
        <w:t>（三）辅助工程</w:t>
      </w:r>
      <w:r>
        <w:rPr>
          <w:rFonts w:hint="eastAsia" w:hAnsi="宋体"/>
          <w:b/>
          <w:bCs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/>
          <w:color w:val="auto"/>
          <w:sz w:val="21"/>
          <w:szCs w:val="21"/>
          <w:highlight w:val="none"/>
        </w:rPr>
        <w:t>材料运输，通风，照明，排水，消防，围护，地基处理；</w:t>
      </w:r>
    </w:p>
    <w:p>
      <w:pPr>
        <w:pStyle w:val="5"/>
        <w:spacing w:line="120" w:lineRule="atLeast"/>
        <w:ind w:firstLine="422" w:firstLineChars="200"/>
        <w:rPr>
          <w:rFonts w:hint="eastAsia" w:hAnsi="宋体" w:cs="宋体"/>
          <w:color w:val="auto"/>
          <w:sz w:val="21"/>
          <w:szCs w:val="21"/>
          <w:highlight w:val="none"/>
        </w:rPr>
      </w:pPr>
      <w:r>
        <w:rPr>
          <w:rFonts w:hint="eastAsia" w:hAnsi="宋体" w:cs="宋体"/>
          <w:b/>
          <w:color w:val="auto"/>
          <w:sz w:val="21"/>
          <w:szCs w:val="21"/>
          <w:highlight w:val="none"/>
        </w:rPr>
        <w:t>（四）其他费用工程：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hAnsi="宋体" w:cs="宋体"/>
          <w:color w:val="auto"/>
          <w:sz w:val="21"/>
          <w:szCs w:val="21"/>
          <w:highlight w:val="none"/>
        </w:rPr>
        <w:t>白蚁防治，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hAnsi="宋体" w:cs="宋体"/>
          <w:color w:val="auto"/>
          <w:sz w:val="21"/>
          <w:szCs w:val="21"/>
          <w:highlight w:val="none"/>
        </w:rPr>
        <w:t>拆除工程，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hAnsi="宋体" w:cs="宋体"/>
          <w:color w:val="auto"/>
          <w:sz w:val="21"/>
          <w:szCs w:val="21"/>
          <w:highlight w:val="none"/>
        </w:rPr>
        <w:t>电缆走廊绿化赔偿，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hAnsi="宋体" w:cs="宋体"/>
          <w:color w:val="auto"/>
          <w:sz w:val="21"/>
          <w:szCs w:val="21"/>
          <w:highlight w:val="none"/>
        </w:rPr>
        <w:t>沿线建（构）筑物的拆除，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hAnsi="宋体" w:cs="宋体"/>
          <w:color w:val="auto"/>
          <w:sz w:val="21"/>
          <w:szCs w:val="21"/>
          <w:highlight w:val="none"/>
        </w:rPr>
        <w:t>与城市规划、市政、园林、交警、城监、公路等部门联系办理施工许可手续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</w:t>
      </w:r>
      <w:r>
        <w:rPr>
          <w:rFonts w:hint="eastAsia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施工</w:t>
      </w:r>
      <w:r>
        <w:rPr>
          <w:rFonts w:hint="eastAsia" w:hAnsi="宋体" w:cs="宋体"/>
          <w:color w:val="auto"/>
          <w:sz w:val="21"/>
          <w:szCs w:val="21"/>
          <w:highlight w:val="none"/>
        </w:rPr>
        <w:t>临时占用地补偿费；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ind w:firstLine="422" w:firstLineChars="200"/>
        <w:jc w:val="left"/>
        <w:textAlignment w:val="auto"/>
        <w:rPr>
          <w:rFonts w:hint="eastAsia" w:hAnsi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（五）其他：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u w:val="single"/>
          <w:lang w:val="en-US" w:eastAsia="zh-CN"/>
        </w:rPr>
        <w:t xml:space="preserve">  </w:t>
      </w:r>
      <w:r>
        <w:rPr>
          <w:rFonts w:hint="eastAsia" w:hAnsi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/     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</w:rPr>
        <w:t>。</w:t>
      </w:r>
    </w:p>
    <w:p>
      <w:pPr>
        <w:autoSpaceDE w:val="0"/>
        <w:autoSpaceDN w:val="0"/>
        <w:adjustRightInd w:val="0"/>
        <w:ind w:firstLine="420"/>
        <w:jc w:val="left"/>
        <w:rPr>
          <w:rFonts w:hint="eastAsia" w:ascii="宋体" w:hAnsi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施工图纸范围内的电缆</w:t>
      </w: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  <w:t>安装：</w:t>
      </w:r>
    </w:p>
    <w:p>
      <w:pPr>
        <w:ind w:firstLine="422" w:firstLineChars="200"/>
        <w:jc w:val="left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  <w:t>（一）电缆桥、支架制作安装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：材料运输，电缆桥架，电缆支架；</w:t>
      </w:r>
    </w:p>
    <w:p>
      <w:pPr>
        <w:autoSpaceDE w:val="0"/>
        <w:autoSpaceDN w:val="0"/>
        <w:adjustRightInd w:val="0"/>
        <w:ind w:firstLine="422" w:firstLineChars="200"/>
        <w:jc w:val="left"/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  <w:t>（二）电缆敷设：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材料运输，直埋敷设，电缆沟、浅槽敷设，埋管内敷设，电缆隧道敷设，桥架敷设，栈桥敷设；</w:t>
      </w:r>
    </w:p>
    <w:p>
      <w:pPr>
        <w:autoSpaceDE w:val="0"/>
        <w:autoSpaceDN w:val="0"/>
        <w:adjustRightInd w:val="0"/>
        <w:ind w:firstLine="422" w:firstLineChars="200"/>
        <w:jc w:val="left"/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  <w:t>（三）电缆附件：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材料运输，终端头制作安装，中间接头制作安装，接地安装，设备安装，电缆保护管；</w:t>
      </w:r>
    </w:p>
    <w:p>
      <w:pPr>
        <w:autoSpaceDE w:val="0"/>
        <w:autoSpaceDN w:val="0"/>
        <w:adjustRightInd w:val="0"/>
        <w:ind w:firstLine="422" w:firstLineChars="200"/>
        <w:jc w:val="left"/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  <w:t>（四）电缆防火：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材料运输，构筑物防火，电缆本体防火；</w:t>
      </w:r>
    </w:p>
    <w:p>
      <w:pPr>
        <w:autoSpaceDE w:val="0"/>
        <w:autoSpaceDN w:val="0"/>
        <w:adjustRightInd w:val="0"/>
        <w:ind w:firstLine="422" w:firstLineChars="200"/>
        <w:jc w:val="left"/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  <w:t>（五）调试与试验：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电缆试验</w:t>
      </w:r>
      <w:r>
        <w:rPr>
          <w:rFonts w:hint="eastAsia"/>
          <w:color w:val="auto"/>
          <w:sz w:val="21"/>
          <w:szCs w:val="21"/>
          <w:highlight w:val="none"/>
        </w:rPr>
        <w:t>（其中：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电缆局部放电试验</w:t>
      </w:r>
      <w:r>
        <w:rPr>
          <w:rFonts w:hint="eastAsia"/>
          <w:color w:val="auto"/>
          <w:sz w:val="21"/>
          <w:szCs w:val="21"/>
          <w:highlight w:val="none"/>
        </w:rPr>
        <w:t>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/>
          <w:color w:val="auto"/>
          <w:sz w:val="21"/>
          <w:szCs w:val="21"/>
          <w:highlight w:val="none"/>
        </w:rPr>
        <w:t>电缆参数测定）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，设备试验；</w:t>
      </w:r>
    </w:p>
    <w:p>
      <w:pPr>
        <w:autoSpaceDE w:val="0"/>
        <w:autoSpaceDN w:val="0"/>
        <w:adjustRightInd w:val="0"/>
        <w:ind w:firstLine="422" w:firstLineChars="200"/>
        <w:jc w:val="left"/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21"/>
          <w:szCs w:val="21"/>
          <w:highlight w:val="none"/>
        </w:rPr>
        <w:t>（六）电缆监测（控）系统：</w:t>
      </w:r>
      <w:r>
        <w:rPr>
          <w:rFonts w:hint="eastAsia" w:ascii="宋体" w:hAnsi="宋体" w:cs="宋体"/>
          <w:color w:val="auto"/>
          <w:kern w:val="0"/>
          <w:sz w:val="21"/>
          <w:szCs w:val="21"/>
          <w:highlight w:val="none"/>
        </w:rPr>
        <w:t>材料运输，在线监测，安保监控；</w:t>
      </w:r>
    </w:p>
    <w:p>
      <w:pPr>
        <w:autoSpaceDE w:val="0"/>
        <w:autoSpaceDN w:val="0"/>
        <w:adjustRightInd w:val="0"/>
        <w:ind w:firstLine="422" w:firstLineChars="200"/>
        <w:jc w:val="left"/>
        <w:rPr>
          <w:rFonts w:hint="eastAsia" w:ascii="宋体" w:hAnsi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（七）其他费用工程：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标志牌安装，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拆除工程，</w:t>
      </w:r>
      <w:r>
        <w:rPr>
          <w:rFonts w:hint="eastAsia" w:ascii="宋体" w:hAnsi="宋体" w:cs="宋体"/>
          <w:color w:val="auto"/>
          <w:sz w:val="21"/>
          <w:szCs w:val="21"/>
          <w:highlight w:val="none"/>
          <w:lang w:eastAsia="zh-CN"/>
        </w:rPr>
        <w:t>☑</w:t>
      </w:r>
      <w:r>
        <w:rPr>
          <w:rFonts w:hint="eastAsia" w:ascii="宋体" w:hAnsi="宋体" w:cs="宋体"/>
          <w:color w:val="auto"/>
          <w:sz w:val="21"/>
          <w:szCs w:val="21"/>
          <w:highlight w:val="none"/>
        </w:rPr>
        <w:t>线路牌挂牌；</w:t>
      </w:r>
    </w:p>
    <w:p>
      <w:pPr>
        <w:autoSpaceDE w:val="0"/>
        <w:autoSpaceDN w:val="0"/>
        <w:adjustRightInd w:val="0"/>
        <w:spacing w:line="120" w:lineRule="atLeast"/>
        <w:ind w:firstLine="420"/>
        <w:jc w:val="left"/>
        <w:rPr>
          <w:rFonts w:hint="eastAsia" w:hAnsi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cs="宋体"/>
          <w:b/>
          <w:color w:val="auto"/>
          <w:sz w:val="21"/>
          <w:szCs w:val="21"/>
          <w:highlight w:val="none"/>
        </w:rPr>
        <w:t>（八）其他：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/     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</w:rPr>
        <w:t>。</w:t>
      </w:r>
    </w:p>
    <w:p>
      <w:pPr>
        <w:pStyle w:val="5"/>
        <w:ind w:firstLine="422" w:firstLineChars="200"/>
        <w:jc w:val="left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※通信部分：</w:t>
      </w:r>
    </w:p>
    <w:p>
      <w:pPr>
        <w:autoSpaceDE w:val="0"/>
        <w:autoSpaceDN w:val="0"/>
        <w:adjustRightInd w:val="0"/>
        <w:ind w:firstLine="422" w:firstLineChars="200"/>
        <w:jc w:val="left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变电站工程：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施工图纸范围内的通信设备安装及测试、光缆单盘测试、中继测试、接续、光缆及联络光缆敷设、通信子管敷设、通道开通及业务接入、割接等；设备、光缆及金具卸车清点、验收及保管，与施工相关的所有其他费用项目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88" w:lineRule="auto"/>
        <w:ind w:firstLine="422" w:firstLineChars="200"/>
        <w:jc w:val="left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架空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线路部分：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施工图纸范围内的光缆单盘测量、接续、全程测量；与施工相关的所有其他费用项目；不包含光缆架设、拆除、跨越及青苗赔偿。</w:t>
      </w:r>
    </w:p>
    <w:p>
      <w:pPr>
        <w:pStyle w:val="5"/>
        <w:keepNext w:val="0"/>
        <w:keepLines w:val="0"/>
        <w:pageBreakBefore w:val="0"/>
        <w:numPr>
          <w:ilvl w:val="0"/>
          <w:numId w:val="0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Chars="0" w:firstLine="422" w:firstLineChars="200"/>
        <w:textAlignment w:val="auto"/>
        <w:outlineLvl w:val="0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电缆线路部分：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施工图纸范围内的光缆单盘测试、中继测试、接续、光缆及联络光缆敷设、通信子管敷设、通道开通及业务接入、割接等；光缆及金具卸车清点、验收及保管，与施工相关的所有其他费用项目。</w:t>
      </w:r>
    </w:p>
    <w:p>
      <w:pPr>
        <w:rPr>
          <w:rFonts w:hint="default"/>
          <w:lang w:val="en-US"/>
        </w:rPr>
      </w:pPr>
    </w:p>
    <w:p>
      <w:pPr>
        <w:pStyle w:val="5"/>
        <w:keepNext w:val="0"/>
        <w:keepLines w:val="0"/>
        <w:pageBreakBefore w:val="0"/>
        <w:numPr>
          <w:ilvl w:val="0"/>
          <w:numId w:val="1"/>
        </w:numPr>
        <w:shd w:val="clear" w:color="auto" w:fill="auto"/>
        <w:kinsoku/>
        <w:wordWrap/>
        <w:overflowPunct/>
        <w:topLinePunct w:val="0"/>
        <w:bidi w:val="0"/>
        <w:adjustRightInd w:val="0"/>
        <w:snapToGrid w:val="0"/>
        <w:spacing w:line="360" w:lineRule="auto"/>
        <w:ind w:left="0" w:leftChars="0" w:firstLine="0" w:firstLineChars="0"/>
        <w:textAlignment w:val="auto"/>
        <w:outlineLvl w:val="0"/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>承包方式</w:t>
      </w:r>
      <w:r>
        <w:rPr>
          <w:rFonts w:hint="eastAsia" w:hAnsi="宋体" w:eastAsia="宋体" w:cs="宋体"/>
          <w:b/>
          <w:color w:val="auto"/>
          <w:sz w:val="24"/>
          <w:szCs w:val="24"/>
          <w:highlight w:val="none"/>
          <w:lang w:val="en-US" w:eastAsia="zh-CN"/>
        </w:rPr>
        <w:t xml:space="preserve"> </w:t>
      </w:r>
    </w:p>
    <w:p>
      <w:pPr>
        <w:pStyle w:val="5"/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施工承包方式：包工、部分包料，施工图纸范围内如有下列设备、材料，无□及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fldChar w:fldCharType="begin"/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instrText xml:space="preserve"> EQ \o\ac(</w:instrText>
      </w:r>
      <w:r>
        <w:rPr>
          <w:rFonts w:hint="eastAsia" w:ascii="宋体" w:hAnsi="宋体" w:eastAsia="宋体" w:cs="宋体"/>
          <w:b/>
          <w:bCs/>
          <w:color w:val="auto"/>
          <w:position w:val="-4"/>
          <w:sz w:val="31"/>
          <w:szCs w:val="21"/>
          <w:highlight w:val="none"/>
          <w:lang w:val="en-US" w:eastAsia="zh-CN"/>
        </w:rPr>
        <w:instrText xml:space="preserve">□</w:instrText>
      </w:r>
      <w:r>
        <w:rPr>
          <w:rFonts w:hint="eastAsia" w:ascii="宋体" w:hAnsi="宋体" w:eastAsia="宋体" w:cs="宋体"/>
          <w:b/>
          <w:bCs/>
          <w:color w:val="auto"/>
          <w:position w:val="0"/>
          <w:sz w:val="21"/>
          <w:szCs w:val="21"/>
          <w:highlight w:val="none"/>
          <w:lang w:val="en-US" w:eastAsia="zh-CN"/>
        </w:rPr>
        <w:instrText xml:space="preserve">,√)</w:instrTex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fldChar w:fldCharType="end"/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的为甲供，□未打√的及不在下列的为乙供。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※变电部分：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（一）甲供物资：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变电建筑工程：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检修电源箱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，不锈钢材质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配电箱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（含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照明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动力配电箱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），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电力电缆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控制电缆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，低压电线，铜铝端子，铜端子，构支架钢结构（含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构支架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横梁，爬梯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避雷针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），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val="en-US" w:eastAsia="zh-CN"/>
        </w:rPr>
        <w:t>标准成品预制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电缆沟盖板（包括混凝土盖板和复合盖板）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，装配式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变电站围墙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主变防火墙（含混凝土和复合材质，厂家包安装及基础灌浆）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电缆支架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（铝合金、角钢、复合材质），电杆（含混凝土和复合材料）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电缆保护管材（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HDPE管、涂塑钢管、PVC管、MPP管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b w:val="0"/>
          <w:bCs/>
          <w:strike w:val="0"/>
          <w:dstrike w:val="0"/>
          <w:color w:val="auto"/>
          <w:sz w:val="21"/>
          <w:szCs w:val="21"/>
          <w:highlight w:val="none"/>
          <w:lang w:eastAsia="zh-CN"/>
        </w:rPr>
        <w:t>，电缆管塞封堵器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空调（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精密空调、中央空调（换流站阀厅用）、工业空调（STATCOM集装箱用）、防爆空调（蓄电池室）），智能围栏。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装配式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电缆沟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□消防电缆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□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  <w:t>电梯（不含货物电梯）、□嵌入式空调（天井式）、□专用空调（生产场所、带自动启动功能）。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val="en-US" w:eastAsia="zh-CN"/>
        </w:rPr>
        <w:t>变电安装工程：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电气一、二次设备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，预制舱配电房，机载高速光电吊舱设备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铝镁合金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管形母线及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其配套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金具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，金具及附件（含线夹），钢绞线，铝绞线，红外热像仪，变电站智能巡检机器人，独立五防系统，检修隔离装置，视频及环境监控系统，监测装置，变压器配电箱（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SMC材质、不锈钢材质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），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端子箱，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检修电源箱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发电车开关箱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不锈钢材质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配电箱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（含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照明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动力配电箱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电力电缆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控制电缆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iCs/>
          <w:strike w:val="0"/>
          <w:dstrike w:val="0"/>
          <w:color w:val="auto"/>
          <w:sz w:val="21"/>
          <w:szCs w:val="21"/>
          <w:highlight w:val="none"/>
          <w:lang w:eastAsia="zh-CN"/>
        </w:rPr>
        <w:t>计量用电线，</w:t>
      </w:r>
      <w:r>
        <w:rPr>
          <w:rFonts w:hint="eastAsia" w:ascii="宋体" w:hAnsi="宋体" w:eastAsia="宋体" w:cs="宋体"/>
          <w:strike w:val="0"/>
          <w:color w:val="auto"/>
          <w:sz w:val="21"/>
          <w:szCs w:val="21"/>
          <w:highlight w:val="none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0kV及以上电缆头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strike w:val="0"/>
          <w:dstrike w:val="0"/>
          <w:color w:val="auto"/>
          <w:sz w:val="21"/>
          <w:szCs w:val="21"/>
          <w:highlight w:val="none"/>
          <w:lang w:eastAsia="zh-CN"/>
        </w:rPr>
        <w:t>各种类型</w:t>
      </w:r>
      <w:r>
        <w:rPr>
          <w:rFonts w:hint="eastAsia" w:ascii="宋体" w:hAnsi="宋体" w:eastAsia="宋体" w:cs="宋体"/>
          <w:strike w:val="0"/>
          <w:color w:val="auto"/>
          <w:sz w:val="21"/>
          <w:szCs w:val="21"/>
          <w:highlight w:val="none"/>
        </w:rPr>
        <w:t>绝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缘子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封闭母线桥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10kV绝缘铜管母线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穿墙套管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电缆支架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（铝合金、角钢、复合材质）、铝合金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电缆桥架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、计量接引装置、电抗器接地装置、小电流接地选线装置、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通用型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标志牌（包括：禁止攀登、高压危险、禁止抛物、高压危险等提醒类标志牌及相线牌、安装支架，不涉及资产名称、编号或位置）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lang w:eastAsia="zh-CN"/>
        </w:rPr>
        <w:t>□吊车。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（二）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/ 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24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※架空线路部分：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（一）甲供物资：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杆塔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（水泥杆），铁塔加固器装置，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高空防坠落装置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，攀爬机轨道，钢绞线，铝绞线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，导地线，绝缘子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、绝缘横担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，金具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，标准铁构件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，光缆，光缆金具，线路避雷器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，故障指示器，故障精确定位装置，监测装置，视频监控系统，防鸟装置，铜覆钢接地极，</w:t>
      </w:r>
      <w:r>
        <w:rPr>
          <w:rFonts w:hint="eastAsia" w:ascii="宋体" w:hAnsi="宋体" w:eastAsia="宋体" w:cs="宋体"/>
          <w:b w:val="0"/>
          <w:bCs/>
          <w:strike w:val="0"/>
          <w:dstrike w:val="0"/>
          <w:color w:val="auto"/>
          <w:sz w:val="21"/>
          <w:szCs w:val="21"/>
          <w:highlight w:val="none"/>
          <w:lang w:eastAsia="zh-CN"/>
        </w:rPr>
        <w:t>石墨基接地体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通用型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标志牌（包括：禁止攀登、高压危险、禁止抛物、高压危险等提醒类标志牌及相线牌、安装支架，不涉及资产名称、编号或位置）、警示灯（航空、航道）、航道牌及支架。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none"/>
          <w:lang w:eastAsia="zh-CN"/>
        </w:rPr>
        <w:t>☑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地脚螺栓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，☑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直升机巡视作业标志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（二）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/    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※电缆线路部分：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建设单位提供部分设备及材料：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（一）甲供物资：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电力电缆，电缆终端头，电缆直通接头，电缆绝缘接头，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电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缆T接头，电缆固定夹，带保护器接地箱，直接接地箱，同轴电缆，接地线，回流线，接地箱，避雷器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，故障指示器，故障精确定位装置，监测装置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</w:rPr>
        <w:t>，光缆及光缆附件</w:t>
      </w:r>
      <w:r>
        <w:rPr>
          <w:rFonts w:hint="eastAsia" w:ascii="宋体" w:hAnsi="宋体" w:eastAsia="宋体" w:cs="宋体"/>
          <w:b w:val="0"/>
          <w:bCs/>
          <w:iCs/>
          <w:color w:val="auto"/>
          <w:sz w:val="21"/>
          <w:szCs w:val="21"/>
          <w:highlight w:val="none"/>
          <w:lang w:eastAsia="zh-CN"/>
        </w:rPr>
        <w:t>，电缆隧道装置（含电缆隧道综合监测系统、隧道专用LED灯具、电缆隧道巡检机器人轨道、电缆隧道智能巡检机器人、电缆防火防爆装置、电缆隧道立柱支架、电缆隧道户外动力箱（IP66）），隧道风机，海缆保护区航标，接头区灭火装置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电缆支架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（铝合金、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val="en-US" w:eastAsia="zh-CN"/>
        </w:rPr>
        <w:t>槽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eastAsia="zh-CN"/>
        </w:rPr>
        <w:t>钢、复合材质）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，电缆保护管材（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包括HDPE管、涂塑钢管、PVC管、MPP管）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、电缆管塞封堵器，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  <w:lang w:val="en-US" w:eastAsia="zh-CN"/>
        </w:rPr>
        <w:t>标准成品预制</w:t>
      </w:r>
      <w:r>
        <w:rPr>
          <w:rFonts w:hint="eastAsia" w:ascii="宋体" w:hAnsi="宋体" w:eastAsia="宋体" w:cs="宋体"/>
          <w:iCs/>
          <w:color w:val="auto"/>
          <w:sz w:val="21"/>
          <w:szCs w:val="21"/>
          <w:highlight w:val="none"/>
        </w:rPr>
        <w:t>电缆沟盖板（包括混凝土盖板和复合盖板）</w:t>
      </w:r>
      <w:r>
        <w:rPr>
          <w:rFonts w:hint="eastAsia" w:ascii="宋体" w:hAnsi="宋体" w:eastAsia="宋体" w:cs="宋体"/>
          <w:iCs/>
          <w:strike w:val="0"/>
          <w:dstrike w:val="0"/>
          <w:color w:val="auto"/>
          <w:sz w:val="21"/>
          <w:szCs w:val="21"/>
          <w:highlight w:val="none"/>
          <w:lang w:eastAsia="zh-CN"/>
        </w:rPr>
        <w:t>、智能围栏，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标志牌（电缆标志牌、警示牌、标示桩、走向标志、安装支架）。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420" w:firstLineChars="200"/>
        <w:jc w:val="left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none"/>
          <w:lang w:val="en-US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2、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□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装配式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电缆沟，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u w:val="none"/>
        </w:rPr>
        <w:t>□玻璃钢管。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（二）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cs="宋体"/>
          <w:b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hAnsi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/      </w:t>
      </w:r>
      <w:r>
        <w:rPr>
          <w:rFonts w:hint="eastAsia" w:hAnsi="宋体" w:cs="宋体"/>
          <w:color w:val="auto"/>
          <w:sz w:val="21"/>
          <w:szCs w:val="21"/>
          <w:highlight w:val="none"/>
          <w:u w:val="single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※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通信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部分：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建设单位提供部分设备及材料：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spacing w:line="24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</w:rPr>
        <w:t>变电部分：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/>
          <w:bCs w:val="0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甲供物资：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信相关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设备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（含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光传输设备、无线设备、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电话、电池、监控、视频会议系统等），数据网设备，机架，通信电源，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通信光缆及其金具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，综合配线设备及材料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电缆保护管材（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HDPE管、涂塑钢管、PVC管、MPP管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 w:val="0"/>
        <w:autoSpaceDN w:val="0"/>
        <w:bidi w:val="0"/>
        <w:adjustRightInd w:val="0"/>
        <w:spacing w:line="240" w:lineRule="auto"/>
        <w:ind w:firstLine="422" w:firstLineChars="200"/>
        <w:jc w:val="left"/>
        <w:textAlignment w:val="auto"/>
        <w:outlineLvl w:val="9"/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其他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lang w:eastAsia="zh-CN"/>
        </w:rPr>
        <w:t>甲供物资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：</w:t>
      </w: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 /     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u w:val="single"/>
        </w:rPr>
        <w:t>。</w:t>
      </w:r>
    </w:p>
    <w:p>
      <w:pPr>
        <w:rPr>
          <w:rFonts w:hint="default"/>
          <w:lang w:val="en-US"/>
        </w:rPr>
      </w:pPr>
    </w:p>
    <w:p>
      <w:pPr>
        <w:pStyle w:val="2"/>
        <w:rPr>
          <w:rFonts w:hint="default"/>
          <w:lang w:val="en-US"/>
        </w:rPr>
      </w:pPr>
    </w:p>
    <w:p>
      <w:pPr>
        <w:pStyle w:val="3"/>
        <w:rPr>
          <w:rFonts w:hint="default"/>
          <w:lang w:val="en-US"/>
        </w:rPr>
      </w:pPr>
    </w:p>
    <w:p>
      <w:pPr>
        <w:rPr>
          <w:rFonts w:hint="default"/>
          <w:lang w:val="en-US"/>
        </w:rPr>
      </w:pPr>
    </w:p>
    <w:p>
      <w:pPr>
        <w:pStyle w:val="2"/>
        <w:rPr>
          <w:rFonts w:hint="default"/>
          <w:lang w:val="en-US"/>
        </w:rPr>
      </w:pPr>
    </w:p>
    <w:p>
      <w:pPr>
        <w:pStyle w:val="3"/>
        <w:rPr>
          <w:rFonts w:hint="default"/>
          <w:lang w:val="en-US"/>
        </w:rPr>
      </w:pPr>
    </w:p>
    <w:p>
      <w:pPr>
        <w:rPr>
          <w:rFonts w:hint="default"/>
          <w:lang w:val="en-US"/>
        </w:rPr>
      </w:pPr>
    </w:p>
    <w:p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73F47E8"/>
    <w:multiLevelType w:val="singleLevel"/>
    <w:tmpl w:val="273F47E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5862E749"/>
    <w:multiLevelType w:val="singleLevel"/>
    <w:tmpl w:val="5862E749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5AFE7F4F"/>
    <w:multiLevelType w:val="singleLevel"/>
    <w:tmpl w:val="5AFE7F4F"/>
    <w:lvl w:ilvl="0" w:tentative="0">
      <w:start w:val="1"/>
      <w:numFmt w:val="chineseCounting"/>
      <w:suff w:val="nothing"/>
      <w:lvlText w:val="（%1）"/>
      <w:lvlJc w:val="left"/>
    </w:lvl>
  </w:abstractNum>
  <w:abstractNum w:abstractNumId="3">
    <w:nsid w:val="5B0B691A"/>
    <w:multiLevelType w:val="singleLevel"/>
    <w:tmpl w:val="5B0B691A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0D71D5"/>
    <w:rsid w:val="00CC0EB8"/>
    <w:rsid w:val="066B7C74"/>
    <w:rsid w:val="071B3875"/>
    <w:rsid w:val="0AB34E04"/>
    <w:rsid w:val="0F332E26"/>
    <w:rsid w:val="1096538D"/>
    <w:rsid w:val="1110038B"/>
    <w:rsid w:val="116D53AB"/>
    <w:rsid w:val="12297CF9"/>
    <w:rsid w:val="130847B3"/>
    <w:rsid w:val="1B586E3F"/>
    <w:rsid w:val="1BA63B03"/>
    <w:rsid w:val="1CC4203E"/>
    <w:rsid w:val="1EFD017E"/>
    <w:rsid w:val="21DE176F"/>
    <w:rsid w:val="22683671"/>
    <w:rsid w:val="2D546A5A"/>
    <w:rsid w:val="2EE8054D"/>
    <w:rsid w:val="317F1457"/>
    <w:rsid w:val="37AC2A04"/>
    <w:rsid w:val="41046039"/>
    <w:rsid w:val="44F901B8"/>
    <w:rsid w:val="46A7570B"/>
    <w:rsid w:val="46B60F87"/>
    <w:rsid w:val="46CA2092"/>
    <w:rsid w:val="480C50DB"/>
    <w:rsid w:val="481E1BB1"/>
    <w:rsid w:val="494A71CD"/>
    <w:rsid w:val="49C37D91"/>
    <w:rsid w:val="4D1B7EC6"/>
    <w:rsid w:val="51935A63"/>
    <w:rsid w:val="55AF7E22"/>
    <w:rsid w:val="59B73677"/>
    <w:rsid w:val="610E74EE"/>
    <w:rsid w:val="6586009D"/>
    <w:rsid w:val="65904792"/>
    <w:rsid w:val="6A4E2574"/>
    <w:rsid w:val="6ADE1E63"/>
    <w:rsid w:val="6AF57C40"/>
    <w:rsid w:val="740D71D5"/>
    <w:rsid w:val="77A83EAB"/>
    <w:rsid w:val="783F6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 w:line="360" w:lineRule="auto"/>
      <w:ind w:firstLine="598"/>
    </w:pPr>
  </w:style>
  <w:style w:type="paragraph" w:styleId="3">
    <w:name w:val="Title"/>
    <w:basedOn w:val="1"/>
    <w:next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4">
    <w:name w:val="annotation text"/>
    <w:basedOn w:val="1"/>
    <w:qFormat/>
    <w:uiPriority w:val="0"/>
    <w:pPr>
      <w:jc w:val="left"/>
    </w:pPr>
  </w:style>
  <w:style w:type="paragraph" w:styleId="5">
    <w:name w:val="Plain Text"/>
    <w:basedOn w:val="1"/>
    <w:qFormat/>
    <w:uiPriority w:val="0"/>
    <w:rPr>
      <w:rFonts w:ascii="宋体" w:hAnsi="Courier New"/>
      <w:kern w:val="0"/>
      <w:sz w:val="20"/>
      <w:szCs w:val="20"/>
    </w:rPr>
  </w:style>
  <w:style w:type="paragraph" w:styleId="6">
    <w:name w:val="Body Text First Indent"/>
    <w:basedOn w:val="2"/>
    <w:next w:val="1"/>
    <w:unhideWhenUsed/>
    <w:qFormat/>
    <w:uiPriority w:val="9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hd w:val="clear" w:color="auto" w:fill="auto"/>
      <w:spacing w:line="360" w:lineRule="auto"/>
      <w:ind w:firstLine="200" w:firstLineChars="200"/>
      <w:jc w:val="both"/>
    </w:pPr>
    <w:rPr>
      <w:kern w:val="0"/>
      <w:sz w:val="24"/>
      <w:lang w:val="en-US" w:eastAsia="zh-CN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2024-07-24T02:44:00Z</dcterms:created>
  <dc:creator>彭钟华</dc:creator>
  <cp:lastModifiedBy>gzry19</cp:lastModifiedBy>
  <dcterms:modified xsi:type="dcterms:W3CDTF">2026-06-15T04:02:52Z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7F5D71F6BB5D4A258A6A19E70D7A2FF2</vt:lpwstr>
  </property>
</Properties>
</file>