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6A8DD5">
      <w:r>
        <w:rPr>
          <w:rFonts w:ascii="微软雅黑" w:hAnsi="微软雅黑" w:eastAsia="微软雅黑"/>
          <w:color w:val="auto"/>
          <w:sz w:val="44"/>
          <w:szCs w:val="21"/>
          <w:highlight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-19050</wp:posOffset>
            </wp:positionH>
            <wp:positionV relativeFrom="paragraph">
              <wp:posOffset>-27940</wp:posOffset>
            </wp:positionV>
            <wp:extent cx="7589520" cy="2769235"/>
            <wp:effectExtent l="0" t="0" r="11430" b="12065"/>
            <wp:wrapNone/>
            <wp:docPr id="70" name="图片 4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4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89520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2EDB50"/>
    <w:p w14:paraId="279F016B"/>
    <w:p w14:paraId="5B8C97EF"/>
    <w:p w14:paraId="4208A937"/>
    <w:p w14:paraId="2C4AAE00"/>
    <w:p w14:paraId="76E25658"/>
    <w:p w14:paraId="2890A37D"/>
    <w:p w14:paraId="166032D1"/>
    <w:p w14:paraId="68BE79A6"/>
    <w:p w14:paraId="008555A4"/>
    <w:p w14:paraId="54CB964C"/>
    <w:p w14:paraId="672AACE1"/>
    <w:p w14:paraId="60EF1F85"/>
    <w:p w14:paraId="0396E06E">
      <w:pPr>
        <w:spacing w:before="634" w:beforeLines="200"/>
        <w:jc w:val="center"/>
        <w:rPr>
          <w:rFonts w:hint="default" w:eastAsia="黑体"/>
          <w:b/>
          <w:color w:val="auto"/>
          <w:sz w:val="52"/>
          <w:szCs w:val="22"/>
          <w:highlight w:val="none"/>
          <w:lang w:val="en-US" w:eastAsia="zh-CN"/>
        </w:rPr>
      </w:pPr>
      <w:r>
        <w:rPr>
          <w:rFonts w:hint="eastAsia" w:eastAsia="黑体"/>
          <w:b/>
          <w:color w:val="auto"/>
          <w:sz w:val="52"/>
          <w:szCs w:val="22"/>
          <w:highlight w:val="none"/>
          <w:lang w:val="en-US" w:eastAsia="zh-CN"/>
        </w:rPr>
        <w:t>空调遥控开关</w:t>
      </w:r>
    </w:p>
    <w:p w14:paraId="54476780">
      <w:pPr>
        <w:spacing w:before="634" w:beforeLines="200"/>
        <w:jc w:val="center"/>
        <w:rPr>
          <w:rFonts w:eastAsia="黑体"/>
          <w:b/>
          <w:color w:val="auto"/>
          <w:sz w:val="52"/>
          <w:szCs w:val="22"/>
          <w:highlight w:val="none"/>
        </w:rPr>
      </w:pPr>
      <w:r>
        <w:rPr>
          <w:rFonts w:hint="eastAsia" w:eastAsia="黑体"/>
          <w:b/>
          <w:color w:val="auto"/>
          <w:sz w:val="52"/>
          <w:szCs w:val="22"/>
          <w:highlight w:val="none"/>
          <w:lang w:eastAsia="zh-CN"/>
        </w:rPr>
        <w:t>标准化</w:t>
      </w:r>
      <w:r>
        <w:rPr>
          <w:rFonts w:hint="eastAsia" w:eastAsia="黑体"/>
          <w:b/>
          <w:color w:val="auto"/>
          <w:sz w:val="52"/>
          <w:szCs w:val="22"/>
          <w:highlight w:val="none"/>
        </w:rPr>
        <w:t>技术规范书</w:t>
      </w:r>
    </w:p>
    <w:p w14:paraId="1EDD966F">
      <w:pPr>
        <w:spacing w:before="634" w:beforeLines="200"/>
        <w:jc w:val="center"/>
        <w:rPr>
          <w:rFonts w:eastAsia="黑体"/>
          <w:b/>
          <w:color w:val="auto"/>
          <w:sz w:val="40"/>
          <w:highlight w:val="none"/>
        </w:rPr>
      </w:pPr>
      <w:r>
        <w:rPr>
          <w:rFonts w:eastAsia="黑体"/>
          <w:b/>
          <w:color w:val="auto"/>
          <w:sz w:val="40"/>
          <w:highlight w:val="none"/>
        </w:rPr>
        <w:t>版本号：202</w:t>
      </w:r>
      <w:r>
        <w:rPr>
          <w:rFonts w:hint="eastAsia" w:eastAsia="黑体"/>
          <w:b/>
          <w:color w:val="auto"/>
          <w:sz w:val="40"/>
          <w:highlight w:val="none"/>
          <w:lang w:val="en-US" w:eastAsia="zh-CN"/>
        </w:rPr>
        <w:t>6</w:t>
      </w:r>
      <w:r>
        <w:rPr>
          <w:rFonts w:eastAsia="黑体"/>
          <w:b/>
          <w:color w:val="auto"/>
          <w:sz w:val="40"/>
          <w:highlight w:val="none"/>
        </w:rPr>
        <w:t xml:space="preserve">版 </w:t>
      </w:r>
      <w:r>
        <w:rPr>
          <w:rFonts w:eastAsia="黑体"/>
          <w:b/>
          <w:color w:val="auto"/>
          <w:sz w:val="40"/>
          <w:highlight w:val="none"/>
        </w:rPr>
        <w:tab/>
      </w:r>
      <w:r>
        <w:rPr>
          <w:rFonts w:eastAsia="黑体"/>
          <w:b/>
          <w:color w:val="auto"/>
          <w:sz w:val="40"/>
          <w:highlight w:val="none"/>
        </w:rPr>
        <w:t>V1.0</w:t>
      </w:r>
    </w:p>
    <w:p w14:paraId="7C818984">
      <w:pPr>
        <w:ind w:left="1680" w:leftChars="800" w:firstLine="819" w:firstLineChars="204"/>
        <w:rPr>
          <w:rFonts w:ascii="黑体" w:hAnsi="黑体" w:eastAsia="黑体" w:cs="宋体"/>
          <w:b/>
          <w:color w:val="auto"/>
          <w:sz w:val="40"/>
          <w:highlight w:val="none"/>
        </w:rPr>
      </w:pPr>
    </w:p>
    <w:p w14:paraId="58B7277B">
      <w:pPr>
        <w:spacing w:line="360" w:lineRule="auto"/>
        <w:rPr>
          <w:rFonts w:eastAsia="黑体"/>
          <w:b/>
          <w:color w:val="auto"/>
          <w:sz w:val="36"/>
          <w:highlight w:val="none"/>
        </w:rPr>
      </w:pPr>
    </w:p>
    <w:p w14:paraId="74674388">
      <w:pPr>
        <w:pStyle w:val="2"/>
        <w:numPr>
          <w:ilvl w:val="0"/>
          <w:numId w:val="0"/>
        </w:numPr>
        <w:spacing w:before="317"/>
        <w:ind w:left="210"/>
        <w:rPr>
          <w:color w:val="auto"/>
          <w:highlight w:val="none"/>
        </w:rPr>
      </w:pPr>
    </w:p>
    <w:p w14:paraId="371EFD10">
      <w:pPr>
        <w:snapToGrid w:val="0"/>
        <w:spacing w:before="634" w:beforeLines="200"/>
        <w:jc w:val="center"/>
        <w:rPr>
          <w:rFonts w:hint="default" w:eastAsia="黑体"/>
          <w:b/>
          <w:color w:val="auto"/>
          <w:spacing w:val="20"/>
          <w:w w:val="135"/>
          <w:sz w:val="30"/>
          <w:highlight w:val="none"/>
          <w:lang w:val="en-US" w:eastAsia="zh-CN"/>
        </w:rPr>
      </w:pPr>
      <w:r>
        <w:rPr>
          <w:rFonts w:hint="eastAsia" w:eastAsia="黑体"/>
          <w:b/>
          <w:color w:val="auto"/>
          <w:spacing w:val="20"/>
          <w:w w:val="135"/>
          <w:sz w:val="30"/>
          <w:highlight w:val="none"/>
        </w:rPr>
        <w:t>广东</w:t>
      </w:r>
      <w:r>
        <w:rPr>
          <w:rFonts w:eastAsia="黑体"/>
          <w:b/>
          <w:color w:val="auto"/>
          <w:spacing w:val="20"/>
          <w:w w:val="135"/>
          <w:sz w:val="30"/>
          <w:highlight w:val="none"/>
        </w:rPr>
        <w:t>电网有限责任公司</w:t>
      </w:r>
      <w:r>
        <w:rPr>
          <w:rFonts w:hint="eastAsia" w:eastAsia="黑体"/>
          <w:b/>
          <w:color w:val="auto"/>
          <w:spacing w:val="20"/>
          <w:w w:val="135"/>
          <w:sz w:val="30"/>
          <w:highlight w:val="none"/>
          <w:lang w:val="en-US" w:eastAsia="zh-CN"/>
        </w:rPr>
        <w:t>阳江供电局</w:t>
      </w:r>
    </w:p>
    <w:p w14:paraId="2DFE8BE2">
      <w:pPr>
        <w:snapToGrid w:val="0"/>
        <w:spacing w:before="634" w:beforeLines="200"/>
        <w:jc w:val="center"/>
        <w:rPr>
          <w:rFonts w:eastAsia="黑体"/>
          <w:b/>
          <w:color w:val="auto"/>
          <w:spacing w:val="20"/>
          <w:w w:val="135"/>
          <w:sz w:val="30"/>
          <w:highlight w:val="none"/>
        </w:rPr>
        <w:sectPr>
          <w:pgSz w:w="11906" w:h="16838"/>
          <w:pgMar w:top="1134" w:right="1417" w:bottom="1587" w:left="1417" w:header="709" w:footer="335" w:gutter="0"/>
          <w:cols w:space="720" w:num="1"/>
          <w:docGrid w:type="lines" w:linePitch="317" w:charSpace="0"/>
        </w:sectPr>
      </w:pPr>
      <w:r>
        <w:rPr>
          <w:rFonts w:eastAsia="黑体"/>
          <w:b/>
          <w:color w:val="auto"/>
          <w:spacing w:val="20"/>
          <w:w w:val="135"/>
          <w:sz w:val="30"/>
          <w:highlight w:val="none"/>
        </w:rPr>
        <w:t>20</w:t>
      </w:r>
      <w:r>
        <w:rPr>
          <w:rFonts w:hint="eastAsia" w:eastAsia="黑体"/>
          <w:b/>
          <w:color w:val="auto"/>
          <w:spacing w:val="20"/>
          <w:w w:val="135"/>
          <w:sz w:val="30"/>
          <w:highlight w:val="none"/>
        </w:rPr>
        <w:t>2</w:t>
      </w:r>
      <w:r>
        <w:rPr>
          <w:rFonts w:hint="eastAsia" w:eastAsia="黑体"/>
          <w:b/>
          <w:color w:val="auto"/>
          <w:spacing w:val="20"/>
          <w:w w:val="135"/>
          <w:sz w:val="30"/>
          <w:highlight w:val="none"/>
          <w:lang w:val="en-US" w:eastAsia="zh-CN"/>
        </w:rPr>
        <w:t>6</w:t>
      </w:r>
      <w:r>
        <w:rPr>
          <w:rFonts w:eastAsia="黑体"/>
          <w:b/>
          <w:color w:val="auto"/>
          <w:spacing w:val="20"/>
          <w:w w:val="135"/>
          <w:sz w:val="30"/>
          <w:highlight w:val="none"/>
        </w:rPr>
        <w:t>年</w:t>
      </w:r>
      <w:r>
        <w:rPr>
          <w:rFonts w:hint="eastAsia" w:eastAsia="黑体"/>
          <w:b/>
          <w:color w:val="auto"/>
          <w:spacing w:val="20"/>
          <w:w w:val="135"/>
          <w:sz w:val="30"/>
          <w:highlight w:val="none"/>
          <w:lang w:val="en-US" w:eastAsia="zh-CN"/>
        </w:rPr>
        <w:t>6</w:t>
      </w:r>
      <w:r>
        <w:rPr>
          <w:rFonts w:eastAsia="黑体"/>
          <w:b/>
          <w:color w:val="auto"/>
          <w:spacing w:val="20"/>
          <w:w w:val="135"/>
          <w:sz w:val="30"/>
          <w:highlight w:val="none"/>
        </w:rPr>
        <w:t xml:space="preserve">月 </w:t>
      </w:r>
    </w:p>
    <w:p w14:paraId="46B2DFD8">
      <w:pPr>
        <w:pStyle w:val="9"/>
        <w:spacing w:before="312" w:after="312" w:line="360" w:lineRule="auto"/>
        <w:rPr>
          <w:rFonts w:ascii="Times New Roman" w:eastAsia="宋体"/>
          <w:b/>
          <w:color w:val="auto"/>
          <w:szCs w:val="21"/>
          <w:highlight w:val="none"/>
        </w:rPr>
      </w:pPr>
      <w:r>
        <w:rPr>
          <w:rFonts w:hint="eastAsia" w:ascii="Times New Roman" w:eastAsia="宋体"/>
          <w:b/>
          <w:color w:val="auto"/>
          <w:szCs w:val="21"/>
          <w:highlight w:val="none"/>
          <w:lang w:val="en-US" w:eastAsia="zh-CN"/>
        </w:rPr>
        <w:t>1.</w:t>
      </w:r>
      <w:r>
        <w:rPr>
          <w:rFonts w:hint="eastAsia" w:ascii="Times New Roman" w:eastAsia="宋体"/>
          <w:b/>
          <w:color w:val="auto"/>
          <w:szCs w:val="21"/>
          <w:highlight w:val="none"/>
        </w:rPr>
        <w:t>使用环境条件</w:t>
      </w:r>
    </w:p>
    <w:p w14:paraId="5D035353">
      <w:pPr>
        <w:pStyle w:val="10"/>
        <w:spacing w:line="360" w:lineRule="auto"/>
        <w:rPr>
          <w:color w:val="auto"/>
          <w:szCs w:val="21"/>
          <w:highlight w:val="none"/>
        </w:rPr>
      </w:pPr>
      <w:r>
        <w:rPr>
          <w:rFonts w:hint="eastAsia"/>
          <w:color w:val="auto"/>
          <w:szCs w:val="21"/>
          <w:highlight w:val="none"/>
        </w:rPr>
        <w:t>本规范所规定的设备应能在下列条件使用：</w:t>
      </w:r>
    </w:p>
    <w:p w14:paraId="227BD592">
      <w:pPr>
        <w:pStyle w:val="11"/>
        <w:spacing w:line="360" w:lineRule="auto"/>
        <w:rPr>
          <w:rFonts w:eastAsia="宋体"/>
          <w:b/>
          <w:color w:val="auto"/>
          <w:szCs w:val="21"/>
          <w:highlight w:val="none"/>
        </w:rPr>
      </w:pPr>
      <w:bookmarkStart w:id="0" w:name="_Toc17377"/>
      <w:bookmarkStart w:id="1" w:name="_Toc435794672"/>
      <w:bookmarkStart w:id="2" w:name="_Toc419906045"/>
      <w:bookmarkStart w:id="3" w:name="_Toc419746473"/>
      <w:bookmarkStart w:id="4" w:name="_Toc419906341"/>
      <w:bookmarkStart w:id="5" w:name="_Toc28862"/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1</w:t>
      </w:r>
      <w:r>
        <w:rPr>
          <w:rFonts w:hint="eastAsia" w:eastAsia="宋体"/>
          <w:b/>
          <w:color w:val="auto"/>
          <w:szCs w:val="21"/>
          <w:highlight w:val="none"/>
        </w:rPr>
        <w:t>.1环境条件</w:t>
      </w:r>
      <w:bookmarkEnd w:id="0"/>
      <w:bookmarkEnd w:id="1"/>
      <w:bookmarkEnd w:id="2"/>
      <w:bookmarkEnd w:id="3"/>
      <w:bookmarkEnd w:id="4"/>
      <w:bookmarkEnd w:id="5"/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96"/>
        <w:gridCol w:w="3096"/>
      </w:tblGrid>
      <w:tr w14:paraId="14712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96" w:type="dxa"/>
          </w:tcPr>
          <w:p w14:paraId="73F5F9D0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最低温度：</w:t>
            </w:r>
          </w:p>
        </w:tc>
        <w:tc>
          <w:tcPr>
            <w:tcW w:w="3096" w:type="dxa"/>
          </w:tcPr>
          <w:p w14:paraId="4C352598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-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hint="eastAsia"/>
                <w:color w:val="auto"/>
                <w:szCs w:val="21"/>
                <w:highlight w:val="none"/>
              </w:rPr>
              <w:t>℃</w:t>
            </w:r>
          </w:p>
        </w:tc>
      </w:tr>
      <w:tr w14:paraId="1E82D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96" w:type="dxa"/>
          </w:tcPr>
          <w:p w14:paraId="4DEB828A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最高气温：</w:t>
            </w:r>
          </w:p>
        </w:tc>
        <w:tc>
          <w:tcPr>
            <w:tcW w:w="3096" w:type="dxa"/>
          </w:tcPr>
          <w:p w14:paraId="65C0F671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+5</w:t>
            </w:r>
            <w:r>
              <w:rPr>
                <w:rFonts w:hint="eastAsia"/>
                <w:color w:val="auto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color w:val="auto"/>
                <w:szCs w:val="21"/>
                <w:highlight w:val="none"/>
              </w:rPr>
              <w:t>℃</w:t>
            </w:r>
          </w:p>
        </w:tc>
      </w:tr>
      <w:tr w14:paraId="1E4D8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96" w:type="dxa"/>
          </w:tcPr>
          <w:p w14:paraId="77087A39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最大日平均温差：</w:t>
            </w:r>
          </w:p>
        </w:tc>
        <w:tc>
          <w:tcPr>
            <w:tcW w:w="3096" w:type="dxa"/>
          </w:tcPr>
          <w:p w14:paraId="5E029564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25℃</w:t>
            </w:r>
          </w:p>
        </w:tc>
      </w:tr>
      <w:tr w14:paraId="779CD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96" w:type="dxa"/>
          </w:tcPr>
          <w:p w14:paraId="3D194F87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空气相对湿度：</w:t>
            </w:r>
          </w:p>
        </w:tc>
        <w:tc>
          <w:tcPr>
            <w:tcW w:w="3096" w:type="dxa"/>
          </w:tcPr>
          <w:p w14:paraId="3172A599">
            <w:pPr>
              <w:pStyle w:val="10"/>
              <w:spacing w:line="360" w:lineRule="auto"/>
              <w:rPr>
                <w:color w:val="auto"/>
                <w:szCs w:val="21"/>
                <w:highlight w:val="none"/>
              </w:rPr>
            </w:pPr>
            <w:r>
              <w:rPr>
                <w:rFonts w:hint="eastAsia"/>
                <w:color w:val="auto"/>
                <w:szCs w:val="21"/>
                <w:highlight w:val="none"/>
              </w:rPr>
              <w:t>95%(25℃)</w:t>
            </w:r>
          </w:p>
        </w:tc>
      </w:tr>
    </w:tbl>
    <w:p w14:paraId="09827373">
      <w:pPr>
        <w:pStyle w:val="9"/>
        <w:spacing w:before="312" w:after="312" w:line="360" w:lineRule="auto"/>
        <w:rPr>
          <w:rFonts w:ascii="Times New Roman" w:eastAsia="宋体"/>
          <w:b/>
          <w:color w:val="auto"/>
          <w:szCs w:val="21"/>
          <w:highlight w:val="none"/>
        </w:rPr>
      </w:pPr>
    </w:p>
    <w:p w14:paraId="492BC457">
      <w:pPr>
        <w:pStyle w:val="9"/>
        <w:spacing w:before="312" w:after="312" w:line="360" w:lineRule="auto"/>
        <w:rPr>
          <w:rFonts w:ascii="Times New Roman" w:eastAsia="宋体"/>
          <w:b/>
          <w:color w:val="auto"/>
          <w:szCs w:val="21"/>
          <w:highlight w:val="none"/>
        </w:rPr>
      </w:pPr>
      <w:bookmarkStart w:id="6" w:name="_Toc20653"/>
      <w:bookmarkStart w:id="7" w:name="_Toc18865"/>
      <w:r>
        <w:rPr>
          <w:rFonts w:hint="eastAsia" w:ascii="Times New Roman" w:eastAsia="宋体"/>
          <w:b/>
          <w:color w:val="auto"/>
          <w:szCs w:val="21"/>
          <w:highlight w:val="none"/>
          <w:lang w:val="en-US" w:eastAsia="zh-CN"/>
        </w:rPr>
        <w:t>2</w:t>
      </w:r>
      <w:r>
        <w:rPr>
          <w:rFonts w:hint="eastAsia" w:ascii="Times New Roman" w:eastAsia="宋体"/>
          <w:b/>
          <w:color w:val="auto"/>
          <w:szCs w:val="21"/>
          <w:highlight w:val="none"/>
        </w:rPr>
        <w:t>. 技术要求</w:t>
      </w:r>
      <w:bookmarkEnd w:id="6"/>
      <w:bookmarkEnd w:id="7"/>
    </w:p>
    <w:p w14:paraId="44D4A647">
      <w:pPr>
        <w:pStyle w:val="11"/>
        <w:spacing w:line="360" w:lineRule="auto"/>
        <w:rPr>
          <w:rFonts w:eastAsia="宋体"/>
          <w:b/>
          <w:color w:val="auto"/>
          <w:szCs w:val="21"/>
          <w:highlight w:val="none"/>
        </w:rPr>
      </w:pPr>
      <w:bookmarkStart w:id="8" w:name="_Toc10137"/>
      <w:bookmarkStart w:id="9" w:name="_Toc29829"/>
      <w:bookmarkStart w:id="10" w:name="_Toc11501"/>
      <w:bookmarkStart w:id="11" w:name="_Toc18216"/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2</w:t>
      </w:r>
      <w:r>
        <w:rPr>
          <w:rFonts w:hint="eastAsia" w:eastAsia="宋体"/>
          <w:b/>
          <w:color w:val="auto"/>
          <w:szCs w:val="21"/>
          <w:highlight w:val="none"/>
        </w:rPr>
        <w:t xml:space="preserve">.1 </w:t>
      </w:r>
      <w:r>
        <w:rPr>
          <w:rFonts w:hint="eastAsia" w:eastAsia="宋体"/>
          <w:b/>
          <w:color w:val="auto"/>
          <w:szCs w:val="21"/>
          <w:highlight w:val="none"/>
          <w:lang w:eastAsia="zh-CN"/>
        </w:rPr>
        <w:t>空调遥控开关</w:t>
      </w:r>
      <w:r>
        <w:rPr>
          <w:rFonts w:hint="eastAsia" w:eastAsia="宋体"/>
          <w:b/>
          <w:color w:val="auto"/>
          <w:szCs w:val="21"/>
          <w:highlight w:val="none"/>
        </w:rPr>
        <w:t>技术规范要求</w:t>
      </w:r>
      <w:bookmarkEnd w:id="8"/>
      <w:bookmarkEnd w:id="9"/>
      <w:bookmarkEnd w:id="10"/>
      <w:bookmarkEnd w:id="11"/>
    </w:p>
    <w:p w14:paraId="28C215FD">
      <w:pPr>
        <w:pStyle w:val="11"/>
        <w:spacing w:line="360" w:lineRule="auto"/>
        <w:outlineLvl w:val="9"/>
        <w:rPr>
          <w:rFonts w:eastAsia="宋体"/>
          <w:b/>
          <w:color w:val="auto"/>
          <w:szCs w:val="21"/>
          <w:highlight w:val="none"/>
        </w:rPr>
      </w:pPr>
      <w:bookmarkStart w:id="12" w:name="_Toc11252"/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2</w:t>
      </w:r>
      <w:r>
        <w:rPr>
          <w:rFonts w:hint="eastAsia" w:eastAsia="宋体"/>
          <w:b/>
          <w:color w:val="auto"/>
          <w:szCs w:val="21"/>
          <w:highlight w:val="none"/>
        </w:rPr>
        <w:t>.1.</w:t>
      </w:r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1</w:t>
      </w:r>
      <w:r>
        <w:rPr>
          <w:rFonts w:hint="eastAsia" w:eastAsia="宋体"/>
          <w:b/>
          <w:color w:val="auto"/>
          <w:szCs w:val="21"/>
          <w:highlight w:val="none"/>
        </w:rPr>
        <w:t xml:space="preserve"> 技术要求：</w:t>
      </w:r>
      <w:bookmarkEnd w:id="12"/>
    </w:p>
    <w:p w14:paraId="40CC38DD">
      <w:pPr>
        <w:pStyle w:val="3"/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尺寸：6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eastAsia="宋体"/>
          <w:color w:val="auto"/>
          <w:sz w:val="21"/>
          <w:szCs w:val="21"/>
          <w:highlight w:val="none"/>
        </w:rPr>
        <w:t>*5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5</w:t>
      </w:r>
      <w:r>
        <w:rPr>
          <w:rFonts w:hint="eastAsia" w:eastAsia="宋体"/>
          <w:color w:val="auto"/>
          <w:sz w:val="21"/>
          <w:szCs w:val="21"/>
          <w:highlight w:val="none"/>
        </w:rPr>
        <w:t>*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40</w:t>
      </w:r>
      <w:r>
        <w:rPr>
          <w:rFonts w:hint="eastAsia" w:eastAsia="宋体"/>
          <w:color w:val="auto"/>
          <w:sz w:val="21"/>
          <w:szCs w:val="21"/>
          <w:highlight w:val="none"/>
        </w:rPr>
        <w:t>mm</w:t>
      </w:r>
      <w:r>
        <w:rPr>
          <w:rFonts w:hint="eastAsia" w:eastAsia="宋体"/>
          <w:color w:val="auto"/>
          <w:sz w:val="21"/>
          <w:szCs w:val="21"/>
          <w:highlight w:val="none"/>
          <w:lang w:eastAsia="zh-CN"/>
        </w:rPr>
        <w:t>，（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不大于±10mm</w:t>
      </w:r>
      <w:r>
        <w:rPr>
          <w:rFonts w:hint="eastAsia" w:eastAsia="宋体"/>
          <w:color w:val="auto"/>
          <w:sz w:val="21"/>
          <w:szCs w:val="21"/>
          <w:highlight w:val="none"/>
          <w:lang w:eastAsia="zh-CN"/>
        </w:rPr>
        <w:t>）</w:t>
      </w:r>
      <w:bookmarkStart w:id="46" w:name="_GoBack"/>
      <w:bookmarkEnd w:id="46"/>
      <w:r>
        <w:rPr>
          <w:rFonts w:hint="eastAsia" w:eastAsia="宋体"/>
          <w:color w:val="auto"/>
          <w:sz w:val="21"/>
          <w:szCs w:val="21"/>
          <w:highlight w:val="none"/>
          <w:lang w:eastAsia="zh-CN"/>
        </w:rPr>
        <w:t>，不含外伸的针脚尺寸</w:t>
      </w:r>
    </w:p>
    <w:p w14:paraId="7959BB4F">
      <w:pPr>
        <w:pStyle w:val="3"/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控制距离：手机APP不限距离</w:t>
      </w:r>
    </w:p>
    <w:p w14:paraId="24A44273">
      <w:pPr>
        <w:pStyle w:val="3"/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控制模式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：一对一、一对多、多对一，多人共享远程遥控、定时自控</w:t>
      </w:r>
    </w:p>
    <w:p w14:paraId="67C38C72">
      <w:pPr>
        <w:pStyle w:val="11"/>
        <w:spacing w:line="360" w:lineRule="auto"/>
        <w:outlineLvl w:val="9"/>
        <w:rPr>
          <w:rFonts w:eastAsia="宋体"/>
          <w:b/>
          <w:color w:val="auto"/>
          <w:szCs w:val="21"/>
          <w:highlight w:val="none"/>
        </w:rPr>
      </w:pPr>
      <w:bookmarkStart w:id="13" w:name="_Toc16149"/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2</w:t>
      </w:r>
      <w:r>
        <w:rPr>
          <w:rFonts w:hint="eastAsia" w:eastAsia="宋体"/>
          <w:b/>
          <w:color w:val="auto"/>
          <w:szCs w:val="21"/>
          <w:highlight w:val="none"/>
        </w:rPr>
        <w:t>.1.</w:t>
      </w:r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2</w:t>
      </w:r>
      <w:r>
        <w:rPr>
          <w:rFonts w:hint="eastAsia" w:eastAsia="宋体"/>
          <w:b/>
          <w:color w:val="auto"/>
          <w:szCs w:val="21"/>
          <w:highlight w:val="none"/>
        </w:rPr>
        <w:t xml:space="preserve"> 技术参数：</w:t>
      </w:r>
      <w:bookmarkEnd w:id="13"/>
    </w:p>
    <w:p w14:paraId="6DC7D7A2">
      <w:pPr>
        <w:pStyle w:val="3"/>
        <w:tabs>
          <w:tab w:val="left" w:pos="3831"/>
        </w:tabs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bookmarkStart w:id="14" w:name="_Toc3733"/>
      <w:bookmarkStart w:id="15" w:name="_Toc24285"/>
      <w:bookmarkStart w:id="16" w:name="_Toc460489949"/>
      <w:bookmarkStart w:id="17" w:name="_Toc16810"/>
      <w:bookmarkStart w:id="18" w:name="_Toc27545"/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额定电压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：AC 150V至250V，50Hz±5%</w:t>
      </w:r>
    </w:p>
    <w:p w14:paraId="770F8CCE">
      <w:pPr>
        <w:pStyle w:val="3"/>
        <w:tabs>
          <w:tab w:val="left" w:pos="3831"/>
        </w:tabs>
        <w:spacing w:after="0" w:line="360" w:lineRule="auto"/>
        <w:ind w:firstLine="420" w:firstLineChars="200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功耗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：≤1W</w:t>
      </w:r>
    </w:p>
    <w:p w14:paraId="2C3B5437">
      <w:pPr>
        <w:pStyle w:val="3"/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网络制式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：4G CAT1，中国移动4G：TDD、FDD</w:t>
      </w:r>
    </w:p>
    <w:p w14:paraId="1F840043">
      <w:pPr>
        <w:pStyle w:val="3"/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工作频率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：50Hz±5%，AC 150V至265V</w:t>
      </w:r>
    </w:p>
    <w:p w14:paraId="4A730ADF">
      <w:pPr>
        <w:pStyle w:val="3"/>
        <w:tabs>
          <w:tab w:val="left" w:pos="3831"/>
        </w:tabs>
        <w:spacing w:after="0" w:line="360" w:lineRule="auto"/>
        <w:ind w:firstLine="420" w:firstLineChars="200"/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  <w:t>电流容量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>：≤16A，阻性3500W</w:t>
      </w:r>
      <w:r>
        <w:rPr>
          <w:rFonts w:hint="eastAsia" w:eastAsia="宋体"/>
          <w:color w:val="auto"/>
          <w:sz w:val="21"/>
          <w:szCs w:val="21"/>
          <w:highlight w:val="none"/>
          <w:lang w:val="en-US" w:eastAsia="zh-CN"/>
        </w:rPr>
        <w:tab/>
      </w:r>
    </w:p>
    <w:p w14:paraId="5B19135E">
      <w:pPr>
        <w:pStyle w:val="9"/>
        <w:spacing w:before="312" w:after="312" w:line="360" w:lineRule="auto"/>
        <w:rPr>
          <w:rFonts w:ascii="Times New Roman" w:eastAsia="宋体"/>
          <w:b/>
          <w:color w:val="auto"/>
          <w:szCs w:val="21"/>
          <w:highlight w:val="none"/>
        </w:rPr>
      </w:pPr>
      <w:r>
        <w:rPr>
          <w:rFonts w:hint="eastAsia" w:ascii="Times New Roman" w:eastAsia="宋体"/>
          <w:b/>
          <w:color w:val="auto"/>
          <w:szCs w:val="21"/>
          <w:highlight w:val="none"/>
          <w:lang w:val="en-US" w:eastAsia="zh-CN"/>
        </w:rPr>
        <w:t>3</w:t>
      </w:r>
      <w:r>
        <w:rPr>
          <w:rFonts w:hint="eastAsia" w:ascii="Times New Roman" w:eastAsia="宋体"/>
          <w:b/>
          <w:color w:val="auto"/>
          <w:szCs w:val="21"/>
          <w:highlight w:val="none"/>
        </w:rPr>
        <w:t xml:space="preserve">. </w:t>
      </w:r>
      <w:bookmarkEnd w:id="14"/>
      <w:bookmarkEnd w:id="15"/>
      <w:bookmarkEnd w:id="16"/>
      <w:bookmarkStart w:id="19" w:name="_Toc142712647"/>
      <w:bookmarkStart w:id="20" w:name="_Toc183227362"/>
      <w:bookmarkStart w:id="21" w:name="_Toc182908451"/>
      <w:r>
        <w:rPr>
          <w:rFonts w:hint="eastAsia" w:ascii="Times New Roman" w:eastAsia="宋体"/>
          <w:b/>
          <w:color w:val="auto"/>
          <w:szCs w:val="21"/>
          <w:highlight w:val="none"/>
        </w:rPr>
        <w:t>售后服务、验收标准、供货要求及质量保证</w:t>
      </w:r>
      <w:bookmarkEnd w:id="17"/>
      <w:bookmarkEnd w:id="18"/>
    </w:p>
    <w:p w14:paraId="37F5A724">
      <w:pPr>
        <w:pStyle w:val="11"/>
        <w:spacing w:line="360" w:lineRule="auto"/>
        <w:rPr>
          <w:rFonts w:eastAsia="宋体"/>
          <w:b/>
          <w:color w:val="auto"/>
          <w:szCs w:val="21"/>
          <w:highlight w:val="none"/>
        </w:rPr>
      </w:pPr>
      <w:bookmarkStart w:id="22" w:name="_Toc20338"/>
      <w:bookmarkStart w:id="23" w:name="_Toc22569"/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3</w:t>
      </w:r>
      <w:r>
        <w:rPr>
          <w:rFonts w:hint="eastAsia" w:eastAsia="宋体"/>
          <w:b/>
          <w:color w:val="auto"/>
          <w:szCs w:val="21"/>
          <w:highlight w:val="none"/>
        </w:rPr>
        <w:t xml:space="preserve">.1 </w:t>
      </w:r>
      <w:bookmarkEnd w:id="19"/>
      <w:bookmarkEnd w:id="20"/>
      <w:bookmarkEnd w:id="21"/>
      <w:bookmarkEnd w:id="22"/>
      <w:bookmarkStart w:id="24" w:name="_Toc10404"/>
      <w:bookmarkStart w:id="25" w:name="_Toc460489950"/>
      <w:bookmarkStart w:id="26" w:name="_Toc8380"/>
      <w:bookmarkStart w:id="27" w:name="_Toc27051"/>
      <w:r>
        <w:rPr>
          <w:rFonts w:hint="eastAsia" w:eastAsia="宋体"/>
          <w:b/>
          <w:color w:val="auto"/>
          <w:szCs w:val="21"/>
          <w:highlight w:val="none"/>
        </w:rPr>
        <w:t>售</w:t>
      </w:r>
      <w:bookmarkStart w:id="28" w:name="_Toc183227363"/>
      <w:r>
        <w:rPr>
          <w:rFonts w:hint="eastAsia" w:eastAsia="宋体"/>
          <w:b/>
          <w:color w:val="auto"/>
          <w:szCs w:val="21"/>
          <w:highlight w:val="none"/>
        </w:rPr>
        <w:t>后服务</w:t>
      </w:r>
      <w:bookmarkEnd w:id="23"/>
      <w:bookmarkEnd w:id="24"/>
      <w:bookmarkEnd w:id="25"/>
      <w:bookmarkEnd w:id="26"/>
      <w:bookmarkEnd w:id="27"/>
    </w:p>
    <w:bookmarkEnd w:id="28"/>
    <w:p w14:paraId="1F316BF6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在设备安装、调试过程中，厂方派技术人员免费提供现场服务，现场负责技术指导，协助使用单位按标准要求检查安装质量，解决投运中出现的质量问题。</w:t>
      </w:r>
    </w:p>
    <w:p w14:paraId="65768278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质量保证期内厂方免费进行设备维护及更换非人为损坏的元器件。</w:t>
      </w:r>
    </w:p>
    <w:p w14:paraId="14904339">
      <w:pPr>
        <w:pStyle w:val="11"/>
        <w:spacing w:line="360" w:lineRule="auto"/>
        <w:rPr>
          <w:rFonts w:eastAsia="宋体"/>
          <w:b/>
          <w:color w:val="auto"/>
          <w:szCs w:val="21"/>
          <w:highlight w:val="none"/>
        </w:rPr>
      </w:pPr>
      <w:bookmarkStart w:id="29" w:name="_Toc460489952"/>
      <w:bookmarkStart w:id="30" w:name="_Toc15528"/>
      <w:bookmarkStart w:id="31" w:name="_Toc19364"/>
      <w:bookmarkStart w:id="32" w:name="_Toc13604"/>
      <w:bookmarkStart w:id="33" w:name="_Toc18262"/>
      <w:r>
        <w:rPr>
          <w:rFonts w:hint="eastAsia" w:eastAsia="宋体"/>
          <w:b/>
          <w:color w:val="auto"/>
          <w:szCs w:val="21"/>
          <w:highlight w:val="none"/>
        </w:rPr>
        <w:t>8.</w:t>
      </w:r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2</w:t>
      </w:r>
      <w:r>
        <w:rPr>
          <w:rFonts w:hint="eastAsia" w:eastAsia="宋体"/>
          <w:b/>
          <w:color w:val="auto"/>
          <w:szCs w:val="21"/>
          <w:highlight w:val="none"/>
        </w:rPr>
        <w:t>验</w:t>
      </w:r>
      <w:bookmarkStart w:id="34" w:name="_Toc183227365"/>
      <w:r>
        <w:rPr>
          <w:rFonts w:hint="eastAsia" w:eastAsia="宋体"/>
          <w:b/>
          <w:color w:val="auto"/>
          <w:szCs w:val="21"/>
          <w:highlight w:val="none"/>
        </w:rPr>
        <w:t>收标准</w:t>
      </w:r>
      <w:bookmarkEnd w:id="29"/>
      <w:bookmarkEnd w:id="30"/>
      <w:bookmarkEnd w:id="31"/>
      <w:bookmarkEnd w:id="32"/>
      <w:bookmarkEnd w:id="33"/>
    </w:p>
    <w:bookmarkEnd w:id="34"/>
    <w:p w14:paraId="650EBCF4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bookmarkStart w:id="35" w:name="_Toc460489953"/>
      <w:r>
        <w:rPr>
          <w:rFonts w:hint="eastAsia" w:eastAsia="宋体"/>
          <w:color w:val="auto"/>
          <w:sz w:val="21"/>
          <w:szCs w:val="21"/>
          <w:highlight w:val="none"/>
        </w:rPr>
        <w:t>厂商应提供相关技术文件，如合格证、出厂试验报告、安装使用说明书等；</w:t>
      </w:r>
    </w:p>
    <w:p w14:paraId="6985F2B4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产品交接试验应由双方共同参与见证；</w:t>
      </w:r>
    </w:p>
    <w:p w14:paraId="17A2BD85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厂商必须为买方提供必要、便捷的售后服务；</w:t>
      </w:r>
    </w:p>
    <w:p w14:paraId="160035F9">
      <w:pPr>
        <w:pStyle w:val="11"/>
        <w:spacing w:line="360" w:lineRule="auto"/>
        <w:rPr>
          <w:rFonts w:eastAsia="宋体"/>
          <w:b/>
          <w:color w:val="auto"/>
          <w:szCs w:val="21"/>
          <w:highlight w:val="none"/>
        </w:rPr>
      </w:pPr>
      <w:bookmarkStart w:id="36" w:name="_Toc17371"/>
      <w:bookmarkStart w:id="37" w:name="_Toc19238"/>
      <w:bookmarkStart w:id="38" w:name="_Toc511"/>
      <w:bookmarkStart w:id="39" w:name="_Toc19488"/>
      <w:bookmarkStart w:id="40" w:name="_Toc183227366"/>
      <w:r>
        <w:rPr>
          <w:rFonts w:hint="eastAsia" w:eastAsia="宋体"/>
          <w:b/>
          <w:color w:val="auto"/>
          <w:szCs w:val="21"/>
          <w:highlight w:val="none"/>
        </w:rPr>
        <w:t>8.</w:t>
      </w:r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3</w:t>
      </w:r>
      <w:r>
        <w:rPr>
          <w:rFonts w:hint="eastAsia" w:eastAsia="宋体"/>
          <w:b/>
          <w:color w:val="auto"/>
          <w:szCs w:val="21"/>
          <w:highlight w:val="none"/>
        </w:rPr>
        <w:t>供货要求</w:t>
      </w:r>
      <w:bookmarkEnd w:id="35"/>
      <w:bookmarkEnd w:id="36"/>
      <w:bookmarkEnd w:id="37"/>
      <w:bookmarkEnd w:id="38"/>
      <w:bookmarkEnd w:id="39"/>
    </w:p>
    <w:p w14:paraId="515182DD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投标</w:t>
      </w:r>
      <w:bookmarkEnd w:id="40"/>
      <w:r>
        <w:rPr>
          <w:rFonts w:hint="eastAsia" w:eastAsia="宋体"/>
          <w:color w:val="auto"/>
          <w:sz w:val="21"/>
          <w:szCs w:val="21"/>
          <w:highlight w:val="none"/>
        </w:rPr>
        <w:t>方可以提出更优配置方案，并根据需要适当增减辅助设备。</w:t>
      </w:r>
    </w:p>
    <w:p w14:paraId="1445CADD">
      <w:pPr>
        <w:pStyle w:val="11"/>
        <w:spacing w:line="360" w:lineRule="auto"/>
        <w:rPr>
          <w:rFonts w:eastAsia="宋体"/>
          <w:b/>
          <w:color w:val="auto"/>
          <w:szCs w:val="21"/>
          <w:highlight w:val="none"/>
        </w:rPr>
      </w:pPr>
      <w:bookmarkStart w:id="41" w:name="_Toc4076"/>
      <w:bookmarkStart w:id="42" w:name="_Toc21647"/>
      <w:bookmarkStart w:id="43" w:name="_Toc20162"/>
      <w:bookmarkStart w:id="44" w:name="_Toc460489954"/>
      <w:bookmarkStart w:id="45" w:name="_Toc6367"/>
      <w:r>
        <w:rPr>
          <w:rFonts w:hint="eastAsia" w:eastAsia="宋体"/>
          <w:b/>
          <w:color w:val="auto"/>
          <w:szCs w:val="21"/>
          <w:highlight w:val="none"/>
        </w:rPr>
        <w:t>8.</w:t>
      </w:r>
      <w:r>
        <w:rPr>
          <w:rFonts w:hint="eastAsia" w:eastAsia="宋体"/>
          <w:b/>
          <w:color w:val="auto"/>
          <w:szCs w:val="21"/>
          <w:highlight w:val="none"/>
          <w:lang w:val="en-US" w:eastAsia="zh-CN"/>
        </w:rPr>
        <w:t>4</w:t>
      </w:r>
      <w:r>
        <w:rPr>
          <w:rFonts w:hint="eastAsia" w:eastAsia="宋体"/>
          <w:b/>
          <w:color w:val="auto"/>
          <w:szCs w:val="21"/>
          <w:highlight w:val="none"/>
        </w:rPr>
        <w:t>质量保证</w:t>
      </w:r>
      <w:bookmarkEnd w:id="41"/>
      <w:bookmarkEnd w:id="42"/>
      <w:bookmarkEnd w:id="43"/>
      <w:bookmarkEnd w:id="44"/>
      <w:bookmarkEnd w:id="45"/>
    </w:p>
    <w:p w14:paraId="7EA43C05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全部设备必须是全新的,持久耐用的,应满足作为一个完整产品所能满足的全部要求。投标方应保证设备在规定的使用条件下能正常运行。并在使用现场整体安装完成。</w:t>
      </w:r>
    </w:p>
    <w:p w14:paraId="657C2B2B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投标方应对其整组设备在到货后提供不少于三年的“三包”质量保证。之后如发生产品维修，投标方应及时为供应产品提供维修部件，并按最近的市场价提供。</w:t>
      </w:r>
    </w:p>
    <w:p w14:paraId="2C46DC45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订购的新型产品除应满足本标准外,投标方还应提供该产品的鉴定证书。</w:t>
      </w:r>
    </w:p>
    <w:p w14:paraId="3BB7A296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投标方应保证制造过程中的所有工艺、材料试验等(包括投标方的外购件在内)均应符合本标准的规定。</w:t>
      </w:r>
    </w:p>
    <w:p w14:paraId="231830A8">
      <w:pPr>
        <w:pStyle w:val="3"/>
        <w:spacing w:after="0" w:line="360" w:lineRule="auto"/>
        <w:ind w:firstLine="420" w:firstLineChars="200"/>
        <w:rPr>
          <w:rFonts w:eastAsia="宋体"/>
          <w:color w:val="auto"/>
          <w:sz w:val="21"/>
          <w:szCs w:val="21"/>
          <w:highlight w:val="none"/>
        </w:rPr>
      </w:pPr>
      <w:r>
        <w:rPr>
          <w:rFonts w:hint="eastAsia" w:eastAsia="宋体"/>
          <w:color w:val="auto"/>
          <w:sz w:val="21"/>
          <w:szCs w:val="21"/>
          <w:highlight w:val="none"/>
        </w:rPr>
        <w:t>附属及配套设备必须满足有关行业标准的要求,并提供试验报告和产品合格证。</w:t>
      </w:r>
    </w:p>
    <w:p w14:paraId="7B85B29A">
      <w:pPr>
        <w:pStyle w:val="3"/>
        <w:spacing w:after="0" w:line="360" w:lineRule="auto"/>
        <w:ind w:firstLine="420" w:firstLineChars="200"/>
        <w:rPr>
          <w:rFonts w:hint="default" w:eastAsia="宋体"/>
          <w:color w:val="auto"/>
          <w:sz w:val="21"/>
          <w:szCs w:val="21"/>
          <w:highlight w:val="none"/>
          <w:lang w:val="en-US" w:eastAsia="zh-CN"/>
        </w:rPr>
      </w:pPr>
    </w:p>
    <w:p w14:paraId="0D5BC49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suff w:val="space"/>
      <w:lvlText w:val="%1"/>
      <w:lvlJc w:val="left"/>
      <w:pPr>
        <w:ind w:left="210" w:firstLine="0"/>
      </w:pPr>
      <w:rPr>
        <w:rFonts w:hint="default" w:ascii="Times New Roman" w:hAnsi="Times New Roman" w:eastAsia="宋体"/>
        <w:b/>
        <w:i w:val="0"/>
        <w:color w:val="auto"/>
        <w:sz w:val="21"/>
      </w:rPr>
    </w:lvl>
    <w:lvl w:ilvl="1" w:tentative="0">
      <w:start w:val="2"/>
      <w:numFmt w:val="decimal"/>
      <w:suff w:val="space"/>
      <w:lvlText w:val="%1.%2"/>
      <w:lvlJc w:val="left"/>
      <w:pPr>
        <w:ind w:left="210" w:firstLine="0"/>
      </w:pPr>
      <w:rPr>
        <w:rFonts w:hint="default" w:ascii="Times New Roman" w:hAnsi="Times New Roman" w:eastAsia="宋体"/>
        <w:b w:val="0"/>
        <w:i w:val="0"/>
        <w:sz w:val="21"/>
      </w:rPr>
    </w:lvl>
    <w:lvl w:ilvl="2" w:tentative="0">
      <w:start w:val="12"/>
      <w:numFmt w:val="decimal"/>
      <w:suff w:val="space"/>
      <w:lvlText w:val="%1.%2.%3 "/>
      <w:lvlJc w:val="left"/>
      <w:pPr>
        <w:ind w:left="494" w:firstLine="0"/>
      </w:pPr>
      <w:rPr>
        <w:rFonts w:hint="eastAsia" w:ascii="黑体" w:hAnsi="黑体" w:eastAsia="黑体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21"/>
        <w:u w:val="none"/>
        <w:shd w:val="clear" w:color="auto" w:fill="auto"/>
        <w:vertAlign w:val="baseline"/>
      </w:rPr>
    </w:lvl>
    <w:lvl w:ilvl="3" w:tentative="0">
      <w:start w:val="1"/>
      <w:numFmt w:val="decimal"/>
      <w:suff w:val="space"/>
      <w:lvlText w:val="%1.%2.%3.%4 "/>
      <w:lvlJc w:val="left"/>
      <w:pPr>
        <w:ind w:left="210" w:firstLine="0"/>
      </w:pPr>
      <w:rPr>
        <w:rFonts w:hint="eastAsia" w:ascii="宋体" w:hAnsi="宋体" w:eastAsia="宋体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21"/>
        <w:szCs w:val="21"/>
        <w:u w:val="none"/>
        <w:shd w:val="clear" w:color="auto" w:fill="auto"/>
        <w:vertAlign w:val="baseline"/>
        <w:lang w:val="en-US" w:eastAsia="zh-CN" w:bidi="ar-SA"/>
      </w:rPr>
    </w:lvl>
    <w:lvl w:ilvl="4" w:tentative="0">
      <w:start w:val="1"/>
      <w:numFmt w:val="decimal"/>
      <w:lvlRestart w:val="0"/>
      <w:suff w:val="space"/>
      <w:lvlText w:val="%1.%2.%3.%4.%5"/>
      <w:lvlJc w:val="left"/>
      <w:pPr>
        <w:ind w:left="3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956"/>
        </w:tabs>
        <w:ind w:left="329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741"/>
        </w:tabs>
        <w:ind w:left="385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526"/>
        </w:tabs>
        <w:ind w:left="442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312"/>
        </w:tabs>
        <w:ind w:left="513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AC45D0"/>
    <w:rsid w:val="011E15C1"/>
    <w:rsid w:val="046D0EDF"/>
    <w:rsid w:val="0524023A"/>
    <w:rsid w:val="057A45D0"/>
    <w:rsid w:val="05E43105"/>
    <w:rsid w:val="081B7CD6"/>
    <w:rsid w:val="1054736C"/>
    <w:rsid w:val="12EE403E"/>
    <w:rsid w:val="138A0A15"/>
    <w:rsid w:val="139B5948"/>
    <w:rsid w:val="1562742E"/>
    <w:rsid w:val="17132AB0"/>
    <w:rsid w:val="1880231C"/>
    <w:rsid w:val="194E5AD8"/>
    <w:rsid w:val="1A7D5E74"/>
    <w:rsid w:val="1D5C25F7"/>
    <w:rsid w:val="226D6DDB"/>
    <w:rsid w:val="25E66CA5"/>
    <w:rsid w:val="2A2E67CA"/>
    <w:rsid w:val="2C39495F"/>
    <w:rsid w:val="2D83265E"/>
    <w:rsid w:val="2E8950F2"/>
    <w:rsid w:val="2F067B74"/>
    <w:rsid w:val="31AC45D0"/>
    <w:rsid w:val="34D72A9E"/>
    <w:rsid w:val="35BC79E4"/>
    <w:rsid w:val="48025F3B"/>
    <w:rsid w:val="4AB303C9"/>
    <w:rsid w:val="4F22700E"/>
    <w:rsid w:val="4F38228C"/>
    <w:rsid w:val="536217CB"/>
    <w:rsid w:val="53EA1768"/>
    <w:rsid w:val="55F23E1D"/>
    <w:rsid w:val="56226FCC"/>
    <w:rsid w:val="59993228"/>
    <w:rsid w:val="5C0D6D80"/>
    <w:rsid w:val="5F360F48"/>
    <w:rsid w:val="5F4A513E"/>
    <w:rsid w:val="5FF93414"/>
    <w:rsid w:val="609A1FD1"/>
    <w:rsid w:val="612E081F"/>
    <w:rsid w:val="63B15B70"/>
    <w:rsid w:val="69F65AEB"/>
    <w:rsid w:val="75DB7FF1"/>
    <w:rsid w:val="7E85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napToGrid w:val="0"/>
      <w:spacing w:before="312" w:beforeLines="100" w:line="360" w:lineRule="auto"/>
      <w:outlineLvl w:val="0"/>
    </w:pPr>
    <w:rPr>
      <w:rFonts w:ascii="宋体" w:hAnsi="Calibri"/>
      <w:b/>
      <w:bCs/>
      <w:kern w:val="44"/>
      <w:szCs w:val="21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20"/>
    </w:pPr>
    <w:rPr>
      <w:rFonts w:eastAsia="仿宋_GB2312"/>
      <w:sz w:val="28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标准1级标题"/>
    <w:basedOn w:val="1"/>
    <w:qFormat/>
    <w:uiPriority w:val="0"/>
    <w:pPr>
      <w:keepNext/>
      <w:keepLines/>
      <w:widowControl/>
      <w:spacing w:before="240" w:beforeLines="100" w:after="240" w:afterLines="100" w:line="416" w:lineRule="atLeast"/>
      <w:jc w:val="left"/>
      <w:outlineLvl w:val="0"/>
    </w:pPr>
    <w:rPr>
      <w:rFonts w:ascii="黑体" w:eastAsia="黑体"/>
      <w:kern w:val="0"/>
      <w:szCs w:val="20"/>
    </w:rPr>
  </w:style>
  <w:style w:type="paragraph" w:customStyle="1" w:styleId="10">
    <w:name w:val="标准正文"/>
    <w:basedOn w:val="1"/>
    <w:qFormat/>
    <w:uiPriority w:val="0"/>
    <w:pPr>
      <w:spacing w:line="320" w:lineRule="exact"/>
      <w:ind w:firstLine="420" w:firstLineChars="200"/>
    </w:pPr>
  </w:style>
  <w:style w:type="paragraph" w:customStyle="1" w:styleId="11">
    <w:name w:val="标准2级标题"/>
    <w:basedOn w:val="1"/>
    <w:qFormat/>
    <w:uiPriority w:val="0"/>
    <w:pPr>
      <w:widowControl/>
      <w:spacing w:before="120" w:after="120"/>
      <w:jc w:val="left"/>
      <w:outlineLvl w:val="1"/>
    </w:pPr>
    <w:rPr>
      <w:rFonts w:eastAsia="黑体"/>
      <w:kern w:val="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2025-12-11T00:18:00Z</dcterms:created>
  <dc:creator>wubin</dc:creator>
  <cp:lastModifiedBy>张泽桥</cp:lastModifiedBy>
  <dcterms:modified xsi:type="dcterms:W3CDTF">2026-06-16T02:16:40Z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0010E70121EA41A3803E4EF2A6A95C80_13</vt:lpwstr>
  </property>
</Properties>
</file>