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ascii="宋体" w:hAnsi="宋体"/>
          <w:kern w:val="0"/>
          <w:sz w:val="24"/>
          <w:szCs w:val="24"/>
        </w:rPr>
        <w:drawing>
          <wp:anchor distT="0" distB="0" distL="114300" distR="114300" simplePos="0" relativeHeight="251659264" behindDoc="1" locked="0" layoutInCell="1" allowOverlap="1">
            <wp:simplePos x="0" y="0"/>
            <wp:positionH relativeFrom="column">
              <wp:posOffset>-866775</wp:posOffset>
            </wp:positionH>
            <wp:positionV relativeFrom="paragraph">
              <wp:posOffset>-914400</wp:posOffset>
            </wp:positionV>
            <wp:extent cx="7620000" cy="2328545"/>
            <wp:effectExtent l="0" t="0" r="0" b="14605"/>
            <wp:wrapTight wrapText="bothSides">
              <wp:wrapPolygon>
                <wp:start x="0" y="0"/>
                <wp:lineTo x="0" y="21382"/>
                <wp:lineTo x="21546" y="21382"/>
                <wp:lineTo x="21546" y="0"/>
                <wp:lineTo x="0" y="0"/>
              </wp:wrapPolygon>
            </wp:wrapTight>
            <wp:docPr id="1026" name="图片 2" descr="模板-3"/>
            <wp:cNvGraphicFramePr/>
            <a:graphic xmlns:a="http://schemas.openxmlformats.org/drawingml/2006/main">
              <a:graphicData uri="http://schemas.openxmlformats.org/drawingml/2006/picture">
                <pic:pic xmlns:pic="http://schemas.openxmlformats.org/drawingml/2006/picture">
                  <pic:nvPicPr>
                    <pic:cNvPr id="1026" name="图片 2" descr="模板-3"/>
                    <pic:cNvPicPr/>
                  </pic:nvPicPr>
                  <pic:blipFill>
                    <a:blip r:embed="rId8" cstate="print"/>
                    <a:srcRect/>
                    <a:stretch>
                      <a:fillRect/>
                    </a:stretch>
                  </pic:blipFill>
                  <pic:spPr>
                    <a:xfrm>
                      <a:off x="0" y="0"/>
                      <a:ext cx="7620000" cy="2328545"/>
                    </a:xfrm>
                    <a:prstGeom prst="rect">
                      <a:avLst/>
                    </a:prstGeom>
                  </pic:spPr>
                </pic:pic>
              </a:graphicData>
            </a:graphic>
          </wp:anchor>
        </w:drawing>
      </w:r>
    </w:p>
    <w:p/>
    <w:p>
      <w:pPr>
        <w:pStyle w:val="19"/>
      </w:pPr>
    </w:p>
    <w:p>
      <w:pPr>
        <w:spacing w:before="624" w:beforeLines="200"/>
        <w:ind w:left="2168" w:hanging="2168" w:hangingChars="450"/>
        <w:jc w:val="center"/>
        <w:rPr>
          <w:rFonts w:hint="default" w:ascii="黑体" w:hAnsi="宋体" w:eastAsia="黑体"/>
          <w:b/>
          <w:color w:val="000000"/>
          <w:sz w:val="48"/>
          <w:szCs w:val="48"/>
          <w:lang w:val="en-US" w:eastAsia="zh-CN"/>
        </w:rPr>
      </w:pPr>
      <w:r>
        <w:rPr>
          <w:rFonts w:hint="eastAsia" w:ascii="黑体" w:hAnsi="宋体" w:eastAsia="黑体"/>
          <w:b/>
          <w:color w:val="000000"/>
          <w:sz w:val="48"/>
          <w:szCs w:val="48"/>
          <w:lang w:val="en-US" w:eastAsia="zh-CN"/>
        </w:rPr>
        <w:t>2026年深圳供电局有限公司</w:t>
      </w:r>
    </w:p>
    <w:p>
      <w:pPr>
        <w:keepNext w:val="0"/>
        <w:keepLines w:val="0"/>
        <w:pageBreakBefore w:val="0"/>
        <w:widowControl w:val="0"/>
        <w:kinsoku/>
        <w:wordWrap/>
        <w:overflowPunct/>
        <w:topLinePunct w:val="0"/>
        <w:autoSpaceDE/>
        <w:autoSpaceDN/>
        <w:bidi w:val="0"/>
        <w:adjustRightInd/>
        <w:snapToGrid/>
        <w:spacing w:before="624" w:beforeLines="200" w:line="279" w:lineRule="auto"/>
        <w:ind w:left="0" w:firstLine="0" w:firstLineChars="0"/>
        <w:jc w:val="center"/>
        <w:textAlignment w:val="auto"/>
        <w:rPr>
          <w:rFonts w:ascii="Times New Roman" w:hAnsi="Times New Roman" w:eastAsia="黑体"/>
          <w:b/>
          <w:color w:val="000000"/>
          <w:sz w:val="36"/>
          <w:szCs w:val="36"/>
        </w:rPr>
      </w:pPr>
      <w:r>
        <w:rPr>
          <w:rFonts w:hint="eastAsia" w:ascii="黑体" w:hAnsi="宋体" w:eastAsia="黑体"/>
          <w:b/>
          <w:color w:val="000000"/>
          <w:sz w:val="48"/>
          <w:szCs w:val="48"/>
          <w:lang w:val="en-US" w:eastAsia="zh-CN"/>
        </w:rPr>
        <w:t>营销工作配套设备（电能计量智能仿真培训设备）</w:t>
      </w:r>
    </w:p>
    <w:p>
      <w:pPr>
        <w:spacing w:before="624" w:beforeLines="200"/>
        <w:ind w:left="2168" w:hanging="2168" w:hangingChars="450"/>
        <w:jc w:val="center"/>
        <w:rPr>
          <w:rFonts w:hint="eastAsia" w:ascii="黑体" w:hAnsi="宋体" w:eastAsia="黑体"/>
          <w:b/>
          <w:color w:val="000000"/>
          <w:sz w:val="48"/>
          <w:szCs w:val="48"/>
        </w:rPr>
      </w:pPr>
      <w:r>
        <w:rPr>
          <w:rFonts w:hint="eastAsia" w:ascii="黑体" w:hAnsi="宋体" w:eastAsia="黑体"/>
          <w:b/>
          <w:color w:val="000000"/>
          <w:sz w:val="48"/>
          <w:szCs w:val="48"/>
        </w:rPr>
        <w:t>技术条件书</w:t>
      </w:r>
    </w:p>
    <w:p/>
    <w:p/>
    <w:p/>
    <w:p>
      <w:pPr>
        <w:spacing w:before="624" w:beforeLines="200"/>
        <w:jc w:val="center"/>
        <w:rPr>
          <w:rFonts w:ascii="黑体" w:eastAsia="黑体"/>
          <w:b/>
          <w:color w:val="000000"/>
          <w:spacing w:val="20"/>
          <w:w w:val="135"/>
          <w:sz w:val="30"/>
        </w:rPr>
      </w:pPr>
      <w:r>
        <w:rPr>
          <w:rFonts w:hint="eastAsia" w:ascii="黑体" w:eastAsia="黑体"/>
          <w:b/>
          <w:color w:val="000000"/>
          <w:spacing w:val="20"/>
          <w:w w:val="135"/>
          <w:sz w:val="30"/>
        </w:rPr>
        <w:t>深圳供电局有限公司</w:t>
      </w:r>
    </w:p>
    <w:p>
      <w:pPr>
        <w:spacing w:before="624" w:beforeLines="200"/>
        <w:jc w:val="center"/>
        <w:rPr>
          <w:rFonts w:ascii="黑体" w:eastAsia="黑体"/>
          <w:b/>
          <w:color w:val="000000"/>
          <w:spacing w:val="20"/>
          <w:w w:val="135"/>
          <w:sz w:val="30"/>
        </w:rPr>
      </w:pPr>
      <w:r>
        <w:rPr>
          <w:rFonts w:hint="eastAsia" w:ascii="黑体" w:eastAsia="黑体"/>
          <w:b/>
          <w:color w:val="000000"/>
          <w:spacing w:val="20"/>
          <w:w w:val="135"/>
          <w:sz w:val="30"/>
        </w:rPr>
        <w:t>二O二六年三月</w:t>
      </w:r>
    </w:p>
    <w:p>
      <w:pPr>
        <w:rPr>
          <w:rFonts w:ascii="黑体" w:eastAsia="黑体"/>
          <w:b/>
          <w:color w:val="000000"/>
          <w:spacing w:val="20"/>
          <w:w w:val="135"/>
          <w:sz w:val="30"/>
        </w:rPr>
      </w:pPr>
    </w:p>
    <w:p>
      <w:pPr>
        <w:pStyle w:val="4"/>
        <w:numPr>
          <w:ilvl w:val="0"/>
          <w:numId w:val="0"/>
        </w:numPr>
        <w:ind w:leftChars="0"/>
      </w:pPr>
    </w:p>
    <w:p>
      <w:pPr>
        <w:pStyle w:val="4"/>
        <w:spacing w:before="312"/>
      </w:pPr>
      <w:bookmarkStart w:id="0" w:name="_Toc7714"/>
      <w:bookmarkEnd w:id="0"/>
    </w:p>
    <w:p>
      <w:pPr>
        <w:spacing w:line="360" w:lineRule="auto"/>
        <w:jc w:val="center"/>
        <w:rPr>
          <w:rFonts w:eastAsia="黑体"/>
          <w:sz w:val="32"/>
          <w:szCs w:val="28"/>
        </w:rPr>
      </w:pPr>
      <w:r>
        <w:rPr>
          <w:rFonts w:eastAsia="黑体"/>
          <w:sz w:val="32"/>
          <w:szCs w:val="28"/>
        </w:rPr>
        <w:t>本技术规范书对应的</w:t>
      </w:r>
      <w:r>
        <w:rPr>
          <w:rFonts w:hint="eastAsia" w:eastAsia="黑体"/>
          <w:sz w:val="32"/>
          <w:szCs w:val="28"/>
        </w:rPr>
        <w:t>通用</w:t>
      </w:r>
      <w:r>
        <w:rPr>
          <w:rFonts w:eastAsia="黑体"/>
          <w:sz w:val="32"/>
          <w:szCs w:val="28"/>
        </w:rPr>
        <w:t>部分目录</w:t>
      </w:r>
    </w:p>
    <w:tbl>
      <w:tblPr>
        <w:tblStyle w:val="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91"/>
        <w:gridCol w:w="6000"/>
        <w:gridCol w:w="267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91" w:type="dxa"/>
            <w:vAlign w:val="center"/>
          </w:tcPr>
          <w:p>
            <w:pPr>
              <w:jc w:val="center"/>
              <w:rPr>
                <w:color w:val="000000"/>
                <w:sz w:val="24"/>
              </w:rPr>
            </w:pPr>
            <w:r>
              <w:rPr>
                <w:color w:val="000000"/>
                <w:sz w:val="24"/>
              </w:rPr>
              <w:t>序号</w:t>
            </w:r>
          </w:p>
        </w:tc>
        <w:tc>
          <w:tcPr>
            <w:tcW w:w="6000" w:type="dxa"/>
            <w:vAlign w:val="center"/>
          </w:tcPr>
          <w:p>
            <w:pPr>
              <w:jc w:val="center"/>
              <w:rPr>
                <w:color w:val="000000"/>
                <w:sz w:val="24"/>
              </w:rPr>
            </w:pPr>
            <w:r>
              <w:rPr>
                <w:color w:val="000000"/>
                <w:sz w:val="24"/>
              </w:rPr>
              <w:t>名称</w:t>
            </w:r>
          </w:p>
        </w:tc>
        <w:tc>
          <w:tcPr>
            <w:tcW w:w="2679" w:type="dxa"/>
            <w:vAlign w:val="center"/>
          </w:tcPr>
          <w:p>
            <w:pPr>
              <w:jc w:val="center"/>
              <w:rPr>
                <w:color w:val="000000"/>
                <w:sz w:val="24"/>
              </w:rPr>
            </w:pPr>
            <w:r>
              <w:rPr>
                <w:color w:val="000000"/>
                <w:sz w:val="24"/>
              </w:rPr>
              <w:t>品类优化清单对应型号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8" w:hRule="atLeast"/>
        </w:trPr>
        <w:tc>
          <w:tcPr>
            <w:tcW w:w="891" w:type="dxa"/>
            <w:vAlign w:val="center"/>
          </w:tcPr>
          <w:p>
            <w:pPr>
              <w:jc w:val="center"/>
              <w:rPr>
                <w:color w:val="000000"/>
                <w:sz w:val="24"/>
              </w:rPr>
            </w:pPr>
            <w:r>
              <w:rPr>
                <w:color w:val="000000"/>
                <w:sz w:val="24"/>
              </w:rPr>
              <w:t>1</w:t>
            </w:r>
          </w:p>
        </w:tc>
        <w:tc>
          <w:tcPr>
            <w:tcW w:w="6000" w:type="dxa"/>
            <w:vAlign w:val="center"/>
          </w:tcPr>
          <w:p>
            <w:pPr>
              <w:rPr>
                <w:color w:val="000000"/>
                <w:sz w:val="24"/>
              </w:rPr>
            </w:pPr>
            <w:r>
              <w:rPr>
                <w:rFonts w:hint="eastAsia"/>
                <w:color w:val="000000"/>
                <w:sz w:val="24"/>
                <w:lang w:val="en-US" w:eastAsia="zh-CN"/>
              </w:rPr>
              <w:t>营销实训设备</w:t>
            </w:r>
            <w:r>
              <w:rPr>
                <w:color w:val="000000"/>
                <w:sz w:val="24"/>
              </w:rPr>
              <w:t>技术规范书（</w:t>
            </w:r>
            <w:r>
              <w:rPr>
                <w:rFonts w:hint="eastAsia"/>
                <w:color w:val="000000"/>
                <w:sz w:val="24"/>
              </w:rPr>
              <w:t>通用</w:t>
            </w:r>
            <w:r>
              <w:rPr>
                <w:color w:val="000000"/>
                <w:sz w:val="24"/>
              </w:rPr>
              <w:t>部分）</w:t>
            </w:r>
          </w:p>
        </w:tc>
        <w:tc>
          <w:tcPr>
            <w:tcW w:w="2679" w:type="dxa"/>
            <w:vAlign w:val="center"/>
          </w:tcPr>
          <w:p>
            <w:pPr>
              <w:jc w:val="center"/>
              <w:rPr>
                <w:color w:val="000000"/>
                <w:sz w:val="24"/>
              </w:rPr>
            </w:pPr>
          </w:p>
        </w:tc>
      </w:tr>
    </w:tbl>
    <w:p>
      <w:pPr>
        <w:spacing w:line="360" w:lineRule="auto"/>
        <w:jc w:val="center"/>
        <w:rPr>
          <w:rFonts w:eastAsia="仿宋_GB2312"/>
          <w:color w:val="000000"/>
        </w:rPr>
      </w:pPr>
    </w:p>
    <w:p>
      <w:pPr>
        <w:sectPr>
          <w:headerReference r:id="rId5" w:type="default"/>
          <w:pgSz w:w="11906" w:h="16838"/>
          <w:pgMar w:top="1440" w:right="1800" w:bottom="1440" w:left="1800" w:header="851" w:footer="992" w:gutter="0"/>
          <w:cols w:space="425" w:num="1"/>
          <w:docGrid w:type="lines" w:linePitch="312" w:charSpace="0"/>
        </w:sectPr>
      </w:pPr>
    </w:p>
    <w:p>
      <w:pPr>
        <w:pStyle w:val="28"/>
        <w:adjustRightInd w:val="0"/>
        <w:snapToGrid w:val="0"/>
        <w:spacing w:line="360" w:lineRule="auto"/>
        <w:ind w:firstLine="0" w:firstLineChars="0"/>
        <w:jc w:val="center"/>
        <w:rPr>
          <w:rFonts w:hint="eastAsia" w:ascii="黑体" w:hAnsi="黑体" w:eastAsia="黑体" w:cs="Times New Roman"/>
          <w:color w:val="000000"/>
          <w:sz w:val="36"/>
          <w:szCs w:val="36"/>
        </w:rPr>
      </w:pPr>
      <w:r>
        <w:rPr>
          <w:rFonts w:hint="eastAsia" w:ascii="黑体" w:hAnsi="黑体" w:eastAsia="黑体" w:cs="Times New Roman"/>
          <w:color w:val="000000"/>
          <w:sz w:val="36"/>
          <w:szCs w:val="36"/>
        </w:rPr>
        <w:t>目录</w:t>
      </w:r>
    </w:p>
    <w:p>
      <w:pPr>
        <w:pStyle w:val="19"/>
        <w:tabs>
          <w:tab w:val="right" w:leader="dot" w:pos="8306"/>
        </w:tabs>
      </w:pPr>
      <w:r>
        <w:rPr>
          <w:rFonts w:hint="eastAsia" w:ascii="宋体" w:hAnsi="宋体"/>
          <w:b w:val="0"/>
          <w:i/>
          <w:color w:val="000000"/>
          <w:sz w:val="21"/>
          <w:szCs w:val="21"/>
        </w:rPr>
        <w:fldChar w:fldCharType="begin"/>
      </w:r>
      <w:r>
        <w:rPr>
          <w:rFonts w:hint="eastAsia" w:ascii="宋体" w:hAnsi="宋体"/>
          <w:b w:val="0"/>
          <w:i/>
          <w:color w:val="000000"/>
          <w:sz w:val="21"/>
          <w:szCs w:val="21"/>
        </w:rPr>
        <w:instrText xml:space="preserve"> TOC \o "1-2" \h \z \u </w:instrText>
      </w:r>
      <w:r>
        <w:rPr>
          <w:rFonts w:hint="eastAsia" w:ascii="宋体" w:hAnsi="宋体"/>
          <w:b w:val="0"/>
          <w:i/>
          <w:color w:val="000000"/>
          <w:sz w:val="21"/>
          <w:szCs w:val="21"/>
        </w:rPr>
        <w:fldChar w:fldCharType="separate"/>
      </w:r>
      <w:r>
        <w:rPr>
          <w:rFonts w:hint="eastAsia" w:ascii="宋体" w:hAnsi="宋体"/>
          <w:i/>
          <w:color w:val="000000"/>
          <w:szCs w:val="21"/>
        </w:rPr>
        <w:fldChar w:fldCharType="begin"/>
      </w:r>
      <w:r>
        <w:rPr>
          <w:rFonts w:hint="eastAsia" w:ascii="宋体" w:hAnsi="宋体"/>
          <w:i/>
          <w:szCs w:val="21"/>
        </w:rPr>
        <w:instrText xml:space="preserve"> HYPERLINK \l _Toc7714 </w:instrText>
      </w:r>
      <w:r>
        <w:rPr>
          <w:rFonts w:hint="eastAsia" w:ascii="宋体" w:hAnsi="宋体"/>
          <w:i/>
          <w:szCs w:val="21"/>
        </w:rPr>
        <w:fldChar w:fldCharType="separate"/>
      </w:r>
      <w:r>
        <w:rPr>
          <w:rFonts w:hint="default" w:ascii="Times New Roman" w:hAnsi="Times New Roman" w:eastAsia="宋体" w:cs="Times New Roman"/>
          <w:i w:val="0"/>
        </w:rPr>
        <w:t xml:space="preserve">1 </w:t>
      </w:r>
      <w:r>
        <w:tab/>
      </w:r>
      <w:r>
        <w:fldChar w:fldCharType="begin"/>
      </w:r>
      <w:r>
        <w:instrText xml:space="preserve"> PAGEREF _Toc7714 \h </w:instrText>
      </w:r>
      <w:r>
        <w:fldChar w:fldCharType="separate"/>
      </w:r>
      <w:r>
        <w:t>2</w:t>
      </w:r>
      <w:r>
        <w:fldChar w:fldCharType="end"/>
      </w:r>
      <w:r>
        <w:rPr>
          <w:rFonts w:hint="eastAsia" w:ascii="宋体" w:hAnsi="宋体"/>
          <w:i/>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_Toc18223 </w:instrText>
      </w:r>
      <w:r>
        <w:rPr>
          <w:rFonts w:hint="eastAsia" w:ascii="宋体" w:hAnsi="宋体"/>
          <w:szCs w:val="21"/>
        </w:rPr>
        <w:fldChar w:fldCharType="separate"/>
      </w:r>
      <w:r>
        <w:rPr>
          <w:rFonts w:hint="eastAsia" w:hAnsi="宋体"/>
          <w:szCs w:val="24"/>
        </w:rPr>
        <w:t>1总则</w:t>
      </w:r>
      <w:r>
        <w:tab/>
      </w:r>
      <w:r>
        <w:fldChar w:fldCharType="begin"/>
      </w:r>
      <w:r>
        <w:instrText xml:space="preserve"> PAGEREF _Toc18223 \h </w:instrText>
      </w:r>
      <w:r>
        <w:fldChar w:fldCharType="separate"/>
      </w:r>
      <w:r>
        <w:t>4</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_Toc11393 </w:instrText>
      </w:r>
      <w:r>
        <w:rPr>
          <w:rFonts w:hint="eastAsia" w:ascii="宋体" w:hAnsi="宋体"/>
          <w:szCs w:val="21"/>
        </w:rPr>
        <w:fldChar w:fldCharType="separate"/>
      </w:r>
      <w:r>
        <w:rPr>
          <w:rFonts w:hint="eastAsia" w:hAnsi="宋体"/>
          <w:szCs w:val="24"/>
          <w:highlight w:val="none"/>
        </w:rPr>
        <w:t>2</w:t>
      </w:r>
      <w:r>
        <w:rPr>
          <w:rFonts w:hint="eastAsia" w:hAnsi="宋体"/>
          <w:szCs w:val="24"/>
          <w:highlight w:val="none"/>
          <w:lang w:val="en-US" w:eastAsia="zh-CN"/>
        </w:rPr>
        <w:t>供货</w:t>
      </w:r>
      <w:r>
        <w:rPr>
          <w:rFonts w:hint="eastAsia" w:hAnsi="宋体"/>
          <w:szCs w:val="24"/>
          <w:highlight w:val="none"/>
        </w:rPr>
        <w:t>范围</w:t>
      </w:r>
      <w:r>
        <w:tab/>
      </w:r>
      <w:r>
        <w:fldChar w:fldCharType="begin"/>
      </w:r>
      <w:r>
        <w:instrText xml:space="preserve"> PAGEREF _Toc11393 \h </w:instrText>
      </w:r>
      <w:r>
        <w:fldChar w:fldCharType="separate"/>
      </w:r>
      <w:r>
        <w:t>5</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_Toc9806 </w:instrText>
      </w:r>
      <w:r>
        <w:rPr>
          <w:rFonts w:hint="eastAsia" w:ascii="宋体" w:hAnsi="宋体"/>
          <w:szCs w:val="21"/>
        </w:rPr>
        <w:fldChar w:fldCharType="separate"/>
      </w:r>
      <w:r>
        <w:rPr>
          <w:rFonts w:hint="eastAsia" w:hAnsi="宋体"/>
          <w:szCs w:val="24"/>
        </w:rPr>
        <w:t>2.1项目概况</w:t>
      </w:r>
      <w:r>
        <w:tab/>
      </w:r>
      <w:r>
        <w:fldChar w:fldCharType="begin"/>
      </w:r>
      <w:r>
        <w:instrText xml:space="preserve"> PAGEREF _Toc9806 \h </w:instrText>
      </w:r>
      <w:r>
        <w:fldChar w:fldCharType="separate"/>
      </w:r>
      <w:r>
        <w:t>5</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_Toc6664 </w:instrText>
      </w:r>
      <w:r>
        <w:rPr>
          <w:rFonts w:hint="eastAsia" w:ascii="宋体" w:hAnsi="宋体"/>
          <w:szCs w:val="21"/>
        </w:rPr>
        <w:fldChar w:fldCharType="separate"/>
      </w:r>
      <w:r>
        <w:rPr>
          <w:rFonts w:hint="eastAsia" w:hAnsi="宋体"/>
          <w:bCs w:val="0"/>
          <w:szCs w:val="22"/>
        </w:rPr>
        <w:t>2.2范围和界限</w:t>
      </w:r>
      <w:r>
        <w:tab/>
      </w:r>
      <w:r>
        <w:fldChar w:fldCharType="begin"/>
      </w:r>
      <w:r>
        <w:instrText xml:space="preserve"> PAGEREF _Toc6664 \h </w:instrText>
      </w:r>
      <w:r>
        <w:fldChar w:fldCharType="separate"/>
      </w:r>
      <w:r>
        <w:t>5</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_Toc16422 </w:instrText>
      </w:r>
      <w:r>
        <w:rPr>
          <w:rFonts w:hint="eastAsia" w:ascii="宋体" w:hAnsi="宋体"/>
          <w:szCs w:val="21"/>
        </w:rPr>
        <w:fldChar w:fldCharType="separate"/>
      </w:r>
      <w:r>
        <w:rPr>
          <w:rFonts w:hint="eastAsia" w:hAnsi="宋体"/>
          <w:szCs w:val="24"/>
        </w:rPr>
        <w:t>2.3服务范围</w:t>
      </w:r>
      <w:r>
        <w:tab/>
      </w:r>
      <w:r>
        <w:fldChar w:fldCharType="begin"/>
      </w:r>
      <w:r>
        <w:instrText xml:space="preserve"> PAGEREF _Toc16422 \h </w:instrText>
      </w:r>
      <w:r>
        <w:fldChar w:fldCharType="separate"/>
      </w:r>
      <w:r>
        <w:t>5</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_Toc7130 </w:instrText>
      </w:r>
      <w:r>
        <w:rPr>
          <w:rFonts w:hint="eastAsia" w:ascii="宋体" w:hAnsi="宋体"/>
          <w:szCs w:val="21"/>
        </w:rPr>
        <w:fldChar w:fldCharType="separate"/>
      </w:r>
      <w:r>
        <w:rPr>
          <w:rFonts w:hint="eastAsia" w:hAnsi="宋体"/>
          <w:szCs w:val="24"/>
        </w:rPr>
        <w:t>3应遵循的主要标准</w:t>
      </w:r>
      <w:r>
        <w:tab/>
      </w:r>
      <w:r>
        <w:fldChar w:fldCharType="begin"/>
      </w:r>
      <w:r>
        <w:instrText xml:space="preserve"> PAGEREF _Toc7130 \h </w:instrText>
      </w:r>
      <w:r>
        <w:fldChar w:fldCharType="separate"/>
      </w:r>
      <w:r>
        <w:t>7</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_Toc26824 </w:instrText>
      </w:r>
      <w:r>
        <w:rPr>
          <w:rFonts w:hint="eastAsia" w:ascii="宋体" w:hAnsi="宋体"/>
          <w:szCs w:val="21"/>
        </w:rPr>
        <w:fldChar w:fldCharType="separate"/>
      </w:r>
      <w:r>
        <w:rPr>
          <w:rFonts w:hint="eastAsia" w:hAnsi="宋体"/>
          <w:szCs w:val="24"/>
        </w:rPr>
        <w:t>4使用环境要求</w:t>
      </w:r>
      <w:r>
        <w:tab/>
      </w:r>
      <w:r>
        <w:fldChar w:fldCharType="begin"/>
      </w:r>
      <w:r>
        <w:instrText xml:space="preserve"> PAGEREF _Toc26824 \h </w:instrText>
      </w:r>
      <w:r>
        <w:fldChar w:fldCharType="separate"/>
      </w:r>
      <w:r>
        <w:t>8</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_Toc17233 </w:instrText>
      </w:r>
      <w:r>
        <w:rPr>
          <w:rFonts w:hint="eastAsia" w:ascii="宋体" w:hAnsi="宋体"/>
          <w:szCs w:val="21"/>
        </w:rPr>
        <w:fldChar w:fldCharType="separate"/>
      </w:r>
      <w:r>
        <w:rPr>
          <w:rFonts w:hint="eastAsia" w:hAnsi="宋体"/>
          <w:szCs w:val="24"/>
        </w:rPr>
        <w:t>5技术要求</w:t>
      </w:r>
      <w:r>
        <w:tab/>
      </w:r>
      <w:r>
        <w:fldChar w:fldCharType="begin"/>
      </w:r>
      <w:r>
        <w:instrText xml:space="preserve"> PAGEREF _Toc17233 \h </w:instrText>
      </w:r>
      <w:r>
        <w:fldChar w:fldCharType="separate"/>
      </w:r>
      <w:r>
        <w:t>9</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_Toc2924 </w:instrText>
      </w:r>
      <w:r>
        <w:rPr>
          <w:rFonts w:hint="eastAsia" w:ascii="宋体" w:hAnsi="宋体"/>
          <w:szCs w:val="21"/>
        </w:rPr>
        <w:fldChar w:fldCharType="separate"/>
      </w:r>
      <w:r>
        <w:rPr>
          <w:rFonts w:hint="eastAsia" w:hAnsi="宋体"/>
          <w:szCs w:val="24"/>
          <w:lang w:val="en-US" w:eastAsia="zh-CN"/>
        </w:rPr>
        <w:t>5.1技术参数</w:t>
      </w:r>
      <w:r>
        <w:tab/>
      </w:r>
      <w:r>
        <w:fldChar w:fldCharType="begin"/>
      </w:r>
      <w:r>
        <w:instrText xml:space="preserve"> PAGEREF _Toc2924 \h </w:instrText>
      </w:r>
      <w:r>
        <w:fldChar w:fldCharType="separate"/>
      </w:r>
      <w:r>
        <w:t>9</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_Toc6375 </w:instrText>
      </w:r>
      <w:r>
        <w:rPr>
          <w:rFonts w:hint="eastAsia" w:ascii="宋体" w:hAnsi="宋体"/>
          <w:szCs w:val="21"/>
        </w:rPr>
        <w:fldChar w:fldCharType="separate"/>
      </w:r>
      <w:r>
        <w:rPr>
          <w:rFonts w:hint="eastAsia" w:hAnsi="宋体"/>
          <w:szCs w:val="24"/>
          <w:highlight w:val="none"/>
          <w:lang w:val="en-US" w:eastAsia="zh-CN"/>
        </w:rPr>
        <w:t>5.2性能要求</w:t>
      </w:r>
      <w:r>
        <w:tab/>
      </w:r>
      <w:r>
        <w:fldChar w:fldCharType="begin"/>
      </w:r>
      <w:r>
        <w:instrText xml:space="preserve"> PAGEREF _Toc6375 \h </w:instrText>
      </w:r>
      <w:r>
        <w:fldChar w:fldCharType="separate"/>
      </w:r>
      <w:r>
        <w:t>19</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_Toc14400 </w:instrText>
      </w:r>
      <w:r>
        <w:rPr>
          <w:rFonts w:hint="eastAsia" w:ascii="宋体" w:hAnsi="宋体"/>
          <w:szCs w:val="21"/>
        </w:rPr>
        <w:fldChar w:fldCharType="separate"/>
      </w:r>
      <w:r>
        <w:rPr>
          <w:rFonts w:hint="eastAsia" w:hAnsi="宋体"/>
          <w:szCs w:val="24"/>
          <w:lang w:val="en-US" w:eastAsia="zh-CN"/>
        </w:rPr>
        <w:t>5.3功能要求</w:t>
      </w:r>
      <w:r>
        <w:tab/>
      </w:r>
      <w:r>
        <w:fldChar w:fldCharType="begin"/>
      </w:r>
      <w:r>
        <w:instrText xml:space="preserve"> PAGEREF _Toc14400 \h </w:instrText>
      </w:r>
      <w:r>
        <w:fldChar w:fldCharType="separate"/>
      </w:r>
      <w:r>
        <w:t>20</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_Toc22344 </w:instrText>
      </w:r>
      <w:r>
        <w:rPr>
          <w:rFonts w:hint="eastAsia" w:ascii="宋体" w:hAnsi="宋体"/>
          <w:szCs w:val="21"/>
        </w:rPr>
        <w:fldChar w:fldCharType="separate"/>
      </w:r>
      <w:r>
        <w:rPr>
          <w:rFonts w:hint="eastAsia" w:hAnsi="宋体"/>
          <w:szCs w:val="24"/>
          <w:lang w:val="en-US" w:eastAsia="zh-CN"/>
        </w:rPr>
        <w:t>6调试与验收</w:t>
      </w:r>
      <w:r>
        <w:tab/>
      </w:r>
      <w:r>
        <w:fldChar w:fldCharType="begin"/>
      </w:r>
      <w:r>
        <w:instrText xml:space="preserve"> PAGEREF _Toc22344 \h </w:instrText>
      </w:r>
      <w:r>
        <w:fldChar w:fldCharType="separate"/>
      </w:r>
      <w:r>
        <w:t>39</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_Toc17837 </w:instrText>
      </w:r>
      <w:r>
        <w:rPr>
          <w:rFonts w:hint="eastAsia" w:ascii="宋体" w:hAnsi="宋体"/>
          <w:szCs w:val="21"/>
        </w:rPr>
        <w:fldChar w:fldCharType="separate"/>
      </w:r>
      <w:r>
        <w:rPr>
          <w:rFonts w:hint="eastAsia" w:hAnsi="宋体"/>
          <w:szCs w:val="24"/>
          <w:lang w:val="en-US" w:eastAsia="zh-CN"/>
        </w:rPr>
        <w:t>6.1 现场调试</w:t>
      </w:r>
      <w:r>
        <w:tab/>
      </w:r>
      <w:r>
        <w:fldChar w:fldCharType="begin"/>
      </w:r>
      <w:r>
        <w:instrText xml:space="preserve"> PAGEREF _Toc17837 \h </w:instrText>
      </w:r>
      <w:r>
        <w:fldChar w:fldCharType="separate"/>
      </w:r>
      <w:r>
        <w:t>39</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_Toc4085 </w:instrText>
      </w:r>
      <w:r>
        <w:rPr>
          <w:rFonts w:hint="eastAsia" w:ascii="宋体" w:hAnsi="宋体"/>
          <w:szCs w:val="21"/>
        </w:rPr>
        <w:fldChar w:fldCharType="separate"/>
      </w:r>
      <w:r>
        <w:rPr>
          <w:rFonts w:hint="eastAsia" w:hAnsi="宋体"/>
          <w:szCs w:val="24"/>
          <w:lang w:val="en-US" w:eastAsia="zh-CN"/>
        </w:rPr>
        <w:t>6.2 现场验收</w:t>
      </w:r>
      <w:r>
        <w:tab/>
      </w:r>
      <w:r>
        <w:fldChar w:fldCharType="begin"/>
      </w:r>
      <w:r>
        <w:instrText xml:space="preserve"> PAGEREF _Toc4085 \h </w:instrText>
      </w:r>
      <w:r>
        <w:fldChar w:fldCharType="separate"/>
      </w:r>
      <w:r>
        <w:t>39</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_Toc18661 </w:instrText>
      </w:r>
      <w:r>
        <w:rPr>
          <w:rFonts w:hint="eastAsia" w:ascii="宋体" w:hAnsi="宋体"/>
          <w:szCs w:val="21"/>
        </w:rPr>
        <w:fldChar w:fldCharType="separate"/>
      </w:r>
      <w:r>
        <w:rPr>
          <w:rFonts w:hint="eastAsia" w:hAnsi="宋体"/>
          <w:szCs w:val="24"/>
          <w:lang w:val="en-US" w:eastAsia="zh-CN"/>
        </w:rPr>
        <w:t>7技术培训要求</w:t>
      </w:r>
      <w:r>
        <w:tab/>
      </w:r>
      <w:r>
        <w:fldChar w:fldCharType="begin"/>
      </w:r>
      <w:r>
        <w:instrText xml:space="preserve"> PAGEREF _Toc18661 \h </w:instrText>
      </w:r>
      <w:r>
        <w:fldChar w:fldCharType="separate"/>
      </w:r>
      <w:r>
        <w:t>40</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_Toc3631 </w:instrText>
      </w:r>
      <w:r>
        <w:rPr>
          <w:rFonts w:hint="eastAsia" w:ascii="宋体" w:hAnsi="宋体"/>
          <w:szCs w:val="21"/>
        </w:rPr>
        <w:fldChar w:fldCharType="separate"/>
      </w:r>
      <w:r>
        <w:rPr>
          <w:rFonts w:hint="eastAsia" w:hAnsi="宋体"/>
          <w:szCs w:val="24"/>
          <w:lang w:val="en-US" w:eastAsia="zh-CN"/>
        </w:rPr>
        <w:t>8</w:t>
      </w:r>
      <w:r>
        <w:rPr>
          <w:rFonts w:hint="eastAsia" w:hAnsi="宋体"/>
          <w:szCs w:val="24"/>
        </w:rPr>
        <w:t>技术文件要求</w:t>
      </w:r>
      <w:r>
        <w:tab/>
      </w:r>
      <w:r>
        <w:fldChar w:fldCharType="begin"/>
      </w:r>
      <w:r>
        <w:instrText xml:space="preserve"> PAGEREF _Toc3631 \h </w:instrText>
      </w:r>
      <w:r>
        <w:fldChar w:fldCharType="separate"/>
      </w:r>
      <w:r>
        <w:t>40</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_Toc1968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监造、包装、运输、安装及质量保证</w:t>
      </w:r>
      <w:r>
        <w:tab/>
      </w:r>
      <w:r>
        <w:fldChar w:fldCharType="begin"/>
      </w:r>
      <w:r>
        <w:instrText xml:space="preserve"> PAGEREF _Toc1968 \h </w:instrText>
      </w:r>
      <w:r>
        <w:fldChar w:fldCharType="separate"/>
      </w:r>
      <w:r>
        <w:t>40</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_Toc12798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.1监造</w:t>
      </w:r>
      <w:r>
        <w:tab/>
      </w:r>
      <w:r>
        <w:fldChar w:fldCharType="begin"/>
      </w:r>
      <w:r>
        <w:instrText xml:space="preserve"> PAGEREF _Toc12798 \h </w:instrText>
      </w:r>
      <w:r>
        <w:fldChar w:fldCharType="separate"/>
      </w:r>
      <w:r>
        <w:t>40</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_Toc21971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.2包装</w:t>
      </w:r>
      <w:r>
        <w:tab/>
      </w:r>
      <w:r>
        <w:fldChar w:fldCharType="begin"/>
      </w:r>
      <w:r>
        <w:instrText xml:space="preserve"> PAGEREF _Toc21971 \h </w:instrText>
      </w:r>
      <w:r>
        <w:fldChar w:fldCharType="separate"/>
      </w:r>
      <w:r>
        <w:t>40</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_Toc3207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.3运输</w:t>
      </w:r>
      <w:r>
        <w:tab/>
      </w:r>
      <w:r>
        <w:fldChar w:fldCharType="begin"/>
      </w:r>
      <w:r>
        <w:instrText xml:space="preserve"> PAGEREF _Toc3207 \h </w:instrText>
      </w:r>
      <w:r>
        <w:fldChar w:fldCharType="separate"/>
      </w:r>
      <w:r>
        <w:t>41</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_Toc8841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.4安装使用指导</w:t>
      </w:r>
      <w:r>
        <w:tab/>
      </w:r>
      <w:r>
        <w:fldChar w:fldCharType="begin"/>
      </w:r>
      <w:r>
        <w:instrText xml:space="preserve"> PAGEREF _Toc8841 \h </w:instrText>
      </w:r>
      <w:r>
        <w:fldChar w:fldCharType="separate"/>
      </w:r>
      <w:r>
        <w:t>41</w:t>
      </w:r>
      <w:r>
        <w:fldChar w:fldCharType="end"/>
      </w:r>
      <w:r>
        <w:rPr>
          <w:rFonts w:hint="eastAsia" w:ascii="宋体" w:hAnsi="宋体"/>
          <w:color w:val="000000"/>
          <w:szCs w:val="21"/>
        </w:rPr>
        <w:fldChar w:fldCharType="end"/>
      </w:r>
    </w:p>
    <w:p>
      <w:pPr>
        <w:pStyle w:val="20"/>
        <w:tabs>
          <w:tab w:val="right" w:leader="dot" w:pos="8306"/>
          <w:tab w:val="clear" w:pos="900"/>
          <w:tab w:val="clear" w:pos="8296"/>
        </w:tabs>
      </w:pPr>
      <w:r>
        <w:rPr>
          <w:rFonts w:hint="eastAsia" w:ascii="宋体" w:hAnsi="宋体"/>
          <w:color w:val="000000"/>
          <w:szCs w:val="21"/>
        </w:rPr>
        <w:fldChar w:fldCharType="begin"/>
      </w:r>
      <w:r>
        <w:rPr>
          <w:rFonts w:hint="eastAsia" w:ascii="宋体" w:hAnsi="宋体"/>
          <w:szCs w:val="21"/>
        </w:rPr>
        <w:instrText xml:space="preserve"> HYPERLINK \l _Toc4118 </w:instrText>
      </w:r>
      <w:r>
        <w:rPr>
          <w:rFonts w:hint="eastAsia" w:ascii="宋体" w:hAnsi="宋体"/>
          <w:szCs w:val="21"/>
        </w:rPr>
        <w:fldChar w:fldCharType="separate"/>
      </w:r>
      <w:r>
        <w:rPr>
          <w:rFonts w:hint="eastAsia" w:hAnsi="宋体"/>
          <w:szCs w:val="24"/>
          <w:lang w:val="en-US" w:eastAsia="zh-CN"/>
        </w:rPr>
        <w:t>9</w:t>
      </w:r>
      <w:r>
        <w:rPr>
          <w:rFonts w:hint="eastAsia" w:hAnsi="宋体"/>
          <w:szCs w:val="24"/>
        </w:rPr>
        <w:t>.5质量保证</w:t>
      </w:r>
      <w:r>
        <w:tab/>
      </w:r>
      <w:r>
        <w:fldChar w:fldCharType="begin"/>
      </w:r>
      <w:r>
        <w:instrText xml:space="preserve"> PAGEREF _Toc4118 \h </w:instrText>
      </w:r>
      <w:r>
        <w:fldChar w:fldCharType="separate"/>
      </w:r>
      <w:r>
        <w:t>41</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_Toc24292 </w:instrText>
      </w:r>
      <w:r>
        <w:rPr>
          <w:rFonts w:hint="eastAsia" w:ascii="宋体" w:hAnsi="宋体"/>
          <w:szCs w:val="21"/>
        </w:rPr>
        <w:fldChar w:fldCharType="separate"/>
      </w:r>
      <w:r>
        <w:rPr>
          <w:rFonts w:hint="eastAsia" w:hAnsi="宋体"/>
          <w:szCs w:val="24"/>
          <w:lang w:val="en-US" w:eastAsia="zh-CN"/>
        </w:rPr>
        <w:t>10</w:t>
      </w:r>
      <w:r>
        <w:rPr>
          <w:rFonts w:hint="eastAsia" w:hAnsi="宋体"/>
          <w:szCs w:val="24"/>
        </w:rPr>
        <w:t>技术差异表</w:t>
      </w:r>
      <w:r>
        <w:tab/>
      </w:r>
      <w:r>
        <w:fldChar w:fldCharType="begin"/>
      </w:r>
      <w:r>
        <w:instrText xml:space="preserve"> PAGEREF _Toc24292 \h </w:instrText>
      </w:r>
      <w:r>
        <w:fldChar w:fldCharType="separate"/>
      </w:r>
      <w:r>
        <w:t>42</w:t>
      </w:r>
      <w:r>
        <w:fldChar w:fldCharType="end"/>
      </w:r>
      <w:r>
        <w:rPr>
          <w:rFonts w:hint="eastAsia" w:ascii="宋体" w:hAnsi="宋体"/>
          <w:color w:val="000000"/>
          <w:szCs w:val="21"/>
        </w:rPr>
        <w:fldChar w:fldCharType="end"/>
      </w:r>
    </w:p>
    <w:p>
      <w:pPr>
        <w:pStyle w:val="19"/>
        <w:tabs>
          <w:tab w:val="right" w:leader="dot" w:pos="8306"/>
        </w:tabs>
      </w:pPr>
      <w:r>
        <w:rPr>
          <w:rFonts w:hint="eastAsia" w:ascii="宋体" w:hAnsi="宋体"/>
          <w:color w:val="000000"/>
          <w:szCs w:val="21"/>
        </w:rPr>
        <w:fldChar w:fldCharType="begin"/>
      </w:r>
      <w:r>
        <w:rPr>
          <w:rFonts w:hint="eastAsia" w:ascii="宋体" w:hAnsi="宋体"/>
          <w:szCs w:val="21"/>
        </w:rPr>
        <w:instrText xml:space="preserve"> HYPERLINK \l _Toc31115 </w:instrText>
      </w:r>
      <w:r>
        <w:rPr>
          <w:rFonts w:hint="eastAsia" w:ascii="宋体" w:hAnsi="宋体"/>
          <w:szCs w:val="21"/>
        </w:rPr>
        <w:fldChar w:fldCharType="separate"/>
      </w:r>
      <w:r>
        <w:rPr>
          <w:rFonts w:hint="eastAsia" w:hAnsi="宋体"/>
          <w:szCs w:val="24"/>
        </w:rPr>
        <w:t>1</w:t>
      </w:r>
      <w:r>
        <w:rPr>
          <w:rFonts w:hint="eastAsia" w:hAnsi="宋体"/>
          <w:szCs w:val="24"/>
          <w:lang w:val="en-US" w:eastAsia="zh-CN"/>
        </w:rPr>
        <w:t>1</w:t>
      </w:r>
      <w:r>
        <w:rPr>
          <w:rFonts w:hint="eastAsia" w:hAnsi="宋体"/>
          <w:szCs w:val="24"/>
        </w:rPr>
        <w:t>投标方需说明的其他问题</w:t>
      </w:r>
      <w:r>
        <w:tab/>
      </w:r>
      <w:r>
        <w:fldChar w:fldCharType="begin"/>
      </w:r>
      <w:r>
        <w:instrText xml:space="preserve"> PAGEREF _Toc31115 \h </w:instrText>
      </w:r>
      <w:r>
        <w:fldChar w:fldCharType="separate"/>
      </w:r>
      <w:r>
        <w:t>43</w:t>
      </w:r>
      <w:r>
        <w:fldChar w:fldCharType="end"/>
      </w:r>
      <w:r>
        <w:rPr>
          <w:rFonts w:hint="eastAsia" w:ascii="宋体" w:hAnsi="宋体"/>
          <w:color w:val="000000"/>
          <w:szCs w:val="21"/>
        </w:rPr>
        <w:fldChar w:fldCharType="end"/>
      </w:r>
    </w:p>
    <w:p>
      <w:pPr>
        <w:rPr>
          <w:rFonts w:hint="eastAsia" w:ascii="宋体" w:hAnsi="宋体"/>
          <w:color w:val="000000"/>
          <w:szCs w:val="21"/>
        </w:rPr>
      </w:pPr>
      <w:r>
        <w:rPr>
          <w:rFonts w:hint="eastAsia" w:ascii="宋体" w:hAnsi="宋体"/>
          <w:color w:val="000000"/>
          <w:szCs w:val="21"/>
        </w:rPr>
        <w:fldChar w:fldCharType="end"/>
      </w:r>
    </w:p>
    <w:p>
      <w:pPr>
        <w:pStyle w:val="4"/>
        <w:numPr>
          <w:ilvl w:val="0"/>
          <w:numId w:val="0"/>
        </w:numPr>
        <w:snapToGrid/>
        <w:spacing w:before="312" w:line="480" w:lineRule="auto"/>
        <w:rPr>
          <w:rFonts w:hint="eastAsia" w:hAnsi="宋体"/>
          <w:color w:val="000000"/>
          <w:sz w:val="24"/>
          <w:szCs w:val="24"/>
        </w:rPr>
      </w:pPr>
      <w:bookmarkStart w:id="1" w:name="_Toc112756677"/>
      <w:bookmarkStart w:id="2" w:name="_Toc18223"/>
      <w:r>
        <w:rPr>
          <w:rFonts w:hint="eastAsia" w:hAnsi="宋体"/>
          <w:color w:val="000000"/>
          <w:sz w:val="24"/>
          <w:szCs w:val="24"/>
        </w:rPr>
        <w:t>1</w:t>
      </w:r>
      <w:bookmarkEnd w:id="1"/>
      <w:r>
        <w:rPr>
          <w:rFonts w:hint="eastAsia" w:hAnsi="宋体"/>
          <w:color w:val="000000"/>
          <w:sz w:val="24"/>
          <w:szCs w:val="24"/>
        </w:rPr>
        <w:t>总则</w:t>
      </w:r>
      <w:bookmarkEnd w:id="2"/>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1.1本招标技术文件适用于深圳供电局有限公司“一所一场”采购的</w:t>
      </w:r>
      <w:r>
        <w:rPr>
          <w:rFonts w:hint="eastAsia" w:ascii="宋体" w:hAnsi="宋体" w:eastAsia="宋体" w:cs="Times New Roman"/>
          <w:color w:val="000000"/>
          <w:sz w:val="24"/>
          <w:szCs w:val="24"/>
          <w:u w:val="single"/>
        </w:rPr>
        <w:t>营销实训设备</w:t>
      </w:r>
      <w:r>
        <w:rPr>
          <w:rFonts w:hint="eastAsia" w:ascii="宋体" w:hAnsi="宋体" w:eastAsia="宋体" w:cs="Times New Roman"/>
          <w:color w:val="000000"/>
          <w:sz w:val="24"/>
          <w:szCs w:val="24"/>
        </w:rPr>
        <w:t>，对该设备本体及附属设备的功能设计、结构、性能、安装和试验等技术要求作出了规定。</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1.2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1.3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1.4本招标技术文件所使用的标准如遇与投标方所执行的标准不一致时，按较高标准执行。</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1.5本招标技术文件经招标、投标双方确认后作为订货合同的技术附件，与合同正文具有同等的法律效力。若本标书涉及有关商务方面内容，如与招标文件的商务部分有矛盾时，以商务部分为准。</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1.6本招标技术文件未尽事宜，由招标、投标双方协商确定。</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1.7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1.8投标方应在应标技术部分按本招标技术文件的要求如实详细的填写应标设备的标准配置表，并在应标商务部分按此标准配置进行报价，如发现二者有矛盾之处，将对评标工作有不同程度的影响。</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1.9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28"/>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1.10标注“★”的条款为关键条款，投标方应出具相应技术资料证实其设备可以达到该参数要求，作为评标时打分的重点参考，否则做为废标处理。</w:t>
      </w:r>
    </w:p>
    <w:p>
      <w:pPr>
        <w:pStyle w:val="4"/>
        <w:numPr>
          <w:ilvl w:val="0"/>
          <w:numId w:val="0"/>
        </w:numPr>
        <w:snapToGrid/>
        <w:spacing w:before="312" w:line="480" w:lineRule="auto"/>
        <w:rPr>
          <w:rFonts w:hint="eastAsia" w:hAnsi="宋体"/>
          <w:color w:val="000000"/>
          <w:sz w:val="24"/>
          <w:szCs w:val="24"/>
          <w:highlight w:val="none"/>
        </w:rPr>
      </w:pPr>
      <w:bookmarkStart w:id="3" w:name="_Toc11393"/>
      <w:r>
        <w:rPr>
          <w:rFonts w:hint="eastAsia" w:hAnsi="宋体"/>
          <w:color w:val="000000"/>
          <w:sz w:val="24"/>
          <w:szCs w:val="24"/>
          <w:highlight w:val="none"/>
        </w:rPr>
        <w:t>2</w:t>
      </w:r>
      <w:r>
        <w:rPr>
          <w:rFonts w:hint="eastAsia" w:hAnsi="宋体"/>
          <w:color w:val="000000"/>
          <w:sz w:val="24"/>
          <w:szCs w:val="24"/>
          <w:highlight w:val="none"/>
          <w:lang w:val="en-US" w:eastAsia="zh-CN"/>
        </w:rPr>
        <w:t>供货</w:t>
      </w:r>
      <w:r>
        <w:rPr>
          <w:rFonts w:hint="eastAsia" w:hAnsi="宋体"/>
          <w:color w:val="000000"/>
          <w:sz w:val="24"/>
          <w:szCs w:val="24"/>
          <w:highlight w:val="none"/>
        </w:rPr>
        <w:t>范围</w:t>
      </w:r>
      <w:bookmarkEnd w:id="3"/>
    </w:p>
    <w:p>
      <w:pPr>
        <w:pStyle w:val="5"/>
        <w:numPr>
          <w:ilvl w:val="0"/>
          <w:numId w:val="0"/>
        </w:numPr>
        <w:rPr>
          <w:rFonts w:hint="eastAsia" w:hAnsi="宋体"/>
          <w:color w:val="000000"/>
          <w:sz w:val="24"/>
          <w:szCs w:val="24"/>
        </w:rPr>
      </w:pPr>
      <w:bookmarkStart w:id="4" w:name="_Toc290652071"/>
      <w:bookmarkStart w:id="5" w:name="_Toc9806"/>
      <w:r>
        <w:rPr>
          <w:rFonts w:hint="eastAsia" w:hAnsi="宋体"/>
          <w:color w:val="000000"/>
          <w:sz w:val="24"/>
          <w:szCs w:val="24"/>
        </w:rPr>
        <w:t>2.1项目概况</w:t>
      </w:r>
      <w:bookmarkEnd w:id="4"/>
      <w:bookmarkEnd w:id="5"/>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本标书采购的设备适用的工程概况见表2.1：工程概况一览表。</w:t>
      </w:r>
    </w:p>
    <w:p>
      <w:pPr>
        <w:pStyle w:val="29"/>
        <w:adjustRightInd w:val="0"/>
        <w:snapToGrid w:val="0"/>
        <w:spacing w:line="360" w:lineRule="auto"/>
        <w:ind w:firstLine="0" w:firstLineChars="0"/>
        <w:jc w:val="center"/>
        <w:rPr>
          <w:rFonts w:hint="eastAsia" w:hAnsi="宋体"/>
          <w:color w:val="000000"/>
          <w:sz w:val="24"/>
          <w:szCs w:val="24"/>
        </w:rPr>
      </w:pPr>
      <w:r>
        <w:rPr>
          <w:rFonts w:hint="eastAsia" w:hAnsi="宋体"/>
          <w:color w:val="000000"/>
          <w:sz w:val="24"/>
          <w:szCs w:val="24"/>
        </w:rPr>
        <w:t>表2.1工程概况一览表（项目单位填写）</w:t>
      </w:r>
    </w:p>
    <w:tbl>
      <w:tblPr>
        <w:tblStyle w:val="23"/>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tcBorders>
              <w:top w:val="single" w:color="auto" w:sz="12" w:space="0"/>
              <w:left w:val="single" w:color="auto" w:sz="12" w:space="0"/>
              <w:bottom w:val="single" w:color="auto" w:sz="6" w:space="0"/>
              <w:right w:val="single" w:color="auto" w:sz="6" w:space="0"/>
            </w:tcBorders>
            <w:vAlign w:val="center"/>
          </w:tcPr>
          <w:p>
            <w:pPr>
              <w:jc w:val="center"/>
              <w:rPr>
                <w:rFonts w:hint="eastAsia" w:ascii="宋体" w:hAnsi="宋体"/>
                <w:color w:val="000000"/>
                <w:sz w:val="24"/>
                <w:szCs w:val="24"/>
              </w:rPr>
            </w:pPr>
            <w:r>
              <w:rPr>
                <w:rFonts w:hint="eastAsia" w:ascii="宋体" w:hAnsi="宋体"/>
                <w:color w:val="000000"/>
                <w:sz w:val="24"/>
              </w:rPr>
              <w:t>序号</w:t>
            </w:r>
          </w:p>
        </w:tc>
        <w:tc>
          <w:tcPr>
            <w:tcW w:w="2509" w:type="dxa"/>
            <w:tcBorders>
              <w:top w:val="single" w:color="auto" w:sz="12" w:space="0"/>
              <w:left w:val="single" w:color="auto" w:sz="6" w:space="0"/>
              <w:bottom w:val="single" w:color="auto" w:sz="6" w:space="0"/>
              <w:right w:val="single" w:color="auto" w:sz="6" w:space="0"/>
            </w:tcBorders>
            <w:vAlign w:val="center"/>
          </w:tcPr>
          <w:p>
            <w:pPr>
              <w:jc w:val="center"/>
              <w:rPr>
                <w:rFonts w:hint="eastAsia" w:ascii="宋体" w:hAnsi="宋体"/>
                <w:color w:val="000000"/>
                <w:sz w:val="24"/>
              </w:rPr>
            </w:pPr>
            <w:r>
              <w:rPr>
                <w:rFonts w:hint="eastAsia" w:ascii="宋体" w:hAnsi="宋体"/>
                <w:color w:val="000000"/>
                <w:sz w:val="24"/>
              </w:rPr>
              <w:t>名称</w:t>
            </w:r>
          </w:p>
        </w:tc>
        <w:tc>
          <w:tcPr>
            <w:tcW w:w="5111" w:type="dxa"/>
            <w:tcBorders>
              <w:top w:val="single" w:color="auto" w:sz="12" w:space="0"/>
              <w:left w:val="single" w:color="auto" w:sz="6" w:space="0"/>
              <w:bottom w:val="single" w:color="auto" w:sz="6" w:space="0"/>
              <w:right w:val="single" w:color="auto" w:sz="12" w:space="0"/>
            </w:tcBorders>
            <w:vAlign w:val="center"/>
          </w:tcPr>
          <w:p>
            <w:pPr>
              <w:jc w:val="center"/>
              <w:rPr>
                <w:rFonts w:hint="eastAsia" w:ascii="宋体" w:hAnsi="宋体"/>
                <w:color w:val="000000"/>
                <w:sz w:val="24"/>
              </w:rPr>
            </w:pPr>
            <w:r>
              <w:rPr>
                <w:rFonts w:hint="eastAsia" w:ascii="宋体" w:hAnsi="宋体"/>
                <w:color w:val="000000"/>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pPr>
              <w:jc w:val="center"/>
              <w:rPr>
                <w:rFonts w:hint="eastAsia" w:ascii="宋体" w:hAnsi="宋体"/>
                <w:color w:val="000000"/>
                <w:sz w:val="24"/>
              </w:rPr>
            </w:pPr>
            <w:r>
              <w:rPr>
                <w:rFonts w:hint="eastAsia" w:ascii="宋体" w:hAnsi="宋体"/>
                <w:color w:val="000000"/>
                <w:sz w:val="24"/>
              </w:rPr>
              <w:t>1</w:t>
            </w:r>
          </w:p>
        </w:tc>
        <w:tc>
          <w:tcPr>
            <w:tcW w:w="2509" w:type="dxa"/>
            <w:tcBorders>
              <w:top w:val="single" w:color="auto" w:sz="6" w:space="0"/>
              <w:left w:val="single" w:color="auto" w:sz="6" w:space="0"/>
              <w:bottom w:val="single" w:color="auto" w:sz="6" w:space="0"/>
              <w:right w:val="single" w:color="auto" w:sz="6" w:space="0"/>
            </w:tcBorders>
            <w:vAlign w:val="center"/>
          </w:tcPr>
          <w:p>
            <w:pPr>
              <w:rPr>
                <w:rFonts w:hint="eastAsia" w:ascii="宋体" w:hAnsi="宋体"/>
                <w:color w:val="000000"/>
                <w:sz w:val="24"/>
              </w:rPr>
            </w:pPr>
            <w:r>
              <w:rPr>
                <w:rFonts w:hint="eastAsia" w:ascii="宋体" w:hAnsi="宋体"/>
                <w:color w:val="000000"/>
                <w:sz w:val="24"/>
              </w:rPr>
              <w:t>采购设备或项目名称</w:t>
            </w:r>
          </w:p>
        </w:tc>
        <w:tc>
          <w:tcPr>
            <w:tcW w:w="5111" w:type="dxa"/>
            <w:tcBorders>
              <w:top w:val="single" w:color="auto" w:sz="6" w:space="0"/>
              <w:left w:val="single" w:color="auto" w:sz="6" w:space="0"/>
              <w:bottom w:val="single" w:color="auto" w:sz="6" w:space="0"/>
              <w:right w:val="single" w:color="auto" w:sz="12" w:space="0"/>
            </w:tcBorders>
            <w:vAlign w:val="center"/>
          </w:tcPr>
          <w:p>
            <w:pPr>
              <w:rPr>
                <w:rFonts w:hint="default" w:ascii="宋体" w:hAnsi="宋体"/>
                <w:color w:val="000000"/>
                <w:sz w:val="24"/>
                <w:lang w:val="en-US" w:eastAsia="zh-CN"/>
              </w:rPr>
            </w:pPr>
            <w:r>
              <w:rPr>
                <w:rFonts w:hint="eastAsia" w:ascii="宋体" w:hAnsi="宋体"/>
                <w:color w:val="000000"/>
                <w:sz w:val="24"/>
                <w:lang w:val="en-US" w:eastAsia="zh-CN"/>
              </w:rPr>
              <w:t>营销实训设备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pPr>
              <w:jc w:val="center"/>
              <w:rPr>
                <w:rFonts w:hint="eastAsia" w:ascii="宋体" w:hAnsi="宋体"/>
                <w:color w:val="000000"/>
                <w:sz w:val="24"/>
              </w:rPr>
            </w:pPr>
            <w:r>
              <w:rPr>
                <w:rFonts w:hint="eastAsia" w:ascii="宋体" w:hAnsi="宋体"/>
                <w:color w:val="000000"/>
                <w:sz w:val="24"/>
              </w:rPr>
              <w:t>2</w:t>
            </w:r>
          </w:p>
        </w:tc>
        <w:tc>
          <w:tcPr>
            <w:tcW w:w="2509" w:type="dxa"/>
            <w:tcBorders>
              <w:top w:val="single" w:color="auto" w:sz="6" w:space="0"/>
              <w:left w:val="single" w:color="auto" w:sz="6" w:space="0"/>
              <w:bottom w:val="single" w:color="auto" w:sz="6" w:space="0"/>
              <w:right w:val="single" w:color="auto" w:sz="6" w:space="0"/>
            </w:tcBorders>
            <w:vAlign w:val="center"/>
          </w:tcPr>
          <w:p>
            <w:pPr>
              <w:rPr>
                <w:rFonts w:hint="eastAsia" w:ascii="宋体" w:hAnsi="宋体"/>
                <w:color w:val="000000"/>
                <w:sz w:val="24"/>
              </w:rPr>
            </w:pPr>
            <w:r>
              <w:rPr>
                <w:rFonts w:hint="eastAsia" w:ascii="宋体" w:hAnsi="宋体"/>
                <w:color w:val="000000"/>
                <w:sz w:val="24"/>
              </w:rPr>
              <w:t>项目单位</w:t>
            </w:r>
          </w:p>
        </w:tc>
        <w:tc>
          <w:tcPr>
            <w:tcW w:w="5111" w:type="dxa"/>
            <w:tcBorders>
              <w:top w:val="single" w:color="auto" w:sz="6" w:space="0"/>
              <w:left w:val="single" w:color="auto" w:sz="6" w:space="0"/>
              <w:bottom w:val="single" w:color="auto" w:sz="6" w:space="0"/>
              <w:right w:val="single" w:color="auto" w:sz="12" w:space="0"/>
            </w:tcBorders>
            <w:vAlign w:val="center"/>
          </w:tcPr>
          <w:p>
            <w:pPr>
              <w:rPr>
                <w:rFonts w:hint="eastAsia" w:ascii="宋体" w:hAnsi="宋体"/>
                <w:color w:val="000000"/>
                <w:sz w:val="24"/>
              </w:rPr>
            </w:pPr>
            <w:r>
              <w:rPr>
                <w:rFonts w:hint="eastAsia" w:ascii="宋体" w:hAnsi="宋体"/>
                <w:color w:val="000000"/>
                <w:sz w:val="24"/>
              </w:rPr>
              <w:t>深圳供电局有限公司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tcBorders>
              <w:top w:val="single" w:color="auto" w:sz="6" w:space="0"/>
              <w:left w:val="single" w:color="auto" w:sz="12" w:space="0"/>
              <w:bottom w:val="single" w:color="auto" w:sz="12" w:space="0"/>
              <w:right w:val="single" w:color="auto" w:sz="6" w:space="0"/>
            </w:tcBorders>
            <w:vAlign w:val="center"/>
          </w:tcPr>
          <w:p>
            <w:pPr>
              <w:jc w:val="center"/>
              <w:rPr>
                <w:rFonts w:hint="eastAsia" w:ascii="宋体" w:hAnsi="宋体"/>
                <w:color w:val="000000"/>
                <w:sz w:val="24"/>
              </w:rPr>
            </w:pPr>
            <w:r>
              <w:rPr>
                <w:rFonts w:hint="eastAsia" w:ascii="宋体" w:hAnsi="宋体"/>
                <w:color w:val="000000"/>
                <w:sz w:val="24"/>
              </w:rPr>
              <w:t>3</w:t>
            </w:r>
          </w:p>
        </w:tc>
        <w:tc>
          <w:tcPr>
            <w:tcW w:w="2509" w:type="dxa"/>
            <w:tcBorders>
              <w:top w:val="single" w:color="auto" w:sz="6" w:space="0"/>
              <w:left w:val="single" w:color="auto" w:sz="6" w:space="0"/>
              <w:bottom w:val="single" w:color="auto" w:sz="12" w:space="0"/>
              <w:right w:val="single" w:color="auto" w:sz="6" w:space="0"/>
            </w:tcBorders>
            <w:vAlign w:val="center"/>
          </w:tcPr>
          <w:p>
            <w:pPr>
              <w:rPr>
                <w:rFonts w:hint="eastAsia" w:ascii="宋体" w:hAnsi="宋体"/>
                <w:color w:val="000000"/>
                <w:sz w:val="24"/>
              </w:rPr>
            </w:pPr>
            <w:r>
              <w:rPr>
                <w:rFonts w:hint="eastAsia" w:ascii="宋体" w:hAnsi="宋体"/>
                <w:color w:val="000000"/>
                <w:sz w:val="24"/>
              </w:rPr>
              <w:t>项目单位地址</w:t>
            </w:r>
          </w:p>
        </w:tc>
        <w:tc>
          <w:tcPr>
            <w:tcW w:w="5111" w:type="dxa"/>
            <w:tcBorders>
              <w:top w:val="single" w:color="auto" w:sz="6" w:space="0"/>
              <w:left w:val="single" w:color="auto" w:sz="6" w:space="0"/>
              <w:bottom w:val="single" w:color="auto" w:sz="12" w:space="0"/>
              <w:right w:val="single" w:color="auto" w:sz="12" w:space="0"/>
            </w:tcBorders>
            <w:vAlign w:val="center"/>
          </w:tcPr>
          <w:p>
            <w:pPr>
              <w:rPr>
                <w:rFonts w:hint="eastAsia" w:ascii="宋体" w:hAnsi="宋体"/>
                <w:color w:val="000000"/>
                <w:sz w:val="24"/>
              </w:rPr>
            </w:pPr>
          </w:p>
        </w:tc>
      </w:tr>
    </w:tbl>
    <w:p>
      <w:pPr>
        <w:pStyle w:val="5"/>
        <w:numPr>
          <w:ilvl w:val="0"/>
          <w:numId w:val="0"/>
        </w:numPr>
        <w:spacing w:before="156" w:beforeLines="50"/>
        <w:rPr>
          <w:rFonts w:hint="eastAsia" w:hAnsi="宋体"/>
          <w:bCs w:val="0"/>
          <w:color w:val="000000"/>
          <w:sz w:val="24"/>
          <w:szCs w:val="22"/>
        </w:rPr>
      </w:pPr>
      <w:bookmarkStart w:id="6" w:name="_Toc6664"/>
      <w:bookmarkStart w:id="7" w:name="_Toc290652072"/>
      <w:r>
        <w:rPr>
          <w:rFonts w:hint="eastAsia" w:hAnsi="宋体"/>
          <w:bCs w:val="0"/>
          <w:color w:val="000000"/>
          <w:sz w:val="24"/>
          <w:szCs w:val="22"/>
        </w:rPr>
        <w:t>2.2范围和界限</w:t>
      </w:r>
      <w:bookmarkEnd w:id="6"/>
      <w:bookmarkEnd w:id="7"/>
    </w:p>
    <w:p>
      <w:pPr>
        <w:pStyle w:val="28"/>
        <w:adjustRightInd w:val="0"/>
        <w:snapToGrid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1）本标书适应于所供设备的设计、制造、装配、工厂试验、交付、现场安装和试验的指导、监督以及试运行工作。</w:t>
      </w:r>
    </w:p>
    <w:p>
      <w:pPr>
        <w:pStyle w:val="28"/>
        <w:adjustRightInd w:val="0"/>
        <w:snapToGrid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rPr>
        <w:t>2）现场安装和试验在投标方的技术指导和监督下由</w:t>
      </w:r>
      <w:r>
        <w:rPr>
          <w:rFonts w:hint="eastAsia" w:ascii="宋体" w:hAnsi="宋体" w:eastAsia="宋体"/>
          <w:color w:val="000000"/>
          <w:sz w:val="24"/>
          <w:szCs w:val="24"/>
        </w:rPr>
        <w:t>招标方完成。</w:t>
      </w:r>
    </w:p>
    <w:p>
      <w:pPr>
        <w:pStyle w:val="28"/>
        <w:adjustRightInd w:val="0"/>
        <w:snapToGrid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3）本标书未做说明，但又与设计、制造、装配、试验、运输、包装、保管、安装和运行维护有关的技术要求，按条款2所规定的有关标准执行。</w:t>
      </w:r>
    </w:p>
    <w:p>
      <w:pPr>
        <w:pStyle w:val="5"/>
        <w:numPr>
          <w:ilvl w:val="0"/>
          <w:numId w:val="0"/>
        </w:numPr>
        <w:rPr>
          <w:rFonts w:hint="eastAsia" w:hAnsi="宋体"/>
          <w:color w:val="000000"/>
          <w:sz w:val="24"/>
          <w:szCs w:val="24"/>
        </w:rPr>
      </w:pPr>
      <w:bookmarkStart w:id="8" w:name="_Toc290652073"/>
      <w:bookmarkStart w:id="9" w:name="_Toc16422"/>
      <w:r>
        <w:rPr>
          <w:rFonts w:hint="eastAsia" w:hAnsi="宋体"/>
          <w:color w:val="000000"/>
          <w:sz w:val="24"/>
          <w:szCs w:val="24"/>
        </w:rPr>
        <w:t>2.3服务范围</w:t>
      </w:r>
      <w:bookmarkEnd w:id="8"/>
      <w:bookmarkEnd w:id="9"/>
    </w:p>
    <w:p>
      <w:pPr>
        <w:pStyle w:val="28"/>
        <w:adjustRightInd w:val="0"/>
        <w:snapToGrid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1）供货范围一览表（项目单位填写）</w:t>
      </w:r>
    </w:p>
    <w:p>
      <w:pPr>
        <w:pStyle w:val="28"/>
        <w:adjustRightInd w:val="0"/>
        <w:snapToGrid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投标方提供的本标书采购设备及其附件的具体规格、数量见表2.2：供货范围及设备技术规格一览表。投标方应如实填写“投标方保证”栏。</w:t>
      </w:r>
    </w:p>
    <w:p>
      <w:pPr>
        <w:pStyle w:val="29"/>
        <w:adjustRightInd w:val="0"/>
        <w:snapToGrid w:val="0"/>
        <w:spacing w:line="360" w:lineRule="auto"/>
        <w:ind w:firstLineChars="0"/>
        <w:jc w:val="center"/>
        <w:rPr>
          <w:rFonts w:hint="eastAsia" w:hAnsi="宋体"/>
          <w:color w:val="000000"/>
          <w:sz w:val="24"/>
          <w:szCs w:val="24"/>
        </w:rPr>
      </w:pPr>
      <w:r>
        <w:rPr>
          <w:rFonts w:hint="eastAsia" w:hAnsi="宋体"/>
          <w:color w:val="000000"/>
          <w:sz w:val="24"/>
          <w:szCs w:val="24"/>
        </w:rPr>
        <w:t>表2.2设备供货范围响应表</w:t>
      </w:r>
    </w:p>
    <w:tbl>
      <w:tblPr>
        <w:tblStyle w:val="23"/>
        <w:tblW w:w="83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814"/>
        <w:gridCol w:w="361"/>
        <w:gridCol w:w="2340"/>
        <w:gridCol w:w="570"/>
        <w:gridCol w:w="2340"/>
        <w:gridCol w:w="5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1" w:hRule="atLeast"/>
          <w:tblHeader/>
          <w:jc w:val="center"/>
        </w:trPr>
        <w:tc>
          <w:tcPr>
            <w:tcW w:w="343" w:type="dxa"/>
            <w:vMerge w:val="restart"/>
            <w:vAlign w:val="center"/>
          </w:tcPr>
          <w:p>
            <w:pPr>
              <w:jc w:val="center"/>
              <w:rPr>
                <w:rFonts w:hint="eastAsia" w:ascii="宋体" w:hAnsi="宋体"/>
                <w:color w:val="000000"/>
                <w:sz w:val="24"/>
                <w:szCs w:val="24"/>
              </w:rPr>
            </w:pPr>
            <w:r>
              <w:rPr>
                <w:rFonts w:hint="eastAsia" w:ascii="宋体" w:hAnsi="宋体"/>
                <w:color w:val="000000"/>
                <w:sz w:val="24"/>
                <w:szCs w:val="24"/>
              </w:rPr>
              <w:t>序号</w:t>
            </w:r>
          </w:p>
        </w:tc>
        <w:tc>
          <w:tcPr>
            <w:tcW w:w="1814" w:type="dxa"/>
            <w:vMerge w:val="restart"/>
            <w:vAlign w:val="center"/>
          </w:tcPr>
          <w:p>
            <w:pPr>
              <w:jc w:val="center"/>
              <w:rPr>
                <w:rFonts w:hint="eastAsia" w:ascii="宋体" w:hAnsi="宋体"/>
                <w:color w:val="000000"/>
                <w:sz w:val="24"/>
                <w:szCs w:val="24"/>
              </w:rPr>
            </w:pPr>
            <w:r>
              <w:rPr>
                <w:rFonts w:hint="eastAsia" w:ascii="宋体" w:hAnsi="宋体"/>
                <w:color w:val="000000"/>
                <w:sz w:val="24"/>
                <w:szCs w:val="24"/>
              </w:rPr>
              <w:t>名称</w:t>
            </w:r>
          </w:p>
        </w:tc>
        <w:tc>
          <w:tcPr>
            <w:tcW w:w="361" w:type="dxa"/>
            <w:vMerge w:val="restart"/>
            <w:tcBorders>
              <w:right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单位</w:t>
            </w:r>
          </w:p>
        </w:tc>
        <w:tc>
          <w:tcPr>
            <w:tcW w:w="2910" w:type="dxa"/>
            <w:gridSpan w:val="2"/>
            <w:tcBorders>
              <w:left w:val="single" w:color="auto" w:sz="4" w:space="0"/>
              <w:bottom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项目要求</w:t>
            </w:r>
          </w:p>
        </w:tc>
        <w:tc>
          <w:tcPr>
            <w:tcW w:w="2937" w:type="dxa"/>
            <w:gridSpan w:val="2"/>
            <w:tcBorders>
              <w:bottom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pPr>
              <w:jc w:val="center"/>
              <w:rPr>
                <w:rFonts w:hint="eastAsia" w:ascii="宋体" w:hAnsi="宋体"/>
                <w:color w:val="000000"/>
                <w:sz w:val="24"/>
                <w:szCs w:val="24"/>
              </w:rPr>
            </w:pPr>
          </w:p>
        </w:tc>
        <w:tc>
          <w:tcPr>
            <w:tcW w:w="1814" w:type="dxa"/>
            <w:vMerge w:val="continue"/>
            <w:vAlign w:val="center"/>
          </w:tcPr>
          <w:p>
            <w:pPr>
              <w:jc w:val="center"/>
              <w:rPr>
                <w:rFonts w:hint="eastAsia" w:ascii="宋体" w:hAnsi="宋体"/>
                <w:color w:val="000000"/>
                <w:sz w:val="24"/>
                <w:szCs w:val="24"/>
              </w:rPr>
            </w:pPr>
          </w:p>
        </w:tc>
        <w:tc>
          <w:tcPr>
            <w:tcW w:w="361" w:type="dxa"/>
            <w:vMerge w:val="continue"/>
            <w:tcBorders>
              <w:right w:val="single" w:color="auto" w:sz="4" w:space="0"/>
            </w:tcBorders>
            <w:vAlign w:val="center"/>
          </w:tcPr>
          <w:p>
            <w:pPr>
              <w:jc w:val="center"/>
              <w:rPr>
                <w:rFonts w:hint="eastAsia" w:ascii="宋体" w:hAnsi="宋体"/>
                <w:color w:val="000000"/>
                <w:sz w:val="24"/>
                <w:szCs w:val="24"/>
              </w:rPr>
            </w:pPr>
          </w:p>
        </w:tc>
        <w:tc>
          <w:tcPr>
            <w:tcW w:w="2340" w:type="dxa"/>
            <w:tcBorders>
              <w:top w:val="single" w:color="auto" w:sz="4" w:space="0"/>
              <w:left w:val="single" w:color="auto" w:sz="4" w:space="0"/>
              <w:right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型式、规格</w:t>
            </w:r>
          </w:p>
        </w:tc>
        <w:tc>
          <w:tcPr>
            <w:tcW w:w="570" w:type="dxa"/>
            <w:tcBorders>
              <w:top w:val="single" w:color="auto" w:sz="4" w:space="0"/>
              <w:left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数量</w:t>
            </w:r>
          </w:p>
        </w:tc>
        <w:tc>
          <w:tcPr>
            <w:tcW w:w="2340" w:type="dxa"/>
            <w:tcBorders>
              <w:top w:val="single" w:color="auto" w:sz="4" w:space="0"/>
              <w:right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型式、规格</w:t>
            </w:r>
          </w:p>
        </w:tc>
        <w:tc>
          <w:tcPr>
            <w:tcW w:w="597" w:type="dxa"/>
            <w:tcBorders>
              <w:top w:val="single" w:color="auto" w:sz="4" w:space="0"/>
              <w:left w:val="single" w:color="auto" w:sz="4" w:space="0"/>
            </w:tcBorders>
            <w:vAlign w:val="center"/>
          </w:tcPr>
          <w:p>
            <w:pPr>
              <w:jc w:val="center"/>
              <w:rPr>
                <w:rFonts w:hint="eastAsia" w:ascii="宋体" w:hAnsi="宋体"/>
                <w:color w:val="000000"/>
                <w:sz w:val="24"/>
                <w:szCs w:val="24"/>
              </w:rPr>
            </w:pPr>
            <w:r>
              <w:rPr>
                <w:rFonts w:hint="eastAsia" w:ascii="宋体" w:hAnsi="宋体"/>
                <w:color w:val="000000"/>
                <w:sz w:val="24"/>
                <w:szCs w:val="24"/>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color w:val="000000"/>
                <w:sz w:val="24"/>
                <w:szCs w:val="24"/>
              </w:rPr>
            </w:pPr>
            <w:r>
              <w:rPr>
                <w:rFonts w:hint="eastAsia" w:ascii="宋体" w:hAnsi="宋体"/>
                <w:color w:val="000000"/>
                <w:sz w:val="24"/>
                <w:szCs w:val="24"/>
              </w:rPr>
              <w:t>1</w:t>
            </w:r>
          </w:p>
        </w:tc>
        <w:tc>
          <w:tcPr>
            <w:tcW w:w="1814" w:type="dxa"/>
            <w:vAlign w:val="center"/>
          </w:tcPr>
          <w:p>
            <w:pPr>
              <w:jc w:val="center"/>
              <w:rPr>
                <w:rFonts w:hint="default" w:ascii="宋体" w:hAnsi="宋体"/>
                <w:color w:val="000000"/>
                <w:sz w:val="21"/>
                <w:szCs w:val="21"/>
                <w:lang w:val="en-US" w:eastAsia="zh-CN"/>
              </w:rPr>
            </w:pPr>
            <w:r>
              <w:rPr>
                <w:rFonts w:hint="eastAsia" w:ascii="宋体" w:hAnsi="宋体"/>
                <w:color w:val="000000"/>
                <w:sz w:val="21"/>
                <w:szCs w:val="21"/>
                <w:lang w:val="en-US" w:eastAsia="zh-CN"/>
              </w:rPr>
              <w:t>高压装表接电培训装置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2</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低压装表接电培训装置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3</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低压集抄培训装置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4</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智能电能表接线仿真系统</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5</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厂站计量培训装置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6</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低压配电柜实训系统（含AR系统）</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7</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异常用电数据综合分析及现场检查仿真培训系统</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8</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10kV配电室用电检查服务仿真培训装置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9</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电缆绝缘测试仿真装置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10</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局放模拟仿真装置</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11</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分布式光伏仿真培训系统</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12</w:t>
            </w:r>
          </w:p>
        </w:tc>
        <w:tc>
          <w:tcPr>
            <w:tcW w:w="1814" w:type="dxa"/>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新型电力负荷管理仿真培训系统</w:t>
            </w:r>
          </w:p>
        </w:tc>
        <w:tc>
          <w:tcPr>
            <w:tcW w:w="361" w:type="dxa"/>
            <w:tcBorders>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套</w:t>
            </w:r>
          </w:p>
        </w:tc>
        <w:tc>
          <w:tcPr>
            <w:tcW w:w="2340" w:type="dxa"/>
            <w:tcBorders>
              <w:left w:val="single" w:color="auto" w:sz="4" w:space="0"/>
              <w:right w:val="single" w:color="auto" w:sz="4" w:space="0"/>
            </w:tcBorders>
            <w:vAlign w:val="center"/>
          </w:tcPr>
          <w:p>
            <w:pPr>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见技术参数</w:t>
            </w:r>
          </w:p>
        </w:tc>
        <w:tc>
          <w:tcPr>
            <w:tcW w:w="570" w:type="dxa"/>
            <w:tcBorders>
              <w:left w:val="single" w:color="auto" w:sz="4" w:space="0"/>
            </w:tcBorders>
            <w:vAlign w:val="center"/>
          </w:tcPr>
          <w:p>
            <w:pPr>
              <w:jc w:val="center"/>
              <w:rPr>
                <w:rFonts w:hint="eastAsia" w:ascii="宋体" w:hAnsi="宋体"/>
                <w:color w:val="000000"/>
                <w:sz w:val="21"/>
                <w:szCs w:val="21"/>
                <w:highlight w:val="yellow"/>
                <w:lang w:val="en-US" w:eastAsia="zh-CN"/>
              </w:rPr>
            </w:pPr>
          </w:p>
        </w:tc>
        <w:tc>
          <w:tcPr>
            <w:tcW w:w="2340" w:type="dxa"/>
            <w:tcBorders>
              <w:right w:val="single" w:color="auto" w:sz="4" w:space="0"/>
            </w:tcBorders>
          </w:tcPr>
          <w:p>
            <w:pPr>
              <w:jc w:val="center"/>
              <w:rPr>
                <w:rFonts w:hint="eastAsia" w:ascii="宋体" w:hAnsi="宋体"/>
                <w:color w:val="000000"/>
                <w:sz w:val="21"/>
                <w:szCs w:val="21"/>
                <w:lang w:val="en-US" w:eastAsia="zh-CN"/>
              </w:rPr>
            </w:pPr>
          </w:p>
        </w:tc>
        <w:tc>
          <w:tcPr>
            <w:tcW w:w="597" w:type="dxa"/>
            <w:tcBorders>
              <w:left w:val="single" w:color="auto" w:sz="4" w:space="0"/>
            </w:tcBorders>
          </w:tcPr>
          <w:p>
            <w:pPr>
              <w:jc w:val="center"/>
              <w:rPr>
                <w:rFonts w:hint="eastAsia" w:ascii="宋体" w:hAnsi="宋体"/>
                <w:color w:val="000000"/>
                <w:sz w:val="24"/>
                <w:szCs w:val="24"/>
              </w:rPr>
            </w:pPr>
          </w:p>
        </w:tc>
      </w:tr>
    </w:tbl>
    <w:p>
      <w:pPr>
        <w:pStyle w:val="28"/>
        <w:adjustRightInd w:val="0"/>
        <w:snapToGrid w:val="0"/>
        <w:spacing w:line="360" w:lineRule="auto"/>
        <w:ind w:firstLine="0" w:firstLineChars="0"/>
        <w:rPr>
          <w:rFonts w:hint="eastAsia" w:ascii="宋体" w:hAnsi="宋体" w:eastAsia="宋体" w:cs="Times New Roman"/>
          <w:color w:val="000000"/>
          <w:sz w:val="24"/>
          <w:szCs w:val="24"/>
        </w:rPr>
      </w:pP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方应按本标书的要求提供全新的、合格可用的仪器及配件。投标方应向招标方提供必备的备品备件、专用工具和仪器仪表清单见表2.2，要求提供的备品备件、专用工具和仪器仪表应是新品，并符合相关技术要求。</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3）投标方所提供的组件或附件如需向第三方外购时，投标方应对其质量向招标方负责，并提供相应出厂和验收报告。</w:t>
      </w:r>
    </w:p>
    <w:p>
      <w:pPr>
        <w:spacing w:line="360" w:lineRule="auto"/>
        <w:ind w:firstLine="480" w:firstLineChars="200"/>
        <w:rPr>
          <w:rFonts w:hint="eastAsia" w:ascii="宋体" w:hAnsi="宋体"/>
          <w:color w:val="000000"/>
          <w:sz w:val="24"/>
        </w:rPr>
      </w:pPr>
      <w:r>
        <w:rPr>
          <w:rFonts w:hint="eastAsia" w:ascii="宋体" w:hAnsi="宋体"/>
          <w:color w:val="000000"/>
          <w:sz w:val="24"/>
        </w:rPr>
        <w:t>4）工厂试验由投标方在生产厂家内完成，但应有招标方代表参加，参加工厂验收的人数及天数等规定详见标</w:t>
      </w:r>
      <w:r>
        <w:rPr>
          <w:rFonts w:hint="eastAsia" w:ascii="宋体" w:hAnsi="宋体" w:cs="Times New Roman"/>
          <w:color w:val="000000"/>
          <w:sz w:val="24"/>
          <w:szCs w:val="24"/>
        </w:rPr>
        <w:t>书商务部分。</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5）投标方应协助招标方解决设备运行中出现的问题。</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6）如果安装、调试、性能试验、试运行及质保期内技术指标一项或多项不能满足合同技术部分要求，买卖双方共同分析原因，分清责任，如属于制造方面的原因，或涉及索赔部分，按商务部分有关条款执行。</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7）本标书采购设备安装、调试和现场交接验收和试验合格后方可使用。设备正常使用后，投标方和招标方（业主）双方应根据相关法律、法规和公司管理制度签署合同设备的验收证明书。该证明书共两份，双方各执一份。</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8）投标方应按招标方要求免费提供必须的人员培训和技术指导，确保招标方正常使用和维护设备。</w:t>
      </w:r>
    </w:p>
    <w:p>
      <w:pPr>
        <w:pStyle w:val="4"/>
        <w:numPr>
          <w:ilvl w:val="0"/>
          <w:numId w:val="0"/>
        </w:numPr>
        <w:snapToGrid/>
        <w:spacing w:before="312" w:line="480" w:lineRule="auto"/>
        <w:rPr>
          <w:rFonts w:hint="eastAsia" w:hAnsi="宋体"/>
          <w:color w:val="000000"/>
          <w:sz w:val="24"/>
          <w:szCs w:val="24"/>
        </w:rPr>
      </w:pPr>
      <w:bookmarkStart w:id="10" w:name="_Toc7130"/>
      <w:r>
        <w:rPr>
          <w:rFonts w:hint="eastAsia" w:hAnsi="宋体"/>
          <w:color w:val="000000"/>
          <w:sz w:val="24"/>
          <w:szCs w:val="24"/>
        </w:rPr>
        <w:t>3应遵循的主要标准</w:t>
      </w:r>
      <w:bookmarkEnd w:id="10"/>
    </w:p>
    <w:p>
      <w:pPr>
        <w:pStyle w:val="28"/>
        <w:adjustRightInd w:val="0"/>
        <w:snapToGrid w:val="0"/>
        <w:spacing w:line="360" w:lineRule="auto"/>
        <w:ind w:firstLine="480"/>
        <w:rPr>
          <w:rFonts w:hint="eastAsia" w:ascii="宋体" w:hAnsi="宋体" w:eastAsia="宋体" w:cs="Times New Roman"/>
          <w:color w:val="000000"/>
          <w:sz w:val="24"/>
          <w:szCs w:val="24"/>
        </w:rPr>
      </w:pPr>
      <w:r>
        <w:rPr>
          <w:rFonts w:ascii="宋体" w:hAnsi="宋体" w:eastAsia="宋体" w:cs="Times New Roman"/>
          <w:color w:val="000000"/>
          <w:sz w:val="24"/>
          <w:szCs w:val="24"/>
        </w:rPr>
        <w:t>除本标书特殊规定外，投标方所提供的设备均按规定的标准和规程的最新版本进行设计、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下列文件对于本技术规范书的应用是必不可少。凡是注日期的引用文件，仅注日期的版本适用于本技术规范书。凡是不注日期的引用文件，其最新版本（包括所有的修改单）适用于本技术规范书：</w:t>
      </w:r>
      <w:bookmarkStart w:id="11" w:name="_Toc279769035"/>
    </w:p>
    <w:tbl>
      <w:tblPr>
        <w:tblStyle w:val="2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424"/>
        <w:gridCol w:w="5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top w:val="single" w:color="auto" w:sz="4" w:space="0"/>
              <w:lef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序号</w:t>
            </w:r>
          </w:p>
        </w:tc>
        <w:tc>
          <w:tcPr>
            <w:tcW w:w="2424" w:type="dxa"/>
            <w:tcBorders>
              <w:top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标准号</w:t>
            </w:r>
          </w:p>
        </w:tc>
        <w:tc>
          <w:tcPr>
            <w:tcW w:w="5979" w:type="dxa"/>
            <w:tcBorders>
              <w:top w:val="single" w:color="auto" w:sz="4" w:space="0"/>
              <w:righ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1</w:t>
            </w:r>
          </w:p>
        </w:tc>
        <w:tc>
          <w:tcPr>
            <w:tcW w:w="2424" w:type="dxa"/>
            <w:noWrap w:val="0"/>
            <w:vAlign w:val="center"/>
          </w:tcPr>
          <w:p>
            <w:pPr>
              <w:pStyle w:val="50"/>
              <w:rPr>
                <w:rFonts w:hint="eastAsia" w:ascii="宋体" w:hAnsi="宋体" w:eastAsia="宋体" w:cs="宋体"/>
                <w:color w:val="auto"/>
              </w:rPr>
            </w:pPr>
            <w:r>
              <w:rPr>
                <w:rFonts w:hint="eastAsia" w:ascii="宋体" w:hAnsi="宋体" w:eastAsia="宋体" w:cs="宋体"/>
                <w:color w:val="auto"/>
              </w:rPr>
              <w:t>GB</w:t>
            </w:r>
            <w:r>
              <w:rPr>
                <w:rFonts w:hint="eastAsia" w:ascii="宋体" w:hAnsi="宋体" w:eastAsia="宋体" w:cs="宋体"/>
                <w:color w:val="auto"/>
                <w:lang w:val="en-US" w:eastAsia="zh-CN"/>
              </w:rPr>
              <w:t xml:space="preserve"> </w:t>
            </w:r>
            <w:r>
              <w:rPr>
                <w:rFonts w:hint="eastAsia" w:ascii="宋体" w:hAnsi="宋体" w:eastAsia="宋体" w:cs="宋体"/>
                <w:color w:val="auto"/>
              </w:rPr>
              <w:t>191</w:t>
            </w:r>
          </w:p>
        </w:tc>
        <w:tc>
          <w:tcPr>
            <w:tcW w:w="5979" w:type="dxa"/>
            <w:tcBorders>
              <w:righ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包装储运图示标志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2</w:t>
            </w:r>
          </w:p>
        </w:tc>
        <w:tc>
          <w:tcPr>
            <w:tcW w:w="2424" w:type="dxa"/>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GTB 856</w:t>
            </w:r>
          </w:p>
        </w:tc>
        <w:tc>
          <w:tcPr>
            <w:tcW w:w="5979" w:type="dxa"/>
            <w:tcBorders>
              <w:right w:val="single" w:color="auto" w:sz="4" w:space="0"/>
            </w:tcBorders>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软件工程国家标准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rPr>
            </w:pPr>
            <w:r>
              <w:rPr>
                <w:rFonts w:hint="eastAsia" w:ascii="宋体" w:hAnsi="宋体" w:eastAsia="宋体" w:cs="宋体"/>
                <w:color w:val="auto"/>
              </w:rPr>
              <w:t>3</w:t>
            </w:r>
          </w:p>
        </w:tc>
        <w:tc>
          <w:tcPr>
            <w:tcW w:w="2424" w:type="dxa"/>
            <w:noWrap w:val="0"/>
            <w:vAlign w:val="center"/>
          </w:tcPr>
          <w:p>
            <w:pPr>
              <w:pStyle w:val="50"/>
              <w:rPr>
                <w:rFonts w:hint="eastAsia" w:ascii="宋体" w:hAnsi="宋体" w:eastAsia="宋体" w:cs="宋体"/>
                <w:color w:val="auto"/>
                <w:kern w:val="2"/>
                <w:sz w:val="21"/>
                <w:szCs w:val="20"/>
                <w:lang w:val="en-US" w:eastAsia="zh-CN" w:bidi="ar-SA"/>
              </w:rPr>
            </w:pPr>
            <w:r>
              <w:rPr>
                <w:rFonts w:hint="eastAsia" w:ascii="宋体" w:hAnsi="宋体" w:eastAsia="宋体" w:cs="宋体"/>
                <w:color w:val="auto"/>
              </w:rPr>
              <w:t>GB</w:t>
            </w:r>
            <w:r>
              <w:rPr>
                <w:rFonts w:hint="eastAsia" w:ascii="宋体" w:hAnsi="宋体" w:eastAsia="宋体" w:cs="宋体"/>
                <w:color w:val="auto"/>
                <w:lang w:val="en-US" w:eastAsia="zh-CN"/>
              </w:rPr>
              <w:t xml:space="preserve"> </w:t>
            </w:r>
            <w:r>
              <w:rPr>
                <w:rFonts w:hint="eastAsia" w:ascii="宋体" w:hAnsi="宋体" w:eastAsia="宋体" w:cs="宋体"/>
                <w:color w:val="auto"/>
              </w:rPr>
              <w:t>4208-2008</w:t>
            </w:r>
          </w:p>
        </w:tc>
        <w:tc>
          <w:tcPr>
            <w:tcW w:w="5979" w:type="dxa"/>
            <w:tcBorders>
              <w:right w:val="single" w:color="auto" w:sz="4" w:space="0"/>
            </w:tcBorders>
            <w:noWrap w:val="0"/>
            <w:vAlign w:val="center"/>
          </w:tcPr>
          <w:p>
            <w:pPr>
              <w:pStyle w:val="50"/>
              <w:rPr>
                <w:rFonts w:hint="eastAsia" w:ascii="宋体" w:hAnsi="宋体" w:eastAsia="宋体" w:cs="宋体"/>
                <w:color w:val="auto"/>
                <w:kern w:val="2"/>
                <w:sz w:val="21"/>
                <w:szCs w:val="20"/>
                <w:lang w:val="en-US" w:eastAsia="zh-CN" w:bidi="ar-SA"/>
              </w:rPr>
            </w:pPr>
            <w:r>
              <w:rPr>
                <w:rFonts w:hint="eastAsia" w:ascii="宋体" w:hAnsi="宋体" w:eastAsia="宋体" w:cs="宋体"/>
                <w:color w:val="auto"/>
              </w:rPr>
              <w:t>外壳防护等级（IP代码）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2424" w:type="dxa"/>
            <w:noWrap w:val="0"/>
            <w:vAlign w:val="center"/>
          </w:tcPr>
          <w:p>
            <w:pPr>
              <w:pStyle w:val="50"/>
              <w:rPr>
                <w:rFonts w:hint="eastAsia" w:ascii="宋体" w:hAnsi="Times New Roman" w:eastAsia="宋体" w:cs="Times New Roman"/>
                <w:szCs w:val="21"/>
                <w:lang w:val="en-US" w:eastAsia="zh-CN"/>
              </w:rPr>
            </w:pPr>
            <w:r>
              <w:rPr>
                <w:rFonts w:hint="default" w:ascii="宋体" w:hAnsi="Times New Roman" w:eastAsia="宋体" w:cs="Times New Roman"/>
                <w:szCs w:val="21"/>
                <w:lang w:val="en-US" w:eastAsia="zh-CN"/>
              </w:rPr>
              <w:t>GB 26860-2011</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default" w:ascii="宋体" w:hAnsi="Times New Roman" w:eastAsia="宋体" w:cs="Times New Roman"/>
                <w:szCs w:val="21"/>
                <w:lang w:val="en-US" w:eastAsia="zh-CN"/>
              </w:rPr>
              <w:t>电力安全工作规程 发电厂和变电站电气部分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2424" w:type="dxa"/>
            <w:noWrap w:val="0"/>
            <w:vAlign w:val="center"/>
          </w:tcPr>
          <w:p>
            <w:pPr>
              <w:pStyle w:val="50"/>
              <w:rPr>
                <w:rFonts w:hint="eastAsia" w:ascii="宋体" w:hAnsi="Times New Roman" w:eastAsia="宋体" w:cs="Times New Roman"/>
                <w:szCs w:val="21"/>
                <w:lang w:val="en-US" w:eastAsia="zh-CN"/>
              </w:rPr>
            </w:pPr>
            <w:r>
              <w:rPr>
                <w:rFonts w:hint="default" w:ascii="宋体" w:hAnsi="Times New Roman" w:eastAsia="宋体" w:cs="Times New Roman"/>
                <w:szCs w:val="21"/>
                <w:lang w:val="en-US" w:eastAsia="zh-CN"/>
              </w:rPr>
              <w:t xml:space="preserve">GB 3906-2006 </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default" w:ascii="宋体" w:hAnsi="Times New Roman" w:eastAsia="宋体" w:cs="Times New Roman"/>
                <w:szCs w:val="21"/>
                <w:lang w:val="en-US" w:eastAsia="zh-CN"/>
              </w:rPr>
              <w:t>3.6～40.5KV交流金属封闭开关设备和控制设备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val="en-US" w:eastAsia="zh-CN"/>
              </w:rPr>
            </w:pPr>
            <w:r>
              <w:rPr>
                <w:rFonts w:hint="eastAsia" w:ascii="宋体" w:hAnsi="宋体" w:eastAsia="宋体" w:cs="宋体"/>
                <w:color w:val="auto"/>
                <w:lang w:val="en-US" w:eastAsia="zh-CN"/>
              </w:rPr>
              <w:t>6</w:t>
            </w:r>
          </w:p>
        </w:tc>
        <w:tc>
          <w:tcPr>
            <w:tcW w:w="2424" w:type="dxa"/>
            <w:noWrap w:val="0"/>
            <w:vAlign w:val="center"/>
          </w:tcPr>
          <w:p>
            <w:pPr>
              <w:pStyle w:val="50"/>
              <w:rPr>
                <w:rFonts w:hint="default" w:ascii="宋体" w:hAnsi="Times New Roman" w:eastAsia="宋体" w:cs="Times New Roman"/>
                <w:szCs w:val="21"/>
                <w:lang w:val="en-US" w:eastAsia="zh-CN"/>
              </w:rPr>
            </w:pPr>
            <w:r>
              <w:rPr>
                <w:rFonts w:hint="default" w:ascii="宋体" w:hAnsi="Times New Roman" w:eastAsia="宋体" w:cs="Times New Roman"/>
                <w:szCs w:val="21"/>
                <w:lang w:val="en-US" w:eastAsia="zh-CN"/>
              </w:rPr>
              <w:t>GB/T 11022-2011</w:t>
            </w:r>
          </w:p>
        </w:tc>
        <w:tc>
          <w:tcPr>
            <w:tcW w:w="5979" w:type="dxa"/>
            <w:tcBorders>
              <w:right w:val="single" w:color="auto" w:sz="4" w:space="0"/>
            </w:tcBorders>
            <w:noWrap w:val="0"/>
            <w:vAlign w:val="center"/>
          </w:tcPr>
          <w:p>
            <w:pPr>
              <w:pStyle w:val="50"/>
              <w:rPr>
                <w:rFonts w:hint="default" w:ascii="宋体" w:hAnsi="Times New Roman" w:eastAsia="宋体" w:cs="Times New Roman"/>
                <w:szCs w:val="21"/>
                <w:lang w:val="en-US" w:eastAsia="zh-CN"/>
              </w:rPr>
            </w:pPr>
            <w:r>
              <w:rPr>
                <w:rFonts w:hint="default" w:ascii="宋体" w:hAnsi="Times New Roman" w:eastAsia="宋体" w:cs="Times New Roman"/>
                <w:szCs w:val="21"/>
                <w:lang w:val="en-US" w:eastAsia="zh-CN"/>
              </w:rPr>
              <w:t>高压开关设备和控制设备标准的共用技术要求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val="en-US" w:eastAsia="zh-CN"/>
              </w:rPr>
            </w:pPr>
            <w:r>
              <w:rPr>
                <w:rFonts w:hint="eastAsia" w:ascii="宋体" w:hAnsi="宋体" w:eastAsia="宋体" w:cs="宋体"/>
                <w:color w:val="auto"/>
                <w:lang w:val="en-US" w:eastAsia="zh-CN"/>
              </w:rPr>
              <w:t>7</w:t>
            </w:r>
          </w:p>
        </w:tc>
        <w:tc>
          <w:tcPr>
            <w:tcW w:w="2424" w:type="dxa"/>
            <w:noWrap w:val="0"/>
            <w:vAlign w:val="top"/>
          </w:tcPr>
          <w:p>
            <w:pPr>
              <w:pStyle w:val="50"/>
              <w:rPr>
                <w:rFonts w:hint="default" w:ascii="宋体" w:hAnsi="Times New Roman" w:eastAsia="宋体" w:cs="Times New Roman"/>
                <w:szCs w:val="21"/>
                <w:lang w:val="en-US" w:eastAsia="zh-CN"/>
              </w:rPr>
            </w:pPr>
            <w:r>
              <w:rPr>
                <w:rFonts w:hint="eastAsia" w:ascii="宋体" w:hAnsi="Times New Roman" w:eastAsia="宋体" w:cs="Times New Roman"/>
                <w:szCs w:val="21"/>
                <w:lang w:val="en-US" w:eastAsia="zh-CN"/>
              </w:rPr>
              <w:t>GB/T 16934</w:t>
            </w:r>
          </w:p>
        </w:tc>
        <w:tc>
          <w:tcPr>
            <w:tcW w:w="5979" w:type="dxa"/>
            <w:tcBorders>
              <w:right w:val="single" w:color="auto" w:sz="4" w:space="0"/>
            </w:tcBorders>
            <w:noWrap w:val="0"/>
            <w:vAlign w:val="top"/>
          </w:tcPr>
          <w:p>
            <w:pPr>
              <w:pStyle w:val="50"/>
              <w:rPr>
                <w:rFonts w:hint="default" w:ascii="宋体" w:hAnsi="Times New Roman" w:eastAsia="宋体" w:cs="Times New Roman"/>
                <w:szCs w:val="21"/>
                <w:lang w:val="en-US" w:eastAsia="zh-CN"/>
              </w:rPr>
            </w:pPr>
            <w:r>
              <w:rPr>
                <w:rFonts w:hint="eastAsia" w:ascii="宋体" w:hAnsi="Times New Roman" w:eastAsia="宋体" w:cs="Times New Roman"/>
                <w:szCs w:val="21"/>
                <w:lang w:val="en-US" w:eastAsia="zh-CN"/>
              </w:rPr>
              <w:t>电能计量柜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eastAsia="zh-CN"/>
              </w:rPr>
            </w:pPr>
            <w:r>
              <w:rPr>
                <w:rFonts w:hint="eastAsia" w:ascii="宋体" w:hAnsi="宋体" w:eastAsia="宋体" w:cs="宋体"/>
                <w:color w:val="auto"/>
                <w:lang w:val="en-US" w:eastAsia="zh-CN"/>
              </w:rPr>
              <w:t>8</w:t>
            </w:r>
          </w:p>
        </w:tc>
        <w:tc>
          <w:tcPr>
            <w:tcW w:w="2424" w:type="dxa"/>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DL/T 448-2016</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电能计量装置技术管理规程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eastAsia="zh-CN"/>
              </w:rPr>
            </w:pPr>
            <w:r>
              <w:rPr>
                <w:rFonts w:hint="eastAsia" w:ascii="宋体" w:hAnsi="宋体" w:eastAsia="宋体" w:cs="宋体"/>
                <w:color w:val="auto"/>
                <w:lang w:val="en-US" w:eastAsia="zh-CN"/>
              </w:rPr>
              <w:t>9</w:t>
            </w:r>
          </w:p>
        </w:tc>
        <w:tc>
          <w:tcPr>
            <w:tcW w:w="2424" w:type="dxa"/>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DL/T 645-2007</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多功能电能表通信协议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10</w:t>
            </w:r>
          </w:p>
        </w:tc>
        <w:tc>
          <w:tcPr>
            <w:tcW w:w="2424" w:type="dxa"/>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DL/T 825-2021</w:t>
            </w:r>
          </w:p>
        </w:tc>
        <w:tc>
          <w:tcPr>
            <w:tcW w:w="5979" w:type="dxa"/>
            <w:tcBorders>
              <w:right w:val="single" w:color="auto" w:sz="4" w:space="0"/>
            </w:tcBorders>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电能计量装置安装接线规则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11</w:t>
            </w:r>
          </w:p>
        </w:tc>
        <w:tc>
          <w:tcPr>
            <w:tcW w:w="2424" w:type="dxa"/>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Q/CSG 1209007-2015</w:t>
            </w:r>
          </w:p>
        </w:tc>
        <w:tc>
          <w:tcPr>
            <w:tcW w:w="5979" w:type="dxa"/>
            <w:tcBorders>
              <w:right w:val="single" w:color="auto" w:sz="4" w:space="0"/>
            </w:tcBorders>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中国南方电网有限责任公司负荷管理终端技术规范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12</w:t>
            </w:r>
          </w:p>
        </w:tc>
        <w:tc>
          <w:tcPr>
            <w:tcW w:w="2424" w:type="dxa"/>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Q/CSG 1209022-2019</w:t>
            </w:r>
          </w:p>
        </w:tc>
        <w:tc>
          <w:tcPr>
            <w:tcW w:w="5979" w:type="dxa"/>
            <w:tcBorders>
              <w:right w:val="single" w:color="auto" w:sz="4" w:space="0"/>
            </w:tcBorders>
            <w:noWrap w:val="0"/>
            <w:vAlign w:val="center"/>
          </w:tcPr>
          <w:p>
            <w:pPr>
              <w:pStyle w:val="50"/>
              <w:rPr>
                <w:rFonts w:hint="eastAsia" w:ascii="宋体" w:hAnsi="宋体" w:eastAsia="宋体" w:cs="宋体"/>
                <w:color w:val="FF0000"/>
                <w:kern w:val="2"/>
                <w:sz w:val="21"/>
                <w:szCs w:val="20"/>
                <w:lang w:val="en-US" w:eastAsia="zh-CN" w:bidi="ar-SA"/>
              </w:rPr>
            </w:pPr>
            <w:r>
              <w:rPr>
                <w:rFonts w:hint="eastAsia" w:ascii="宋体" w:hAnsi="Times New Roman" w:eastAsia="宋体" w:cs="Times New Roman"/>
                <w:szCs w:val="21"/>
                <w:lang w:val="en-US" w:eastAsia="zh-CN"/>
              </w:rPr>
              <w:t>中国南方电网有限责任公司计量自动化终端上行通信规约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val="en-US" w:eastAsia="zh-CN"/>
              </w:rPr>
              <w:t>3</w:t>
            </w:r>
          </w:p>
        </w:tc>
        <w:tc>
          <w:tcPr>
            <w:tcW w:w="2424" w:type="dxa"/>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 1209033.3-2021</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计量用互感器技术规范 第3部分 计量用组合互感器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val="en-US" w:eastAsia="zh-CN"/>
              </w:rPr>
              <w:t>4</w:t>
            </w:r>
          </w:p>
        </w:tc>
        <w:tc>
          <w:tcPr>
            <w:tcW w:w="2424" w:type="dxa"/>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 1209033.4-2021</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计量用互感器技术规范 第4部分 计量用低压电流互感器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val="en-US" w:eastAsia="zh-CN"/>
              </w:rPr>
              <w:t>5</w:t>
            </w:r>
          </w:p>
        </w:tc>
        <w:tc>
          <w:tcPr>
            <w:tcW w:w="2424" w:type="dxa"/>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 11109007-2013</w:t>
            </w:r>
          </w:p>
        </w:tc>
        <w:tc>
          <w:tcPr>
            <w:tcW w:w="5979" w:type="dxa"/>
            <w:tcBorders>
              <w:right w:val="single" w:color="auto" w:sz="4" w:space="0"/>
            </w:tcBorders>
            <w:noWrap w:val="0"/>
            <w:vAlign w:val="center"/>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中国南方电网有限责任公司配变监测计量终端技术规范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16</w:t>
            </w:r>
          </w:p>
        </w:tc>
        <w:tc>
          <w:tcPr>
            <w:tcW w:w="2424" w:type="dxa"/>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Q/CSG1209032.1-2021</w:t>
            </w:r>
          </w:p>
        </w:tc>
        <w:tc>
          <w:tcPr>
            <w:tcW w:w="5979" w:type="dxa"/>
            <w:tcBorders>
              <w:right w:val="single" w:color="auto" w:sz="4" w:space="0"/>
            </w:tcBorders>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客户侧电能计量装置通用设计要求第 1 部分10kV 用电客户电能计量装置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17</w:t>
            </w:r>
          </w:p>
        </w:tc>
        <w:tc>
          <w:tcPr>
            <w:tcW w:w="2424" w:type="dxa"/>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Q/CSG1209032.2-2021</w:t>
            </w:r>
          </w:p>
        </w:tc>
        <w:tc>
          <w:tcPr>
            <w:tcW w:w="5979" w:type="dxa"/>
            <w:tcBorders>
              <w:right w:val="single" w:color="auto" w:sz="4" w:space="0"/>
            </w:tcBorders>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客户侧电能计量装置通用设计要求第 2 部分低压用电客户电能计量装置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43" w:type="dxa"/>
            <w:tcBorders>
              <w:left w:val="single" w:color="auto" w:sz="4" w:space="0"/>
            </w:tcBorders>
            <w:noWrap w:val="0"/>
            <w:vAlign w:val="center"/>
          </w:tcPr>
          <w:p>
            <w:pPr>
              <w:pStyle w:val="50"/>
              <w:rPr>
                <w:rFonts w:hint="default" w:ascii="宋体" w:hAnsi="宋体" w:eastAsia="宋体" w:cs="宋体"/>
                <w:color w:val="auto"/>
                <w:lang w:val="en-US" w:eastAsia="zh-CN"/>
              </w:rPr>
            </w:pPr>
            <w:r>
              <w:rPr>
                <w:rFonts w:hint="eastAsia" w:ascii="宋体" w:hAnsi="宋体" w:eastAsia="宋体" w:cs="宋体"/>
                <w:color w:val="auto"/>
                <w:lang w:val="en-US" w:eastAsia="zh-CN"/>
              </w:rPr>
              <w:t>18</w:t>
            </w:r>
          </w:p>
        </w:tc>
        <w:tc>
          <w:tcPr>
            <w:tcW w:w="2424" w:type="dxa"/>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Q/CSG 1209006-2015</w:t>
            </w:r>
          </w:p>
        </w:tc>
        <w:tc>
          <w:tcPr>
            <w:tcW w:w="5979" w:type="dxa"/>
            <w:tcBorders>
              <w:right w:val="single" w:color="auto" w:sz="4" w:space="0"/>
            </w:tcBorders>
            <w:noWrap w:val="0"/>
            <w:vAlign w:val="top"/>
          </w:tcPr>
          <w:p>
            <w:pPr>
              <w:pStyle w:val="50"/>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关于DLT645-2007多功能电能表通信协议的扩展协议</w:t>
            </w:r>
          </w:p>
        </w:tc>
      </w:tr>
    </w:tbl>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以上标准如有新版本，按最新版本执行。</w:t>
      </w:r>
    </w:p>
    <w:p>
      <w:pPr>
        <w:pStyle w:val="4"/>
        <w:numPr>
          <w:ilvl w:val="0"/>
          <w:numId w:val="0"/>
        </w:numPr>
        <w:snapToGrid/>
        <w:spacing w:before="312" w:line="480" w:lineRule="auto"/>
        <w:rPr>
          <w:rFonts w:hint="eastAsia" w:hAnsi="宋体"/>
          <w:color w:val="000000"/>
          <w:sz w:val="24"/>
          <w:szCs w:val="24"/>
        </w:rPr>
      </w:pPr>
      <w:bookmarkStart w:id="12" w:name="_Toc26824"/>
      <w:r>
        <w:rPr>
          <w:rFonts w:hint="eastAsia" w:hAnsi="宋体"/>
          <w:color w:val="000000"/>
          <w:sz w:val="24"/>
          <w:szCs w:val="24"/>
        </w:rPr>
        <w:t>4使用环境要求</w:t>
      </w:r>
      <w:bookmarkEnd w:id="12"/>
    </w:p>
    <w:p>
      <w:pPr>
        <w:pStyle w:val="28"/>
        <w:adjustRightInd w:val="0"/>
        <w:snapToGrid w:val="0"/>
        <w:spacing w:line="360" w:lineRule="auto"/>
        <w:ind w:firstLine="480"/>
        <w:rPr>
          <w:rFonts w:hint="eastAsia" w:ascii="宋体" w:hAnsi="宋体" w:eastAsia="宋体" w:cs="Times New Roman"/>
          <w:color w:val="000000"/>
          <w:sz w:val="24"/>
          <w:szCs w:val="24"/>
        </w:rPr>
      </w:pPr>
      <w:bookmarkStart w:id="13" w:name="_Toc279769036"/>
      <w:r>
        <w:rPr>
          <w:rFonts w:hint="eastAsia" w:ascii="宋体" w:hAnsi="宋体" w:eastAsia="宋体" w:cs="Times New Roman"/>
          <w:color w:val="000000"/>
          <w:sz w:val="24"/>
          <w:szCs w:val="24"/>
        </w:rPr>
        <w:t>本设备招标书技术文件需要采购的设备，其外部使用条件见表4.1。投标方应对所提供的设备性能参数在外部条件下进行校验、核对，使所供设备满足实际外部条件要求及全工况运行要求。</w:t>
      </w:r>
    </w:p>
    <w:p>
      <w:pPr>
        <w:pStyle w:val="28"/>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4.1设备</w:t>
      </w:r>
      <w:r>
        <w:rPr>
          <w:rFonts w:hint="eastAsia" w:ascii="宋体" w:hAnsi="宋体" w:eastAsia="宋体"/>
          <w:color w:val="000000"/>
          <w:sz w:val="24"/>
          <w:szCs w:val="24"/>
        </w:rPr>
        <w:t>使用环境要求相应表</w:t>
      </w:r>
      <w:r>
        <w:rPr>
          <w:rFonts w:hint="eastAsia" w:ascii="宋体" w:hAnsi="宋体" w:eastAsia="宋体" w:cs="Times New Roman"/>
          <w:color w:val="000000"/>
          <w:sz w:val="24"/>
          <w:szCs w:val="24"/>
        </w:rPr>
        <w:t>（项目单位填写）</w:t>
      </w:r>
    </w:p>
    <w:tbl>
      <w:tblPr>
        <w:tblStyle w:val="23"/>
        <w:tblW w:w="8784" w:type="dxa"/>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2672"/>
        <w:gridCol w:w="2551"/>
        <w:gridCol w:w="1843"/>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pPr>
              <w:jc w:val="center"/>
              <w:rPr>
                <w:rFonts w:hint="eastAsia" w:ascii="宋体" w:hAnsi="宋体"/>
                <w:color w:val="000000"/>
                <w:sz w:val="24"/>
                <w:szCs w:val="24"/>
              </w:rPr>
            </w:pPr>
            <w:r>
              <w:rPr>
                <w:rFonts w:hint="eastAsia" w:ascii="宋体" w:hAnsi="宋体"/>
                <w:color w:val="000000"/>
                <w:sz w:val="24"/>
                <w:szCs w:val="24"/>
              </w:rPr>
              <w:t>序号</w:t>
            </w:r>
          </w:p>
        </w:tc>
        <w:tc>
          <w:tcPr>
            <w:tcW w:w="2672" w:type="dxa"/>
            <w:vAlign w:val="center"/>
          </w:tcPr>
          <w:p>
            <w:pPr>
              <w:jc w:val="center"/>
              <w:rPr>
                <w:rFonts w:hint="eastAsia" w:ascii="宋体" w:hAnsi="宋体"/>
                <w:color w:val="000000"/>
                <w:sz w:val="24"/>
                <w:szCs w:val="24"/>
              </w:rPr>
            </w:pPr>
            <w:r>
              <w:rPr>
                <w:rFonts w:ascii="宋体" w:hAnsi="宋体"/>
                <w:color w:val="000000"/>
                <w:sz w:val="24"/>
                <w:szCs w:val="24"/>
              </w:rPr>
              <w:t>名称</w:t>
            </w:r>
          </w:p>
        </w:tc>
        <w:tc>
          <w:tcPr>
            <w:tcW w:w="2551" w:type="dxa"/>
            <w:vAlign w:val="center"/>
          </w:tcPr>
          <w:p>
            <w:pPr>
              <w:jc w:val="center"/>
              <w:rPr>
                <w:rFonts w:hint="eastAsia" w:ascii="宋体" w:hAnsi="宋体"/>
                <w:color w:val="000000"/>
                <w:sz w:val="24"/>
                <w:szCs w:val="24"/>
              </w:rPr>
            </w:pPr>
            <w:r>
              <w:rPr>
                <w:rFonts w:hint="eastAsia" w:ascii="宋体" w:hAnsi="宋体"/>
                <w:color w:val="000000"/>
                <w:sz w:val="24"/>
                <w:szCs w:val="24"/>
              </w:rPr>
              <w:t>项目要求值</w:t>
            </w:r>
          </w:p>
        </w:tc>
        <w:tc>
          <w:tcPr>
            <w:tcW w:w="1843" w:type="dxa"/>
            <w:vAlign w:val="center"/>
          </w:tcPr>
          <w:p>
            <w:pPr>
              <w:jc w:val="center"/>
              <w:rPr>
                <w:rFonts w:hint="eastAsia" w:ascii="宋体" w:hAnsi="宋体"/>
                <w:color w:val="000000"/>
                <w:sz w:val="24"/>
                <w:szCs w:val="24"/>
              </w:rPr>
            </w:pPr>
            <w:r>
              <w:rPr>
                <w:rFonts w:hint="eastAsia" w:ascii="宋体" w:hAnsi="宋体"/>
                <w:color w:val="000000"/>
                <w:sz w:val="24"/>
                <w:szCs w:val="24"/>
              </w:rPr>
              <w:t>投标方</w:t>
            </w:r>
            <w:r>
              <w:rPr>
                <w:rFonts w:ascii="宋体" w:hAnsi="宋体"/>
                <w:color w:val="000000"/>
                <w:sz w:val="24"/>
                <w:szCs w:val="24"/>
              </w:rPr>
              <w:t>保证值</w:t>
            </w:r>
          </w:p>
        </w:tc>
        <w:tc>
          <w:tcPr>
            <w:tcW w:w="1286" w:type="dxa"/>
            <w:vAlign w:val="center"/>
          </w:tcPr>
          <w:p>
            <w:pPr>
              <w:jc w:val="center"/>
              <w:rPr>
                <w:rFonts w:hint="eastAsia" w:ascii="宋体" w:hAnsi="宋体"/>
                <w:color w:val="000000"/>
                <w:sz w:val="24"/>
                <w:szCs w:val="24"/>
              </w:rPr>
            </w:pPr>
            <w:r>
              <w:rPr>
                <w:rFonts w:hint="eastAsia" w:ascii="宋体" w:hAnsi="宋体"/>
                <w:color w:val="000000"/>
                <w:sz w:val="24"/>
                <w:szCs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pPr>
              <w:jc w:val="center"/>
              <w:rPr>
                <w:rFonts w:hint="eastAsia" w:ascii="宋体" w:hAnsi="宋体"/>
                <w:color w:val="000000"/>
                <w:sz w:val="24"/>
                <w:szCs w:val="24"/>
              </w:rPr>
            </w:pPr>
            <w:r>
              <w:rPr>
                <w:rFonts w:hint="eastAsia" w:ascii="宋体" w:hAnsi="宋体"/>
                <w:color w:val="000000"/>
                <w:sz w:val="24"/>
                <w:szCs w:val="24"/>
              </w:rPr>
              <w:t>1</w:t>
            </w:r>
          </w:p>
        </w:tc>
        <w:tc>
          <w:tcPr>
            <w:tcW w:w="2672" w:type="dxa"/>
            <w:vAlign w:val="center"/>
          </w:tcPr>
          <w:p>
            <w:pPr>
              <w:jc w:val="center"/>
              <w:rPr>
                <w:rFonts w:hint="eastAsia" w:ascii="宋体" w:hAnsi="宋体"/>
                <w:color w:val="000000"/>
                <w:sz w:val="24"/>
                <w:szCs w:val="24"/>
              </w:rPr>
            </w:pPr>
            <w:r>
              <w:rPr>
                <w:rFonts w:hint="eastAsia" w:ascii="宋体" w:hAnsi="宋体"/>
                <w:color w:val="000000"/>
                <w:sz w:val="24"/>
                <w:szCs w:val="24"/>
                <w:lang w:val="en-US" w:eastAsia="zh-CN"/>
              </w:rPr>
              <w:t>环境</w:t>
            </w:r>
            <w:r>
              <w:rPr>
                <w:rFonts w:hint="eastAsia" w:ascii="宋体" w:hAnsi="宋体"/>
                <w:color w:val="000000"/>
                <w:sz w:val="24"/>
                <w:szCs w:val="24"/>
              </w:rPr>
              <w:t>温度</w:t>
            </w:r>
          </w:p>
        </w:tc>
        <w:tc>
          <w:tcPr>
            <w:tcW w:w="2551" w:type="dxa"/>
            <w:vAlign w:val="center"/>
          </w:tcPr>
          <w:p>
            <w:pPr>
              <w:jc w:val="center"/>
              <w:rPr>
                <w:rFonts w:hint="eastAsia" w:ascii="宋体" w:hAnsi="宋体"/>
                <w:color w:val="000000"/>
                <w:sz w:val="24"/>
                <w:szCs w:val="24"/>
              </w:rPr>
            </w:pPr>
            <w:r>
              <w:rPr>
                <w:rFonts w:hint="eastAsia" w:ascii="宋体" w:hAnsi="宋体"/>
                <w:color w:val="000000"/>
                <w:sz w:val="24"/>
                <w:szCs w:val="24"/>
                <w:lang w:val="en-US" w:eastAsia="zh-CN"/>
              </w:rPr>
              <w:t>0</w:t>
            </w:r>
            <w:r>
              <w:rPr>
                <w:rFonts w:hint="eastAsia" w:ascii="宋体" w:hAnsi="宋体"/>
                <w:color w:val="000000"/>
                <w:sz w:val="24"/>
                <w:szCs w:val="24"/>
              </w:rPr>
              <w:t>℃~+</w:t>
            </w:r>
            <w:r>
              <w:rPr>
                <w:rFonts w:hint="eastAsia" w:ascii="宋体" w:hAnsi="宋体"/>
                <w:color w:val="000000"/>
                <w:sz w:val="24"/>
                <w:szCs w:val="24"/>
                <w:lang w:val="en-US" w:eastAsia="zh-CN"/>
              </w:rPr>
              <w:t>40</w:t>
            </w:r>
            <w:r>
              <w:rPr>
                <w:rFonts w:hint="eastAsia" w:ascii="宋体" w:hAnsi="宋体"/>
                <w:color w:val="000000"/>
                <w:sz w:val="24"/>
                <w:szCs w:val="24"/>
              </w:rPr>
              <w:t>℃</w:t>
            </w:r>
          </w:p>
        </w:tc>
        <w:tc>
          <w:tcPr>
            <w:tcW w:w="1843" w:type="dxa"/>
            <w:vAlign w:val="center"/>
          </w:tcPr>
          <w:p>
            <w:pPr>
              <w:spacing w:line="360" w:lineRule="auto"/>
              <w:jc w:val="center"/>
              <w:rPr>
                <w:rFonts w:hint="eastAsia" w:ascii="宋体" w:hAnsi="宋体"/>
                <w:color w:val="000000"/>
                <w:sz w:val="24"/>
                <w:szCs w:val="24"/>
              </w:rPr>
            </w:pPr>
          </w:p>
        </w:tc>
        <w:tc>
          <w:tcPr>
            <w:tcW w:w="1286" w:type="dxa"/>
            <w:vAlign w:val="center"/>
          </w:tcPr>
          <w:p>
            <w:pPr>
              <w:spacing w:line="360" w:lineRule="auto"/>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2</w:t>
            </w:r>
          </w:p>
        </w:tc>
        <w:tc>
          <w:tcPr>
            <w:tcW w:w="2672" w:type="dxa"/>
            <w:vAlign w:val="center"/>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环境湿度</w:t>
            </w:r>
          </w:p>
        </w:tc>
        <w:tc>
          <w:tcPr>
            <w:tcW w:w="2551" w:type="dxa"/>
            <w:vAlign w:val="center"/>
          </w:tcPr>
          <w:p>
            <w:pPr>
              <w:jc w:val="center"/>
              <w:rPr>
                <w:rFonts w:hint="eastAsia" w:ascii="宋体" w:hAnsi="宋体"/>
                <w:color w:val="000000"/>
                <w:sz w:val="24"/>
                <w:szCs w:val="24"/>
                <w:lang w:val="en-US" w:eastAsia="zh-CN"/>
              </w:rPr>
            </w:pPr>
            <w:r>
              <w:rPr>
                <w:rFonts w:hint="eastAsia" w:ascii="宋体" w:hAnsi="宋体"/>
                <w:color w:val="000000"/>
                <w:sz w:val="24"/>
                <w:szCs w:val="24"/>
                <w:lang w:val="en-US" w:eastAsia="zh-CN"/>
              </w:rPr>
              <w:t>≤90%</w:t>
            </w:r>
          </w:p>
        </w:tc>
        <w:tc>
          <w:tcPr>
            <w:tcW w:w="1843" w:type="dxa"/>
            <w:vAlign w:val="center"/>
          </w:tcPr>
          <w:p>
            <w:pPr>
              <w:spacing w:line="360" w:lineRule="auto"/>
              <w:jc w:val="center"/>
              <w:rPr>
                <w:rFonts w:hint="eastAsia" w:ascii="宋体" w:hAnsi="宋体" w:eastAsia="宋体"/>
                <w:color w:val="000000"/>
                <w:sz w:val="24"/>
                <w:szCs w:val="24"/>
                <w:lang w:val="en-US" w:eastAsia="zh-CN"/>
              </w:rPr>
            </w:pPr>
          </w:p>
        </w:tc>
        <w:tc>
          <w:tcPr>
            <w:tcW w:w="1286" w:type="dxa"/>
            <w:vAlign w:val="center"/>
          </w:tcPr>
          <w:p>
            <w:pPr>
              <w:spacing w:line="360" w:lineRule="auto"/>
              <w:jc w:val="center"/>
              <w:rPr>
                <w:rFonts w:hint="eastAsia" w:ascii="宋体" w:hAnsi="宋体"/>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3</w:t>
            </w:r>
          </w:p>
        </w:tc>
        <w:tc>
          <w:tcPr>
            <w:tcW w:w="2672" w:type="dxa"/>
            <w:vAlign w:val="center"/>
          </w:tcPr>
          <w:p>
            <w:pPr>
              <w:jc w:val="center"/>
              <w:rPr>
                <w:rFonts w:hint="eastAsia" w:ascii="宋体" w:hAnsi="宋体"/>
                <w:color w:val="000000"/>
                <w:sz w:val="24"/>
                <w:szCs w:val="24"/>
              </w:rPr>
            </w:pPr>
            <w:r>
              <w:rPr>
                <w:rFonts w:hint="eastAsia" w:ascii="宋体" w:hAnsi="宋体"/>
                <w:color w:val="000000"/>
                <w:sz w:val="24"/>
                <w:szCs w:val="24"/>
              </w:rPr>
              <w:t>海拔高度</w:t>
            </w:r>
          </w:p>
        </w:tc>
        <w:tc>
          <w:tcPr>
            <w:tcW w:w="2551" w:type="dxa"/>
            <w:vAlign w:val="center"/>
          </w:tcPr>
          <w:p>
            <w:pPr>
              <w:jc w:val="center"/>
              <w:rPr>
                <w:rFonts w:hint="eastAsia" w:ascii="宋体" w:hAnsi="宋体"/>
                <w:color w:val="000000"/>
                <w:sz w:val="24"/>
                <w:szCs w:val="24"/>
              </w:rPr>
            </w:pPr>
            <w:r>
              <w:rPr>
                <w:rFonts w:hint="eastAsia" w:ascii="宋体" w:hAnsi="宋体"/>
                <w:color w:val="000000"/>
                <w:sz w:val="24"/>
                <w:szCs w:val="24"/>
              </w:rPr>
              <w:t>小于</w:t>
            </w:r>
            <w:r>
              <w:rPr>
                <w:rFonts w:hint="eastAsia" w:ascii="宋体" w:hAnsi="宋体"/>
                <w:color w:val="000000"/>
                <w:sz w:val="24"/>
                <w:szCs w:val="24"/>
                <w:lang w:val="en-US" w:eastAsia="zh-CN"/>
              </w:rPr>
              <w:t>2</w:t>
            </w:r>
            <w:r>
              <w:rPr>
                <w:rFonts w:hint="eastAsia" w:ascii="宋体" w:hAnsi="宋体"/>
                <w:color w:val="000000"/>
                <w:sz w:val="24"/>
                <w:szCs w:val="24"/>
              </w:rPr>
              <w:t>000m</w:t>
            </w:r>
          </w:p>
        </w:tc>
        <w:tc>
          <w:tcPr>
            <w:tcW w:w="1843" w:type="dxa"/>
            <w:vAlign w:val="center"/>
          </w:tcPr>
          <w:p>
            <w:pPr>
              <w:spacing w:line="360" w:lineRule="auto"/>
              <w:jc w:val="center"/>
              <w:rPr>
                <w:rFonts w:hint="eastAsia" w:ascii="宋体" w:hAnsi="宋体"/>
                <w:color w:val="000000"/>
                <w:sz w:val="24"/>
                <w:szCs w:val="24"/>
              </w:rPr>
            </w:pPr>
          </w:p>
        </w:tc>
        <w:tc>
          <w:tcPr>
            <w:tcW w:w="1286" w:type="dxa"/>
            <w:vAlign w:val="center"/>
          </w:tcPr>
          <w:p>
            <w:pPr>
              <w:spacing w:line="360" w:lineRule="auto"/>
              <w:jc w:val="center"/>
              <w:rPr>
                <w:rFonts w:hint="eastAsia" w:ascii="宋体" w:hAnsi="宋体"/>
                <w:color w:val="000000"/>
                <w:sz w:val="24"/>
                <w:szCs w:val="24"/>
              </w:rPr>
            </w:pPr>
          </w:p>
        </w:tc>
      </w:tr>
      <w:bookmarkEnd w:id="13"/>
    </w:tbl>
    <w:p>
      <w:pPr>
        <w:pStyle w:val="4"/>
        <w:numPr>
          <w:ilvl w:val="0"/>
          <w:numId w:val="0"/>
        </w:numPr>
        <w:snapToGrid/>
        <w:spacing w:before="312" w:line="480" w:lineRule="auto"/>
        <w:rPr>
          <w:rFonts w:hint="eastAsia" w:hAnsi="宋体"/>
          <w:color w:val="000000"/>
          <w:sz w:val="24"/>
          <w:szCs w:val="24"/>
        </w:rPr>
      </w:pPr>
      <w:bookmarkStart w:id="14" w:name="_Toc276490903"/>
      <w:bookmarkStart w:id="15" w:name="_Toc276492375"/>
      <w:bookmarkStart w:id="16" w:name="_Toc17233"/>
      <w:r>
        <w:rPr>
          <w:rFonts w:hint="eastAsia" w:hAnsi="宋体"/>
          <w:color w:val="000000"/>
          <w:sz w:val="24"/>
          <w:szCs w:val="24"/>
        </w:rPr>
        <w:t>5技术</w:t>
      </w:r>
      <w:bookmarkEnd w:id="14"/>
      <w:bookmarkEnd w:id="15"/>
      <w:r>
        <w:rPr>
          <w:rFonts w:hint="eastAsia" w:hAnsi="宋体"/>
          <w:color w:val="000000"/>
          <w:sz w:val="24"/>
          <w:szCs w:val="24"/>
        </w:rPr>
        <w:t>要求</w:t>
      </w:r>
      <w:bookmarkEnd w:id="16"/>
    </w:p>
    <w:p>
      <w:pPr>
        <w:spacing w:line="360" w:lineRule="auto"/>
        <w:ind w:firstLine="480" w:firstLineChars="200"/>
        <w:rPr>
          <w:rFonts w:hint="eastAsia" w:ascii="宋体" w:hAnsi="宋体" w:cs="Times New Roman"/>
          <w:color w:val="000000"/>
          <w:sz w:val="24"/>
          <w:szCs w:val="24"/>
          <w:lang w:eastAsia="zh-CN"/>
        </w:rPr>
      </w:pPr>
      <w:r>
        <w:rPr>
          <w:rFonts w:hint="eastAsia" w:ascii="宋体" w:hAnsi="宋体" w:cs="Times New Roman"/>
          <w:color w:val="000000"/>
          <w:sz w:val="24"/>
          <w:szCs w:val="24"/>
        </w:rPr>
        <w:t>投标方应认真逐项填写所供设备技术参数和性能要求响应表中“投标方保证值”栏，不能空格，也不能以“响应”两字代替，不允许改动本表内“投标方保证值”栏之外的数值。标注“★”的条款为关键条款</w:t>
      </w:r>
      <w:r>
        <w:rPr>
          <w:rFonts w:hint="eastAsia" w:ascii="宋体" w:hAnsi="宋体" w:cs="Times New Roman"/>
          <w:color w:val="000000"/>
          <w:sz w:val="24"/>
          <w:szCs w:val="24"/>
          <w:lang w:eastAsia="zh-CN"/>
        </w:rPr>
        <w:t>，</w:t>
      </w:r>
      <w:r>
        <w:rPr>
          <w:rFonts w:hint="eastAsia" w:ascii="宋体" w:hAnsi="宋体" w:cs="Times New Roman"/>
          <w:color w:val="000000"/>
          <w:sz w:val="24"/>
          <w:szCs w:val="24"/>
          <w:lang w:val="en-US" w:eastAsia="zh-CN"/>
        </w:rPr>
        <w:t>投标方应提供对应的CNAS检测报告，</w:t>
      </w:r>
      <w:r>
        <w:rPr>
          <w:rFonts w:hint="eastAsia" w:ascii="宋体" w:hAnsi="宋体" w:cs="Times New Roman"/>
          <w:color w:val="000000"/>
          <w:sz w:val="24"/>
          <w:szCs w:val="24"/>
        </w:rPr>
        <w:t>否则视为不响应技术要求</w:t>
      </w:r>
      <w:r>
        <w:rPr>
          <w:rFonts w:hint="eastAsia" w:ascii="宋体" w:hAnsi="宋体" w:cs="Times New Roman"/>
          <w:color w:val="000000"/>
          <w:sz w:val="24"/>
          <w:szCs w:val="24"/>
          <w:lang w:eastAsia="zh-CN"/>
        </w:rPr>
        <w:t>。</w:t>
      </w:r>
      <w:bookmarkStart w:id="17" w:name="_Toc276492376"/>
      <w:bookmarkStart w:id="18" w:name="_Hlk522315732"/>
      <w:bookmarkStart w:id="19" w:name="_Toc283566854"/>
      <w:bookmarkStart w:id="20" w:name="_Toc277597196"/>
    </w:p>
    <w:p>
      <w:pPr>
        <w:pStyle w:val="5"/>
        <w:numPr>
          <w:ilvl w:val="0"/>
          <w:numId w:val="0"/>
        </w:numPr>
        <w:rPr>
          <w:rFonts w:hint="default" w:hAnsi="宋体" w:eastAsia="宋体"/>
          <w:color w:val="000000"/>
          <w:sz w:val="24"/>
          <w:szCs w:val="24"/>
          <w:lang w:val="en-US" w:eastAsia="zh-CN"/>
        </w:rPr>
      </w:pPr>
      <w:bookmarkStart w:id="21" w:name="_Toc2924"/>
      <w:r>
        <w:rPr>
          <w:rFonts w:hint="eastAsia" w:hAnsi="宋体"/>
          <w:color w:val="000000"/>
          <w:sz w:val="24"/>
          <w:szCs w:val="24"/>
          <w:lang w:val="en-US" w:eastAsia="zh-CN"/>
        </w:rPr>
        <w:t>5.1技术参数</w:t>
      </w:r>
      <w:bookmarkEnd w:id="21"/>
    </w:p>
    <w:tbl>
      <w:tblPr>
        <w:tblStyle w:val="23"/>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479"/>
        <w:gridCol w:w="6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45" w:type="dxa"/>
            <w:vAlign w:val="center"/>
          </w:tcPr>
          <w:p>
            <w:pPr>
              <w:widowControl/>
              <w:spacing w:before="100" w:beforeAutospacing="1" w:after="100" w:afterAutospacing="1" w:line="240" w:lineRule="exact"/>
              <w:jc w:val="center"/>
              <w:rPr>
                <w:rFonts w:hint="eastAsia" w:asciiTheme="majorEastAsia" w:hAnsiTheme="majorEastAsia" w:eastAsiaTheme="majorEastAsia" w:cstheme="majorEastAsia"/>
                <w:color w:val="000000"/>
                <w:kern w:val="0"/>
                <w:sz w:val="24"/>
                <w:szCs w:val="24"/>
              </w:rPr>
            </w:pPr>
            <w:r>
              <w:rPr>
                <w:rFonts w:hint="eastAsia" w:asciiTheme="majorEastAsia" w:hAnsiTheme="majorEastAsia" w:eastAsiaTheme="majorEastAsia" w:cstheme="majorEastAsia"/>
                <w:color w:val="000000"/>
                <w:kern w:val="0"/>
                <w:sz w:val="24"/>
                <w:szCs w:val="24"/>
              </w:rPr>
              <w:t>序号</w:t>
            </w:r>
          </w:p>
        </w:tc>
        <w:tc>
          <w:tcPr>
            <w:tcW w:w="1479" w:type="dxa"/>
            <w:vAlign w:val="center"/>
          </w:tcPr>
          <w:p>
            <w:pPr>
              <w:widowControl/>
              <w:spacing w:before="100" w:beforeAutospacing="1" w:after="100" w:afterAutospacing="1" w:line="240" w:lineRule="exact"/>
              <w:jc w:val="center"/>
              <w:rPr>
                <w:rFonts w:hint="eastAsia" w:asciiTheme="majorEastAsia" w:hAnsiTheme="majorEastAsia" w:eastAsiaTheme="majorEastAsia" w:cstheme="majorEastAsia"/>
                <w:color w:val="000000"/>
                <w:kern w:val="0"/>
                <w:sz w:val="24"/>
                <w:szCs w:val="24"/>
              </w:rPr>
            </w:pPr>
            <w:r>
              <w:rPr>
                <w:rFonts w:hint="eastAsia" w:asciiTheme="majorEastAsia" w:hAnsiTheme="majorEastAsia" w:eastAsiaTheme="majorEastAsia" w:cstheme="majorEastAsia"/>
                <w:color w:val="000000"/>
                <w:kern w:val="0"/>
                <w:sz w:val="24"/>
                <w:szCs w:val="24"/>
              </w:rPr>
              <w:t>项目</w:t>
            </w:r>
          </w:p>
        </w:tc>
        <w:tc>
          <w:tcPr>
            <w:tcW w:w="6206" w:type="dxa"/>
            <w:vAlign w:val="center"/>
          </w:tcPr>
          <w:p>
            <w:pPr>
              <w:widowControl/>
              <w:spacing w:before="100" w:beforeAutospacing="1" w:after="100" w:afterAutospacing="1" w:line="240" w:lineRule="exact"/>
              <w:jc w:val="center"/>
              <w:rPr>
                <w:rFonts w:hint="default" w:asciiTheme="majorEastAsia" w:hAnsiTheme="majorEastAsia" w:eastAsiaTheme="majorEastAsia" w:cstheme="majorEastAsia"/>
                <w:color w:val="000000"/>
                <w:kern w:val="0"/>
                <w:sz w:val="24"/>
                <w:szCs w:val="24"/>
                <w:lang w:val="en-US" w:eastAsia="zh-CN"/>
              </w:rPr>
            </w:pPr>
            <w:r>
              <w:rPr>
                <w:rFonts w:hint="eastAsia" w:asciiTheme="majorEastAsia" w:hAnsiTheme="majorEastAsia" w:eastAsiaTheme="majorEastAsia" w:cstheme="majorEastAsia"/>
                <w:color w:val="000000"/>
                <w:kern w:val="0"/>
                <w:sz w:val="24"/>
                <w:szCs w:val="24"/>
                <w:lang w:val="en-US"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rPr>
              <w:t>1、</w:t>
            </w:r>
            <w:r>
              <w:rPr>
                <w:rFonts w:hint="eastAsia" w:asciiTheme="majorEastAsia" w:hAnsiTheme="majorEastAsia" w:eastAsiaTheme="majorEastAsia" w:cstheme="majorEastAsia"/>
                <w:b/>
                <w:bCs/>
                <w:color w:val="000000"/>
                <w:sz w:val="24"/>
                <w:szCs w:val="24"/>
                <w:lang w:val="en-US" w:eastAsia="zh-CN"/>
              </w:rPr>
              <w:t>高</w:t>
            </w:r>
            <w:r>
              <w:rPr>
                <w:rFonts w:hint="eastAsia"/>
                <w:b/>
                <w:bCs/>
              </w:rPr>
              <w:t>压装表接电培训装置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default"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1.1</w:t>
            </w:r>
          </w:p>
        </w:tc>
        <w:tc>
          <w:tcPr>
            <w:tcW w:w="1479" w:type="dxa"/>
            <w:shd w:val="clear" w:color="auto" w:fill="auto"/>
            <w:vAlign w:val="center"/>
          </w:tcPr>
          <w:p>
            <w:pPr>
              <w:widowControl/>
              <w:spacing w:line="360" w:lineRule="auto"/>
              <w:rPr>
                <w:rFonts w:hint="default" w:eastAsia="宋体" w:asciiTheme="majorEastAsia" w:hAnsiTheme="majorEastAsia" w:cstheme="majorEastAsia"/>
                <w:b w:val="0"/>
                <w:bCs w:val="0"/>
                <w:color w:val="000000"/>
                <w:sz w:val="24"/>
                <w:szCs w:val="24"/>
                <w:lang w:val="en-US" w:eastAsia="zh-CN"/>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1.2</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0"/>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程控虚负荷电压源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电压量程：100V（三相三线）、220V（三相四线）；</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各档位在0-120%平稳、连续可调，调节细度0.5%；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输出负载调整率：在最大输出和空载时，其幅值调整率小于2%；</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输出功率：最大90VA/相；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1.3</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程控虚负荷分布式电流源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程控虚负荷分布式电流源：</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电流量程：5A；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输出功率：最大20VA/相；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1.4</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标准故障模拟单元</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220V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default"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可实现参数下发、故障调用、运行数据实时上传。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cente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1.5</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通讯解析转换模块</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供电电源：DC 5V</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通信</w:t>
            </w:r>
            <w:r>
              <w:rPr>
                <w:rFonts w:ascii="宋体" w:hAnsi="宋体" w:eastAsia="宋体" w:cs="宋体"/>
                <w:color w:val="1F2329"/>
                <w:kern w:val="0"/>
                <w:sz w:val="24"/>
                <w:szCs w:val="24"/>
                <w:lang w:val="en-US" w:eastAsia="zh-CN" w:bidi="ar"/>
              </w:rPr>
              <w:t>协议通用兼容，可灵活适配不同类型的实训设备</w:t>
            </w:r>
            <w:r>
              <w:rPr>
                <w:rFonts w:hint="eastAsia" w:ascii="宋体" w:hAnsi="宋体" w:cs="宋体"/>
                <w:color w:val="1F2329"/>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widowControl/>
              <w:spacing w:line="360" w:lineRule="auto"/>
              <w:jc w:val="cente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1.6</w:t>
            </w:r>
          </w:p>
        </w:tc>
        <w:tc>
          <w:tcPr>
            <w:tcW w:w="1479"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仿真负控终端</w:t>
            </w:r>
          </w:p>
        </w:tc>
        <w:tc>
          <w:tcPr>
            <w:tcW w:w="6206"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通讯规约：DL/T 645-2007、DL/T 698.45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cente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1.7</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仿真智能电能表（高压表计）</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3×100V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b/>
                <w:bCs/>
                <w:color w:val="000000"/>
                <w:sz w:val="24"/>
                <w:szCs w:val="24"/>
                <w:lang w:val="en-US" w:eastAsia="zh-CN"/>
              </w:rPr>
              <w:t>2</w:t>
            </w:r>
            <w:r>
              <w:rPr>
                <w:rFonts w:hint="eastAsia" w:asciiTheme="majorEastAsia" w:hAnsiTheme="majorEastAsia" w:eastAsiaTheme="majorEastAsia" w:cstheme="majorEastAsia"/>
                <w:b/>
                <w:bCs/>
                <w:color w:val="000000"/>
                <w:sz w:val="24"/>
                <w:szCs w:val="24"/>
              </w:rPr>
              <w:t>、</w:t>
            </w:r>
            <w:r>
              <w:rPr>
                <w:rFonts w:hint="eastAsia"/>
                <w:b/>
                <w:bCs/>
              </w:rPr>
              <w:t>低压装表接电培训装置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电压</w:t>
            </w:r>
          </w:p>
        </w:tc>
        <w:tc>
          <w:tcPr>
            <w:tcW w:w="6206" w:type="dxa"/>
            <w:shd w:val="clear" w:color="auto" w:fill="auto"/>
            <w:vAlign w:val="center"/>
          </w:tcPr>
          <w:p>
            <w:pP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三相0～100V 连续可调，调节细度1</w:t>
            </w:r>
            <w:r>
              <w:rPr>
                <w:rFonts w:asciiTheme="majorEastAsia" w:hAnsiTheme="majorEastAsia" w:eastAsiaTheme="majorEastAsia" w:cstheme="majorEastAsia"/>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.2</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二次电流</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三相0～5A 连续可调，调节细度1</w:t>
            </w:r>
            <w:r>
              <w:rPr>
                <w:rFonts w:asciiTheme="majorEastAsia" w:hAnsiTheme="majorEastAsia" w:eastAsiaTheme="majorEastAsia" w:cstheme="majorEastAsia"/>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频率</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45～65</w:t>
            </w:r>
            <w:r>
              <w:rPr>
                <w:rFonts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rPr>
              <w:t>0Hz，调节细度0</w:t>
            </w:r>
            <w:r>
              <w:rPr>
                <w:rFonts w:asciiTheme="majorEastAsia" w:hAnsiTheme="majorEastAsia" w:eastAsiaTheme="majorEastAsia" w:cstheme="majorEastAsia"/>
                <w:color w:val="000000"/>
                <w:sz w:val="24"/>
                <w:szCs w:val="24"/>
              </w:rPr>
              <w:t>.05Hz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.4</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相位</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负载相位三相0～359.</w:t>
            </w:r>
            <w:r>
              <w:rPr>
                <w:rFonts w:asciiTheme="majorEastAsia" w:hAnsiTheme="majorEastAsia" w:eastAsiaTheme="majorEastAsia" w:cstheme="majorEastAsia"/>
                <w:color w:val="000000"/>
                <w:sz w:val="24"/>
                <w:szCs w:val="24"/>
              </w:rPr>
              <w:t>5</w:t>
            </w:r>
            <w:r>
              <w:rPr>
                <w:rFonts w:hint="eastAsia" w:asciiTheme="majorEastAsia" w:hAnsiTheme="majorEastAsia" w:eastAsiaTheme="majorEastAsia" w:cstheme="majorEastAsia"/>
                <w:color w:val="000000"/>
                <w:sz w:val="24"/>
                <w:szCs w:val="24"/>
              </w:rPr>
              <w:t>°；调节细度0.</w:t>
            </w:r>
            <w:r>
              <w:rPr>
                <w:rFonts w:asciiTheme="majorEastAsia" w:hAnsiTheme="majorEastAsia" w:eastAsiaTheme="majorEastAsia" w:cstheme="majorEastAsia"/>
                <w:color w:val="000000"/>
                <w:sz w:val="24"/>
                <w:szCs w:val="24"/>
              </w:rPr>
              <w:t>5</w:t>
            </w:r>
            <w:r>
              <w:rPr>
                <w:rFonts w:hint="eastAsia" w:asciiTheme="majorEastAsia" w:hAnsiTheme="majorEastAsia" w:eastAsiaTheme="majorEastAsia" w:cstheme="majorEastAsia"/>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.5</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2</w:t>
            </w:r>
            <w:r>
              <w:rPr>
                <w:rFonts w:hint="eastAsia" w:asciiTheme="majorEastAsia" w:hAnsiTheme="majorEastAsia" w:eastAsiaTheme="majorEastAsia" w:cstheme="majorEastAsia"/>
                <w:color w:val="000000"/>
                <w:sz w:val="24"/>
                <w:szCs w:val="24"/>
              </w:rPr>
              <w:t>.6</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电流表、电压表等级</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0.5级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lang w:val="en-US" w:eastAsia="zh-CN"/>
              </w:rPr>
              <w:t>2</w:t>
            </w:r>
            <w:r>
              <w:rPr>
                <w:rFonts w:hint="eastAsia" w:asciiTheme="majorEastAsia" w:hAnsiTheme="majorEastAsia" w:eastAsiaTheme="majorEastAsia" w:cstheme="majorEastAsia"/>
                <w:color w:val="000000"/>
                <w:sz w:val="28"/>
                <w:szCs w:val="28"/>
              </w:rPr>
              <w:t>.7</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rPr>
              <w:t>重量</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rPr>
              <w:t>≤2</w:t>
            </w:r>
            <w:r>
              <w:rPr>
                <w:rFonts w:asciiTheme="majorEastAsia" w:hAnsiTheme="majorEastAsia" w:eastAsiaTheme="majorEastAsia" w:cstheme="majorEastAsia"/>
                <w:color w:val="000000"/>
                <w:sz w:val="28"/>
                <w:szCs w:val="28"/>
              </w:rPr>
              <w:t>00</w:t>
            </w:r>
            <w:r>
              <w:rPr>
                <w:rFonts w:hint="eastAsia" w:asciiTheme="majorEastAsia" w:hAnsiTheme="majorEastAsia" w:eastAsiaTheme="majorEastAsia" w:cstheme="majorEastAsia"/>
                <w:color w:val="000000"/>
                <w:sz w:val="28"/>
                <w:szCs w:val="28"/>
              </w:rPr>
              <w:t>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lang w:val="en-US" w:eastAsia="zh-CN"/>
              </w:rPr>
              <w:t>2</w:t>
            </w:r>
            <w:r>
              <w:rPr>
                <w:rFonts w:hint="eastAsia" w:asciiTheme="majorEastAsia" w:hAnsiTheme="majorEastAsia" w:eastAsiaTheme="majorEastAsia" w:cstheme="majorEastAsia"/>
                <w:color w:val="000000"/>
                <w:sz w:val="28"/>
                <w:szCs w:val="28"/>
              </w:rPr>
              <w:t>.8</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rPr>
              <w:t>尺寸</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8"/>
                <w:szCs w:val="28"/>
                <w:lang w:val="en-US" w:eastAsia="zh-CN" w:bidi="ar-SA"/>
              </w:rPr>
            </w:pPr>
            <w:r>
              <w:rPr>
                <w:rFonts w:hint="eastAsia" w:asciiTheme="majorEastAsia" w:hAnsiTheme="majorEastAsia" w:eastAsiaTheme="majorEastAsia" w:cstheme="majorEastAsia"/>
                <w:color w:val="000000"/>
                <w:sz w:val="28"/>
                <w:szCs w:val="28"/>
              </w:rPr>
              <w:t>800×6</w:t>
            </w:r>
            <w:r>
              <w:rPr>
                <w:rFonts w:asciiTheme="majorEastAsia" w:hAnsiTheme="majorEastAsia" w:eastAsiaTheme="majorEastAsia" w:cstheme="majorEastAsia"/>
                <w:color w:val="000000"/>
                <w:sz w:val="28"/>
                <w:szCs w:val="28"/>
              </w:rPr>
              <w:t>0</w:t>
            </w:r>
            <w:r>
              <w:rPr>
                <w:rFonts w:hint="eastAsia" w:asciiTheme="majorEastAsia" w:hAnsiTheme="majorEastAsia" w:eastAsiaTheme="majorEastAsia" w:cstheme="majorEastAsia"/>
                <w:color w:val="000000"/>
                <w:sz w:val="28"/>
                <w:szCs w:val="28"/>
              </w:rPr>
              <w:t>0mm×2300mm（宽×深×高）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3</w:t>
            </w:r>
            <w:r>
              <w:rPr>
                <w:rFonts w:hint="eastAsia" w:asciiTheme="majorEastAsia" w:hAnsiTheme="majorEastAsia" w:eastAsiaTheme="majorEastAsia" w:cstheme="majorEastAsia"/>
                <w:b/>
                <w:bCs/>
                <w:color w:val="000000"/>
                <w:sz w:val="24"/>
                <w:szCs w:val="24"/>
              </w:rPr>
              <w:t>、</w:t>
            </w:r>
            <w:r>
              <w:rPr>
                <w:rFonts w:hint="eastAsia" w:asciiTheme="majorEastAsia" w:hAnsiTheme="majorEastAsia" w:eastAsiaTheme="majorEastAsia" w:cstheme="majorEastAsia"/>
                <w:b/>
                <w:bCs/>
                <w:color w:val="000000"/>
                <w:sz w:val="24"/>
                <w:szCs w:val="24"/>
                <w:lang w:val="en-US" w:eastAsia="zh-CN"/>
              </w:rPr>
              <w:t>低压集抄</w:t>
            </w:r>
            <w:r>
              <w:rPr>
                <w:rFonts w:hint="eastAsia" w:asciiTheme="majorEastAsia" w:hAnsiTheme="majorEastAsia" w:eastAsiaTheme="majorEastAsia" w:cstheme="majorEastAsia"/>
                <w:b/>
                <w:bCs/>
                <w:color w:val="000000"/>
                <w:sz w:val="24"/>
                <w:szCs w:val="24"/>
              </w:rPr>
              <w:t>培训装置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3.1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3.2</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单列柜体功耗</w:t>
            </w:r>
          </w:p>
        </w:tc>
        <w:tc>
          <w:tcPr>
            <w:tcW w:w="6206"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≤800VA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3.3</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程控虚负荷分布式电流源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程控虚负荷分布式电流源：</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电流量程：5A；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输出功率：最大20VA/相；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3.4</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标准故障模拟单元</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220V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可实现参数下发、故障调用、运行数据实时上传。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3.5</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通讯解析转换模块</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供电电源：DC 5V</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通信</w:t>
            </w:r>
            <w:r>
              <w:rPr>
                <w:rFonts w:ascii="宋体" w:hAnsi="宋体" w:eastAsia="宋体" w:cs="宋体"/>
                <w:color w:val="1F2329"/>
                <w:kern w:val="0"/>
                <w:sz w:val="24"/>
                <w:szCs w:val="24"/>
                <w:lang w:val="en-US" w:eastAsia="zh-CN" w:bidi="ar"/>
              </w:rPr>
              <w:t>协议通用兼容，可灵活适配不同类型的实训设备</w:t>
            </w:r>
            <w:r>
              <w:rPr>
                <w:rFonts w:hint="eastAsia" w:ascii="宋体" w:hAnsi="宋体" w:cs="宋体"/>
                <w:color w:val="1F2329"/>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3.6</w:t>
            </w:r>
          </w:p>
        </w:tc>
        <w:tc>
          <w:tcPr>
            <w:tcW w:w="1479"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仿真负控终端</w:t>
            </w:r>
          </w:p>
        </w:tc>
        <w:tc>
          <w:tcPr>
            <w:tcW w:w="6206"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通讯规约：DL/T 645-2007、DL/T 698.45-2017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3.7</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仿真智能电能表（高压表计）</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3.8</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仿真集中器</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通讯方式：LAN + GPRS + 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3.9</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单列柜重量</w:t>
            </w:r>
          </w:p>
        </w:tc>
        <w:tc>
          <w:tcPr>
            <w:tcW w:w="6206"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＜150kg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4</w:t>
            </w:r>
            <w:r>
              <w:rPr>
                <w:rFonts w:hint="eastAsia" w:asciiTheme="majorEastAsia" w:hAnsiTheme="majorEastAsia" w:eastAsiaTheme="majorEastAsia" w:cstheme="majorEastAsia"/>
                <w:b/>
                <w:bCs/>
                <w:color w:val="000000"/>
                <w:sz w:val="24"/>
                <w:szCs w:val="24"/>
              </w:rPr>
              <w:t>、智能电能表仿真系统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4.1</w:t>
            </w:r>
          </w:p>
        </w:tc>
        <w:tc>
          <w:tcPr>
            <w:tcW w:w="1479" w:type="dxa"/>
            <w:shd w:val="clear" w:color="auto" w:fill="auto"/>
            <w:vAlign w:val="center"/>
          </w:tcPr>
          <w:p>
            <w:pPr>
              <w:widowControl/>
              <w:spacing w:line="360" w:lineRule="auto"/>
              <w:rPr>
                <w:rFonts w:hint="eastAsia" w:eastAsia="宋体" w:asciiTheme="majorEastAsia" w:hAnsiTheme="majorEastAsia" w:cstheme="majorEastAsia"/>
                <w:b w:val="0"/>
                <w:bCs w:val="0"/>
                <w:color w:val="000000"/>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2</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显示单元</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屏幕尺寸：19寸</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操作方式：触控+键盘鼠标</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内存：8G+256G；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语音计时系统单元</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显示窗：DC 24V供电;4位数码管，可倒计时显示；</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语音播报：3Ω，8W；</w:t>
            </w:r>
          </w:p>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语音控制模块：RS485通讯；DC 24V供电;语音内容可自定义。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4</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接线分析系统单元</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DC 5V供电;</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RS485通讯；</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3U3I检测；</w:t>
            </w:r>
          </w:p>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三相三线和三相四线计量模式自动切换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5</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虚负荷电源单元</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RS232通讯；</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3U3I输出；</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三相0～220V 连续可调，调节细度1%；</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三相0～5A 连续可调，调节细度1%；</w:t>
            </w:r>
          </w:p>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负载相位三相0～359.5°；调节细度0.5°。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6</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接线仿真系统单元</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RS485通讯；</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DC 5V供电;</w:t>
            </w:r>
          </w:p>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智能判断更新接线方式。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7</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三相四线仿真表</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仿真型：具备真实电能表外观、功能和协议；</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额定电压：3*220V；</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额定电流：1.5 (6) A；</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额定频率：50Hz；</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通讯功能：RS485、红外；</w:t>
            </w:r>
          </w:p>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脉冲常数：6400imp/kWh。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4</w:t>
            </w:r>
            <w:r>
              <w:rPr>
                <w:rFonts w:hint="eastAsia" w:asciiTheme="majorEastAsia" w:hAnsiTheme="majorEastAsia" w:eastAsiaTheme="majorEastAsia" w:cstheme="majorEastAsia"/>
                <w:color w:val="000000"/>
                <w:sz w:val="24"/>
                <w:szCs w:val="24"/>
              </w:rPr>
              <w:t>.</w:t>
            </w:r>
            <w:r>
              <w:rPr>
                <w:rFonts w:hint="eastAsia" w:asciiTheme="majorEastAsia" w:hAnsiTheme="majorEastAsia" w:eastAsiaTheme="majorEastAsia" w:cstheme="majorEastAsia"/>
                <w:color w:val="000000"/>
                <w:sz w:val="24"/>
                <w:szCs w:val="24"/>
                <w:lang w:val="en-US" w:eastAsia="zh-CN"/>
              </w:rPr>
              <w:t>8</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三相四线仿真终端</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仿真型：具备真实终端外观、功能和协议；</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额定电压：3*220V；</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额定电流：1.5 (6) A；</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额定频率：50Hz；</w:t>
            </w:r>
          </w:p>
          <w:p>
            <w:pPr>
              <w:topLinePunct/>
              <w:adjustRightInd w:val="0"/>
              <w:snapToGrid w:val="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通讯功能：GPRS、局域网、RS485、红外；</w:t>
            </w:r>
          </w:p>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脉冲常数：10000imp/kWh。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5</w:t>
            </w:r>
            <w:r>
              <w:rPr>
                <w:rFonts w:hint="eastAsia" w:asciiTheme="majorEastAsia" w:hAnsiTheme="majorEastAsia" w:eastAsiaTheme="majorEastAsia" w:cstheme="majorEastAsia"/>
                <w:b/>
                <w:bCs/>
                <w:color w:val="000000"/>
                <w:sz w:val="24"/>
                <w:szCs w:val="24"/>
              </w:rPr>
              <w:t>、厂站计量培训装置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5</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5</w:t>
            </w:r>
            <w:r>
              <w:rPr>
                <w:rFonts w:hint="eastAsia" w:asciiTheme="majorEastAsia" w:hAnsiTheme="majorEastAsia" w:eastAsiaTheme="majorEastAsia" w:cstheme="majorEastAsia"/>
                <w:color w:val="000000"/>
                <w:sz w:val="24"/>
                <w:szCs w:val="24"/>
              </w:rPr>
              <w:t>.2</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柜体尺寸</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宽深高：800*600*2200mm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5</w:t>
            </w:r>
            <w:r>
              <w:rPr>
                <w:rFonts w:hint="eastAsia" w:asciiTheme="majorEastAsia" w:hAnsiTheme="majorEastAsia" w:eastAsiaTheme="majorEastAsia" w:cstheme="majorEastAsia"/>
                <w:color w:val="000000"/>
                <w:sz w:val="24"/>
                <w:szCs w:val="24"/>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装置功率</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≤1kW。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5</w:t>
            </w:r>
            <w:r>
              <w:rPr>
                <w:rFonts w:hint="eastAsia" w:asciiTheme="majorEastAsia" w:hAnsiTheme="majorEastAsia" w:eastAsiaTheme="majorEastAsia" w:cstheme="majorEastAsia"/>
                <w:color w:val="000000"/>
                <w:sz w:val="24"/>
                <w:szCs w:val="24"/>
              </w:rPr>
              <w:t>.4</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重量</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约300kg。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6</w:t>
            </w:r>
            <w:r>
              <w:rPr>
                <w:rFonts w:hint="eastAsia" w:asciiTheme="majorEastAsia" w:hAnsiTheme="majorEastAsia" w:eastAsiaTheme="majorEastAsia" w:cstheme="majorEastAsia"/>
                <w:b/>
                <w:bCs/>
                <w:color w:val="000000"/>
                <w:sz w:val="24"/>
                <w:szCs w:val="24"/>
              </w:rPr>
              <w:t>、低压配电柜实训系统（含AR系统）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6</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6.2</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光学显示</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双目透视，视场角≥50°，分辨率≥1920×1080，支持亮度调节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6.3</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交互方式</w:t>
            </w:r>
          </w:p>
        </w:tc>
        <w:tc>
          <w:tcPr>
            <w:tcW w:w="6206" w:type="dxa"/>
            <w:shd w:val="clear" w:color="auto" w:fill="auto"/>
            <w:vAlign w:val="center"/>
          </w:tcPr>
          <w:tbl>
            <w:tblPr>
              <w:tblStyle w:val="23"/>
              <w:tblW w:w="0" w:type="auto"/>
              <w:tblInd w:w="-1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8640" w:type="dxa"/>
                  <w:shd w:val="clear" w:color="auto" w:fill="FFFFFF"/>
                  <w:tcMar>
                    <w:top w:w="100" w:type="dxa"/>
                    <w:left w:w="160" w:type="dxa"/>
                    <w:bottom w:w="100" w:type="dxa"/>
                    <w:right w:w="160" w:type="dxa"/>
                  </w:tcMar>
                  <w:vAlign w:val="center"/>
                </w:tcPr>
                <w:p>
                  <w:pPr>
                    <w:spacing w:line="360" w:lineRule="auto"/>
                    <w:rPr>
                      <w:rFonts w:hint="default" w:ascii="宋体" w:hAnsi="宋体" w:cs="Times New Roman"/>
                      <w:color w:val="auto"/>
                      <w:sz w:val="24"/>
                      <w:szCs w:val="24"/>
                      <w:lang w:val="en-US" w:eastAsia="zh-CN"/>
                    </w:rPr>
                  </w:pPr>
                  <w:r>
                    <w:rPr>
                      <w:rFonts w:hint="default" w:ascii="宋体" w:hAnsi="宋体" w:cs="Times New Roman"/>
                      <w:color w:val="auto"/>
                      <w:sz w:val="24"/>
                      <w:szCs w:val="24"/>
                      <w:lang w:val="en-US" w:eastAsia="zh-CN"/>
                    </w:rPr>
                    <w:t>支持手势识别、语音指令</w:t>
                  </w:r>
                  <w:r>
                    <w:rPr>
                      <w:rFonts w:hint="eastAsia" w:ascii="宋体" w:hAnsi="宋体" w:cs="Times New Roman"/>
                      <w:color w:val="auto"/>
                      <w:sz w:val="24"/>
                      <w:szCs w:val="24"/>
                      <w:lang w:val="en-US" w:eastAsia="zh-CN"/>
                    </w:rPr>
                    <w:t>等</w:t>
                  </w:r>
                </w:p>
              </w:tc>
            </w:tr>
          </w:tbl>
          <w:p>
            <w:pPr>
              <w:spacing w:line="360" w:lineRule="auto"/>
              <w:rPr>
                <w:rFonts w:hint="eastAsia" w:ascii="宋体" w:hAnsi="宋体"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6.4</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传感器</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集成高清摄像头（≥800万像素）、深度传感器、IMU、陀螺仪、加速度计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6.5</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处理能力</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CPU主频≥2.0GHz，RAM≥6GB，存储≥64GB，支持Wi-Fi 6、蓝牙5.0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6.6</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电池续航</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连续AR实训使用时间≥2小时，支持快充或可更换电池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6.7</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定位与识别</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支持6DoF空间定位，具备平面检测、图像识别、三维模型识别能力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auto"/>
              <w:jc w:val="center"/>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6.8</w:t>
            </w:r>
          </w:p>
        </w:tc>
        <w:tc>
          <w:tcPr>
            <w:tcW w:w="1479"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000000"/>
                <w:sz w:val="24"/>
                <w:szCs w:val="24"/>
              </w:rPr>
              <w:t>★</w:t>
            </w:r>
            <w:r>
              <w:rPr>
                <w:rFonts w:hint="eastAsia" w:ascii="宋体" w:hAnsi="宋体" w:cs="Times New Roman"/>
                <w:color w:val="auto"/>
                <w:sz w:val="24"/>
                <w:szCs w:val="24"/>
                <w:lang w:val="en-US" w:eastAsia="zh-CN"/>
              </w:rPr>
              <w:t>可以AI识别的工器具</w:t>
            </w:r>
          </w:p>
        </w:tc>
        <w:tc>
          <w:tcPr>
            <w:tcW w:w="6206" w:type="dxa"/>
            <w:shd w:val="clear" w:color="auto" w:fill="auto"/>
            <w:vAlign w:val="center"/>
          </w:tcPr>
          <w:p>
            <w:pPr>
              <w:spacing w:line="360" w:lineRule="auto"/>
              <w:rPr>
                <w:rFonts w:hint="eastAsia" w:ascii="宋体" w:hAnsi="宋体" w:eastAsia="宋体" w:cs="Times New Roman"/>
                <w:color w:val="auto"/>
                <w:kern w:val="2"/>
                <w:sz w:val="24"/>
                <w:szCs w:val="24"/>
                <w:lang w:val="en-US" w:eastAsia="zh-CN" w:bidi="ar-SA"/>
              </w:rPr>
            </w:pPr>
            <w:r>
              <w:rPr>
                <w:rFonts w:hint="eastAsia" w:ascii="宋体" w:hAnsi="宋体" w:cs="Times New Roman"/>
                <w:color w:val="auto"/>
                <w:sz w:val="24"/>
                <w:szCs w:val="24"/>
                <w:lang w:val="en-US" w:eastAsia="zh-CN"/>
              </w:rPr>
              <w:t>验电笔、螺丝刀、相位伏安表、钳型表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7</w:t>
            </w:r>
            <w:r>
              <w:rPr>
                <w:rFonts w:hint="eastAsia" w:asciiTheme="majorEastAsia" w:hAnsiTheme="majorEastAsia" w:eastAsiaTheme="majorEastAsia" w:cstheme="majorEastAsia"/>
                <w:b/>
                <w:bCs/>
                <w:color w:val="000000"/>
                <w:sz w:val="24"/>
                <w:szCs w:val="24"/>
              </w:rPr>
              <w:t>、</w:t>
            </w:r>
            <w:r>
              <w:rPr>
                <w:rFonts w:hint="eastAsia"/>
                <w:b/>
                <w:bCs/>
              </w:rPr>
              <w:t>异常用电数据综合分析及现场检查仿真培训系统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7.1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0"/>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7.2</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程控虚负荷分布式电流源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程控虚负荷分布式电流源：</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电流量程：5A；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输出功率：最大20VA/相；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7.3</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标准故障模拟单元</w:t>
            </w:r>
          </w:p>
        </w:tc>
        <w:tc>
          <w:tcPr>
            <w:tcW w:w="6206" w:type="dxa"/>
            <w:shd w:val="clear" w:color="auto" w:fill="auto"/>
            <w:vAlign w:val="center"/>
          </w:tcPr>
          <w:p>
            <w:pPr>
              <w:spacing w:line="360" w:lineRule="auto"/>
              <w:rPr>
                <w:rFonts w:hint="eastAsia"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工作电源：AC 220V  50Hz</w:t>
            </w:r>
          </w:p>
          <w:p>
            <w:pPr>
              <w:spacing w:line="360" w:lineRule="auto"/>
              <w:rPr>
                <w:rFonts w:hint="default"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通讯方式：LAN + RS485</w:t>
            </w:r>
          </w:p>
          <w:p>
            <w:pPr>
              <w:spacing w:line="360" w:lineRule="auto"/>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color w:val="000000"/>
                <w:sz w:val="24"/>
                <w:szCs w:val="24"/>
                <w:lang w:val="en-US" w:eastAsia="zh-CN"/>
              </w:rPr>
              <w:t>外观尺寸：4200*700*2350（宽×深×高），单位：mm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7.4</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通讯解析转换模块</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供电电源：DC 5V</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7.5</w:t>
            </w:r>
          </w:p>
        </w:tc>
        <w:tc>
          <w:tcPr>
            <w:tcW w:w="1479"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仿真负控终端</w:t>
            </w:r>
          </w:p>
        </w:tc>
        <w:tc>
          <w:tcPr>
            <w:tcW w:w="6206"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通讯规约：DL/T 645-2007、DL/T 698.45-2017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7.6</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仿真智能电能表（高压表计）</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7.7</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仿真集中器</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通讯方式：LAN + GPRS + 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7.8</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组成</w:t>
            </w:r>
          </w:p>
        </w:tc>
        <w:tc>
          <w:tcPr>
            <w:tcW w:w="6206"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异常用电数据综合分析及现场检查仿真培训系统包含一台总控中心、高供高计仿真培训单元、高供低计仿真培训单元、台架公变仿真培训单元（包含小动力用户和居民用户）、一套防窃电技术交互培训教学系统和负荷加载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8</w:t>
            </w:r>
            <w:r>
              <w:rPr>
                <w:rFonts w:hint="eastAsia" w:asciiTheme="majorEastAsia" w:hAnsiTheme="majorEastAsia" w:eastAsiaTheme="majorEastAsia" w:cstheme="majorEastAsia"/>
                <w:b/>
                <w:bCs/>
                <w:color w:val="000000"/>
                <w:sz w:val="24"/>
                <w:szCs w:val="24"/>
              </w:rPr>
              <w:t>、10kV配电室用电检查服务仿真培训装置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color w:val="000000"/>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.2</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占地面积</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约150m</w:t>
            </w:r>
            <w:r>
              <w:rPr>
                <w:rFonts w:asciiTheme="majorEastAsia" w:hAnsiTheme="majorEastAsia" w:eastAsiaTheme="majorEastAsia" w:cstheme="majorEastAsia"/>
                <w:color w:val="000000"/>
                <w:sz w:val="24"/>
                <w:szCs w:val="24"/>
              </w:rPr>
              <w:t>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总功率</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≤2kW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.4</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尺寸</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高压柜（宽深高）为800*1500*2400mm；低压柜（宽深高）为800*800*2200mm，变压器柜（宽深高）1400*1300*2200mm，油浸式变压器室（长宽）5200*4600mm；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.5</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重量</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高压柜（单台）约500kg，低压柜单台约300kg；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.6</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仿真型线路保护装置</w:t>
            </w:r>
          </w:p>
        </w:tc>
        <w:tc>
          <w:tcPr>
            <w:tcW w:w="6206" w:type="dxa"/>
            <w:shd w:val="clear" w:color="auto" w:fill="auto"/>
            <w:vAlign w:val="center"/>
          </w:tcPr>
          <w:p>
            <w:pPr>
              <w:topLinePunct/>
              <w:adjustRightInd w:val="0"/>
              <w:snapToGrid w:val="0"/>
              <w:jc w:val="left"/>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可通过上位机写入遥测值（电压\电流\相角），其他相关逻辑（功率、功率因数、过流速断、低电压等）和真实装置一样</w:t>
            </w:r>
          </w:p>
          <w:p>
            <w:pPr>
              <w:topLinePunct/>
              <w:adjustRightInd w:val="0"/>
              <w:snapToGrid w:val="0"/>
              <w:jc w:val="left"/>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支持上位机下发修改定值、压板状态等</w:t>
            </w:r>
          </w:p>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可仿真按键失灵、屏幕花屏、闪屏、死机等自身故障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.7</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仿真型无功补偿控制器</w:t>
            </w:r>
          </w:p>
        </w:tc>
        <w:tc>
          <w:tcPr>
            <w:tcW w:w="6206" w:type="dxa"/>
            <w:shd w:val="clear" w:color="auto" w:fill="auto"/>
            <w:vAlign w:val="center"/>
          </w:tcPr>
          <w:p>
            <w:pPr>
              <w:widowControl/>
              <w:spacing w:after="0"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可通过上位机写入电压、电流、相角，其他相关逻辑（有功、无功、功率因数、电容器投切等）和真实装置一样</w:t>
            </w:r>
          </w:p>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可仿真按键失灵、屏幕花屏、闪屏、死机等自身故障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.8</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仿真型多功能仪表</w:t>
            </w:r>
          </w:p>
        </w:tc>
        <w:tc>
          <w:tcPr>
            <w:tcW w:w="6206" w:type="dxa"/>
            <w:shd w:val="clear" w:color="auto" w:fill="auto"/>
            <w:vAlign w:val="center"/>
          </w:tcPr>
          <w:p>
            <w:pPr>
              <w:topLinePunct/>
              <w:adjustRightInd w:val="0"/>
              <w:snapToGrid w:val="0"/>
              <w:jc w:val="left"/>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可通过上位机写入电压、电流、相角，其他相关逻辑（有功、无功、线电压等）和真实装置一样</w:t>
            </w:r>
          </w:p>
          <w:p>
            <w:pPr>
              <w:topLinePunct/>
              <w:adjustRightInd w:val="0"/>
              <w:snapToGrid w:val="0"/>
              <w:jc w:val="left"/>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可设置通讯地址</w:t>
            </w:r>
          </w:p>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可仿真按键失灵、屏幕花屏、闪屏、死机等自身故障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8</w:t>
            </w:r>
            <w:r>
              <w:rPr>
                <w:rFonts w:hint="eastAsia" w:asciiTheme="majorEastAsia" w:hAnsiTheme="majorEastAsia" w:eastAsiaTheme="majorEastAsia" w:cstheme="majorEastAsia"/>
                <w:color w:val="000000"/>
                <w:sz w:val="24"/>
                <w:szCs w:val="24"/>
              </w:rPr>
              <w:t>.9</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仿真型变压器温控仪</w:t>
            </w:r>
          </w:p>
        </w:tc>
        <w:tc>
          <w:tcPr>
            <w:tcW w:w="6206" w:type="dxa"/>
            <w:shd w:val="clear" w:color="auto" w:fill="auto"/>
            <w:vAlign w:val="center"/>
          </w:tcPr>
          <w:p>
            <w:pPr>
              <w:topLinePunct/>
              <w:adjustRightInd w:val="0"/>
              <w:snapToGrid w:val="0"/>
              <w:jc w:val="left"/>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可通过上位机写入温度、湿度，其他相关逻辑（告警、跳闸、风机控制等）和真实装置一样</w:t>
            </w:r>
          </w:p>
          <w:p>
            <w:pPr>
              <w:topLinePunct/>
              <w:adjustRightInd w:val="0"/>
              <w:snapToGrid w:val="0"/>
              <w:jc w:val="left"/>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可仿真按键失灵、屏幕花屏、闪屏、死机等自身故障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lang w:val="en-US" w:eastAsia="zh-CN"/>
              </w:rPr>
              <w:t>9</w:t>
            </w:r>
            <w:r>
              <w:rPr>
                <w:rFonts w:hint="eastAsia" w:asciiTheme="majorEastAsia" w:hAnsiTheme="majorEastAsia" w:eastAsiaTheme="majorEastAsia" w:cstheme="majorEastAsia"/>
                <w:b/>
                <w:bCs/>
                <w:color w:val="000000"/>
                <w:sz w:val="24"/>
                <w:szCs w:val="24"/>
              </w:rPr>
              <w:t>、电缆绝缘测试仿真装置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9</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eastAsia="宋体" w:asciiTheme="majorEastAsia" w:hAnsi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9</w:t>
            </w:r>
            <w:r>
              <w:rPr>
                <w:rFonts w:hint="eastAsia" w:asciiTheme="majorEastAsia" w:hAnsiTheme="majorEastAsia" w:eastAsiaTheme="majorEastAsia" w:cstheme="majorEastAsia"/>
                <w:color w:val="000000"/>
                <w:sz w:val="24"/>
                <w:szCs w:val="24"/>
              </w:rPr>
              <w:t>.2</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宋体" w:hAnsi="宋体"/>
                <w:sz w:val="24"/>
              </w:rPr>
              <w:t>通讯方式</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宋体" w:hAnsi="宋体"/>
                <w:sz w:val="24"/>
              </w:rPr>
              <w:t>无线通讯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9</w:t>
            </w:r>
            <w:r>
              <w:rPr>
                <w:rFonts w:hint="eastAsia" w:asciiTheme="majorEastAsia" w:hAnsiTheme="majorEastAsia" w:eastAsiaTheme="majorEastAsia" w:cstheme="majorEastAsia"/>
                <w:color w:val="000000"/>
                <w:sz w:val="24"/>
                <w:szCs w:val="24"/>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宋体" w:hAnsi="宋体"/>
                <w:sz w:val="24"/>
              </w:rPr>
              <w:t>模拟箱外形尺寸(长×宽×高)</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宋体" w:hAnsi="宋体"/>
                <w:sz w:val="24"/>
              </w:rPr>
              <w:t>1000×600×1200 (单位：mm)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rPr>
              <w:t>1</w:t>
            </w:r>
            <w:r>
              <w:rPr>
                <w:rFonts w:hint="eastAsia" w:asciiTheme="majorEastAsia" w:hAnsiTheme="majorEastAsia" w:eastAsiaTheme="majorEastAsia" w:cstheme="majorEastAsia"/>
                <w:b/>
                <w:bCs/>
                <w:color w:val="000000"/>
                <w:sz w:val="24"/>
                <w:szCs w:val="24"/>
                <w:lang w:val="en-US" w:eastAsia="zh-CN"/>
              </w:rPr>
              <w:t>0</w:t>
            </w:r>
            <w:r>
              <w:rPr>
                <w:rFonts w:hint="eastAsia" w:asciiTheme="majorEastAsia" w:hAnsiTheme="majorEastAsia" w:eastAsiaTheme="majorEastAsia" w:cstheme="majorEastAsia"/>
                <w:b/>
                <w:bCs/>
                <w:color w:val="000000"/>
                <w:sz w:val="24"/>
                <w:szCs w:val="24"/>
              </w:rPr>
              <w:t>、局放模拟仿真装置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1</w:t>
            </w:r>
            <w:r>
              <w:rPr>
                <w:rFonts w:hint="eastAsia" w:asciiTheme="majorEastAsia" w:hAnsiTheme="majorEastAsia" w:eastAsiaTheme="majorEastAsia" w:cstheme="majorEastAsia"/>
                <w:color w:val="000000"/>
                <w:sz w:val="24"/>
                <w:szCs w:val="24"/>
                <w:lang w:val="en-US" w:eastAsia="zh-CN"/>
              </w:rPr>
              <w:t>0</w:t>
            </w:r>
            <w:r>
              <w:rPr>
                <w:rFonts w:hint="eastAsia" w:asciiTheme="majorEastAsia" w:hAnsiTheme="majorEastAsia" w:eastAsiaTheme="majorEastAsia" w:cstheme="majorEastAsia"/>
                <w:color w:val="000000"/>
                <w:sz w:val="24"/>
                <w:szCs w:val="24"/>
              </w:rPr>
              <w:t>.1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1</w:t>
            </w:r>
            <w:r>
              <w:rPr>
                <w:rFonts w:hint="eastAsia" w:asciiTheme="majorEastAsia" w:hAnsiTheme="majorEastAsia" w:eastAsiaTheme="majorEastAsia" w:cstheme="majorEastAsia"/>
                <w:color w:val="000000"/>
                <w:sz w:val="24"/>
                <w:szCs w:val="24"/>
                <w:lang w:val="en-US" w:eastAsia="zh-CN"/>
              </w:rPr>
              <w:t>0</w:t>
            </w:r>
            <w:r>
              <w:rPr>
                <w:rFonts w:hint="eastAsia" w:asciiTheme="majorEastAsia" w:hAnsiTheme="majorEastAsia" w:eastAsiaTheme="majorEastAsia" w:cstheme="majorEastAsia"/>
                <w:color w:val="000000"/>
                <w:sz w:val="24"/>
                <w:szCs w:val="24"/>
              </w:rPr>
              <w:t>.2</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柜体尺寸</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宽深高：800*1500*2400mm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1</w:t>
            </w:r>
            <w:r>
              <w:rPr>
                <w:rFonts w:hint="eastAsia" w:asciiTheme="majorEastAsia" w:hAnsiTheme="majorEastAsia" w:eastAsiaTheme="majorEastAsia" w:cstheme="majorEastAsia"/>
                <w:color w:val="000000"/>
                <w:sz w:val="24"/>
                <w:szCs w:val="24"/>
                <w:lang w:val="en-US" w:eastAsia="zh-CN"/>
              </w:rPr>
              <w:t>0</w:t>
            </w:r>
            <w:r>
              <w:rPr>
                <w:rFonts w:hint="eastAsia" w:asciiTheme="majorEastAsia" w:hAnsiTheme="majorEastAsia" w:eastAsiaTheme="majorEastAsia" w:cstheme="majorEastAsia"/>
                <w:color w:val="000000"/>
                <w:sz w:val="24"/>
                <w:szCs w:val="24"/>
              </w:rPr>
              <w:t>.3</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装置功率</w:t>
            </w:r>
          </w:p>
        </w:tc>
        <w:tc>
          <w:tcPr>
            <w:tcW w:w="6206" w:type="dxa"/>
            <w:shd w:val="clear" w:color="auto" w:fill="auto"/>
            <w:vAlign w:val="center"/>
          </w:tcPr>
          <w:p>
            <w:pPr>
              <w:topLinePunct/>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≤1kW。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rPr>
              <w:t>1</w:t>
            </w:r>
            <w:r>
              <w:rPr>
                <w:rFonts w:hint="eastAsia" w:asciiTheme="majorEastAsia" w:hAnsiTheme="majorEastAsia" w:eastAsiaTheme="majorEastAsia" w:cstheme="majorEastAsia"/>
                <w:color w:val="000000"/>
                <w:sz w:val="24"/>
                <w:szCs w:val="24"/>
                <w:lang w:val="en-US" w:eastAsia="zh-CN"/>
              </w:rPr>
              <w:t>0</w:t>
            </w:r>
            <w:r>
              <w:rPr>
                <w:rFonts w:hint="eastAsia" w:asciiTheme="majorEastAsia" w:hAnsiTheme="majorEastAsia" w:eastAsiaTheme="majorEastAsia" w:cstheme="majorEastAsia"/>
                <w:color w:val="000000"/>
                <w:sz w:val="24"/>
                <w:szCs w:val="24"/>
              </w:rPr>
              <w:t>.4</w:t>
            </w:r>
          </w:p>
        </w:tc>
        <w:tc>
          <w:tcPr>
            <w:tcW w:w="1479"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重量</w:t>
            </w:r>
          </w:p>
        </w:tc>
        <w:tc>
          <w:tcPr>
            <w:tcW w:w="6206" w:type="dxa"/>
            <w:shd w:val="clear" w:color="auto" w:fill="auto"/>
            <w:vAlign w:val="center"/>
          </w:tcPr>
          <w:p>
            <w:pPr>
              <w:topLinePunct/>
              <w:adjustRightInd w:val="0"/>
              <w:snapToGrid w:val="0"/>
              <w:jc w:val="left"/>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rPr>
              <w:t>约200kg。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rPr>
              <w:t>1</w:t>
            </w:r>
            <w:r>
              <w:rPr>
                <w:rFonts w:hint="eastAsia" w:asciiTheme="majorEastAsia" w:hAnsiTheme="majorEastAsia" w:eastAsiaTheme="majorEastAsia" w:cstheme="majorEastAsia"/>
                <w:b/>
                <w:bCs/>
                <w:color w:val="000000"/>
                <w:sz w:val="24"/>
                <w:szCs w:val="24"/>
                <w:lang w:val="en-US" w:eastAsia="zh-CN"/>
              </w:rPr>
              <w:t>1</w:t>
            </w:r>
            <w:r>
              <w:rPr>
                <w:rFonts w:hint="eastAsia" w:asciiTheme="majorEastAsia" w:hAnsiTheme="majorEastAsia" w:eastAsiaTheme="majorEastAsia" w:cstheme="majorEastAsia"/>
                <w:b/>
                <w:bCs/>
                <w:color w:val="000000"/>
                <w:sz w:val="24"/>
                <w:szCs w:val="24"/>
              </w:rPr>
              <w:t>、</w:t>
            </w:r>
            <w:r>
              <w:rPr>
                <w:rFonts w:hint="eastAsia"/>
                <w:b/>
                <w:bCs/>
                <w:lang w:val="en-US" w:eastAsia="zh-CN"/>
              </w:rPr>
              <w:t>分布式光伏仿真培训系统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11.1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0"/>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11.2</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程控虚负荷电压源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电压量程：100V（三相三线）、220V（三相四线）；</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各档位在0-120%平稳、连续可调，调节细度0.5%；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输出负载调整率：在最大输出和空载时，其幅值调整率小于2%；</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输出功率：最大90VA/相；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11.3</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程控虚负荷分布式电流源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程控虚负荷分布式电流源：</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电流量程：5A；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在0-120%平稳、连续可调，调节细度0.5%；</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输出相位：0.0°～359.9°，调节细度0.1°；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输出频率：40 Hz～65Hz，调节细度1Hz；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输出功率稳定度：γP＜0.5 %（PF=1.0/0.5L，t=2分钟）；</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电压、电流波形失真度：小于1%；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输出负载调整率：在最大输出和空载时，其幅值调整率小于1%；</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输出功率：最大20VA/相；</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供电电源：220V±15%，交流50 Hz；</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通讯方式：RS232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11.4</w:t>
            </w:r>
          </w:p>
        </w:tc>
        <w:tc>
          <w:tcPr>
            <w:tcW w:w="1479" w:type="dxa"/>
            <w:shd w:val="clear" w:color="auto" w:fill="auto"/>
            <w:vAlign w:val="center"/>
          </w:tcPr>
          <w:p>
            <w:pPr>
              <w:tabs>
                <w:tab w:val="left" w:pos="360"/>
              </w:tabs>
              <w:adjustRightInd w:val="0"/>
              <w:spacing w:line="360" w:lineRule="auto"/>
              <w:textAlignment w:val="baseline"/>
              <w:rPr>
                <w:rFonts w:hint="eastAsia" w:asciiTheme="majorEastAsia" w:hAnsiTheme="majorEastAsia" w:eastAsiaTheme="majorEastAsia" w:cstheme="majorEastAsia"/>
                <w:b w:val="0"/>
                <w:bCs w:val="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标准故障模拟单元</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220V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eastAsia" w:ascii="Calibri" w:hAnsi="Calibri" w:eastAsia="宋体" w:cs="宋体"/>
                <w:kern w:val="2"/>
                <w:sz w:val="21"/>
                <w:szCs w:val="22"/>
                <w:lang w:val="en-US" w:eastAsia="zh-CN" w:bidi="ar-SA"/>
              </w:rPr>
            </w:pPr>
            <w:r>
              <w:rPr>
                <w:rFonts w:hint="eastAsia" w:asciiTheme="majorEastAsia" w:hAnsiTheme="majorEastAsia" w:eastAsiaTheme="majorEastAsia" w:cstheme="majorEastAsia"/>
                <w:sz w:val="24"/>
                <w:szCs w:val="24"/>
                <w:lang w:val="en-US" w:eastAsia="zh-CN"/>
              </w:rPr>
              <w:t>可实现参数下发、故障调用、运行数据实时上传。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11.5</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通讯解析转换模块</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供电电源：DC 5V</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通讯方式：RS485</w:t>
            </w:r>
          </w:p>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通信</w:t>
            </w:r>
            <w:r>
              <w:rPr>
                <w:rFonts w:ascii="宋体" w:hAnsi="宋体" w:eastAsia="宋体" w:cs="宋体"/>
                <w:color w:val="1F2329"/>
                <w:kern w:val="0"/>
                <w:sz w:val="24"/>
                <w:szCs w:val="24"/>
                <w:lang w:val="en-US" w:eastAsia="zh-CN" w:bidi="ar"/>
              </w:rPr>
              <w:t>协议通用兼容，可灵活适配不同类型的实训设备</w:t>
            </w:r>
            <w:r>
              <w:rPr>
                <w:rFonts w:hint="eastAsia" w:ascii="宋体" w:hAnsi="宋体" w:cs="宋体"/>
                <w:color w:val="1F2329"/>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11.6</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仿真智能电能表（高压表计）</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11.7</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系统控制</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1.输出电压：三相四线3*220V、三相四线3*57.7V、三相三线3*100V，每相功率60VA；2.输出电流：0-6A可调，三相，每相功率30VA ；</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3.调节范围：电压0-120%Ub、电流0-120%Ib、相位0-359.9˚可自由设定；</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4.调节步长：电压、电流1%，相位0.5˚；</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5.输出频率： 40~60Hz可设定，调节步长1Hz；6.保护功能：具备输出电压短路及输出电流开路保护功能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11.8</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光伏储能系统</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集成了光伏仿真发电平台和储能仿真平台，主要作用是将太阳能光伏电池板所产生的电能通过充电控制器储存到储能设备中，并在需要时供电给电网或负载。</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1.额定电压12Vdc</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2.额定容量38AH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0" w:type="dxa"/>
            <w:gridSpan w:val="3"/>
            <w:shd w:val="clear" w:color="auto" w:fill="auto"/>
            <w:vAlign w:val="center"/>
          </w:tcPr>
          <w:p>
            <w:pPr>
              <w:rPr>
                <w:rFonts w:hint="eastAsia" w:eastAsia="宋体" w:asciiTheme="majorEastAsia" w:hAnsiTheme="majorEastAsia" w:cstheme="majorEastAsia"/>
                <w:sz w:val="24"/>
                <w:szCs w:val="24"/>
                <w:lang w:val="en-US" w:eastAsia="zh-CN"/>
              </w:rPr>
            </w:pPr>
            <w:r>
              <w:rPr>
                <w:rFonts w:hint="eastAsia" w:asciiTheme="majorEastAsia" w:hAnsiTheme="majorEastAsia" w:eastAsiaTheme="majorEastAsia" w:cstheme="majorEastAsia"/>
                <w:b/>
                <w:bCs/>
                <w:color w:val="000000"/>
                <w:sz w:val="24"/>
                <w:szCs w:val="24"/>
              </w:rPr>
              <w:t>1</w:t>
            </w:r>
            <w:r>
              <w:rPr>
                <w:rFonts w:hint="eastAsia" w:asciiTheme="majorEastAsia" w:hAnsiTheme="majorEastAsia" w:eastAsiaTheme="majorEastAsia" w:cstheme="majorEastAsia"/>
                <w:b/>
                <w:bCs/>
                <w:color w:val="000000"/>
                <w:sz w:val="24"/>
                <w:szCs w:val="24"/>
                <w:lang w:val="en-US" w:eastAsia="zh-CN"/>
              </w:rPr>
              <w:t>2</w:t>
            </w:r>
            <w:r>
              <w:rPr>
                <w:rFonts w:hint="eastAsia" w:asciiTheme="majorEastAsia" w:hAnsiTheme="majorEastAsia" w:eastAsiaTheme="majorEastAsia" w:cstheme="majorEastAsia"/>
                <w:b/>
                <w:bCs/>
                <w:color w:val="000000"/>
                <w:sz w:val="24"/>
                <w:szCs w:val="24"/>
              </w:rPr>
              <w:t>、</w:t>
            </w:r>
            <w:r>
              <w:rPr>
                <w:rFonts w:hint="eastAsia"/>
                <w:b/>
                <w:bCs/>
              </w:rPr>
              <w:t>新型电力负荷管理仿真培训系统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12.1</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kern w:val="2"/>
                <w:sz w:val="24"/>
                <w:szCs w:val="24"/>
                <w:lang w:val="en-US" w:eastAsia="zh-CN" w:bidi="ar-SA"/>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rPr>
              <w:t>工作电源</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输入电压：AC 220V±10%；</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输入频率：50Hz，允许偏差-10%％～+10%。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12.2</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空调调控能力仿真培训</w:t>
            </w:r>
          </w:p>
        </w:tc>
        <w:tc>
          <w:tcPr>
            <w:tcW w:w="6206"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开展智慧能源单元等空调感知设备安装、通讯参数调试、温度及功率控制命令下发、故障异常排除等培训，构建空调柔性调控策略培训，以实现空调负荷的可观、可测、可调、可控。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spacing w:line="360" w:lineRule="exact"/>
              <w:jc w:val="center"/>
              <w:rPr>
                <w:rFonts w:hint="eastAsia" w:asciiTheme="majorEastAsia" w:hAnsiTheme="majorEastAsia" w:eastAsiaTheme="majorEastAsia" w:cstheme="majorEastAsia"/>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12.3</w:t>
            </w:r>
          </w:p>
        </w:tc>
        <w:tc>
          <w:tcPr>
            <w:tcW w:w="1479" w:type="dxa"/>
            <w:shd w:val="clear" w:color="auto" w:fill="auto"/>
            <w:vAlign w:val="center"/>
          </w:tcPr>
          <w:p>
            <w:pPr>
              <w:rPr>
                <w:rFonts w:hint="eastAsia" w:asciiTheme="majorEastAsia" w:hAnsiTheme="majorEastAsia" w:eastAsiaTheme="majorEastAsia" w:cstheme="majorEastAsia"/>
                <w:b w:val="0"/>
                <w:kern w:val="2"/>
                <w:sz w:val="24"/>
                <w:szCs w:val="24"/>
                <w:lang w:val="en-US" w:eastAsia="zh-CN" w:bidi="ar-SA"/>
              </w:rPr>
            </w:pPr>
            <w:r>
              <w:rPr>
                <w:rFonts w:hint="eastAsia" w:asciiTheme="majorEastAsia" w:hAnsiTheme="majorEastAsia" w:eastAsiaTheme="majorEastAsia" w:cstheme="majorEastAsia"/>
                <w:b w:val="0"/>
                <w:kern w:val="2"/>
                <w:sz w:val="24"/>
                <w:szCs w:val="24"/>
                <w:lang w:val="en-US" w:eastAsia="zh-CN" w:bidi="ar-SA"/>
              </w:rPr>
              <w:t>可中断负荷仿真培训</w:t>
            </w:r>
          </w:p>
        </w:tc>
        <w:tc>
          <w:tcPr>
            <w:tcW w:w="6206" w:type="dxa"/>
            <w:shd w:val="clear" w:color="auto" w:fill="auto"/>
            <w:vAlign w:val="center"/>
          </w:tcPr>
          <w:p>
            <w:pPr>
              <w:rPr>
                <w:rFonts w:hint="eastAsia" w:asciiTheme="majorEastAsia" w:hAnsiTheme="majorEastAsia" w:eastAsiaTheme="majorEastAsia" w:cstheme="majorEastAsia"/>
                <w:b w:val="0"/>
                <w:kern w:val="2"/>
                <w:sz w:val="24"/>
                <w:szCs w:val="24"/>
                <w:lang w:val="en-US" w:eastAsia="zh-CN" w:bidi="ar-SA"/>
              </w:rPr>
            </w:pPr>
            <w:r>
              <w:rPr>
                <w:rFonts w:hint="eastAsia" w:asciiTheme="majorEastAsia" w:hAnsiTheme="majorEastAsia" w:eastAsiaTheme="majorEastAsia" w:cstheme="majorEastAsia"/>
                <w:b w:val="0"/>
                <w:kern w:val="2"/>
                <w:sz w:val="24"/>
                <w:szCs w:val="24"/>
                <w:lang w:val="en-US" w:eastAsia="zh-CN" w:bidi="ar-SA"/>
              </w:rPr>
              <w:t>根据高压分路、低压分路等不同应用场景搭建“分路专变终端”、“集中器+导轨表”、“集中器+智能断路器”等典型环境。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12.4</w:t>
            </w:r>
          </w:p>
        </w:tc>
        <w:tc>
          <w:tcPr>
            <w:tcW w:w="1479" w:type="dxa"/>
            <w:shd w:val="clear" w:color="auto" w:fill="auto"/>
            <w:vAlign w:val="center"/>
          </w:tcPr>
          <w:p>
            <w:pPr>
              <w:rPr>
                <w:rFonts w:hint="eastAsia" w:asciiTheme="majorEastAsia" w:hAnsiTheme="majorEastAsia" w:eastAsiaTheme="majorEastAsia" w:cstheme="majorEastAsia"/>
                <w:b w:val="0"/>
                <w:kern w:val="2"/>
                <w:sz w:val="24"/>
                <w:szCs w:val="24"/>
                <w:lang w:val="en-US" w:eastAsia="zh-CN" w:bidi="ar-SA"/>
              </w:rPr>
            </w:pPr>
            <w:r>
              <w:rPr>
                <w:rFonts w:hint="eastAsia" w:asciiTheme="majorEastAsia" w:hAnsiTheme="majorEastAsia" w:eastAsiaTheme="majorEastAsia" w:cstheme="majorEastAsia"/>
                <w:b w:val="0"/>
                <w:kern w:val="2"/>
                <w:sz w:val="24"/>
                <w:szCs w:val="24"/>
                <w:lang w:val="en-US" w:eastAsia="zh-CN" w:bidi="ar-SA"/>
              </w:rPr>
              <w:t>分钟级柔性调控仿真培训</w:t>
            </w:r>
          </w:p>
          <w:p>
            <w:pPr>
              <w:rPr>
                <w:rFonts w:hint="eastAsia" w:asciiTheme="majorEastAsia" w:hAnsiTheme="majorEastAsia" w:eastAsiaTheme="majorEastAsia" w:cstheme="majorEastAsia"/>
                <w:b w:val="0"/>
                <w:kern w:val="2"/>
                <w:sz w:val="24"/>
                <w:szCs w:val="24"/>
                <w:lang w:val="en-US" w:eastAsia="zh-CN" w:bidi="ar-SA"/>
              </w:rPr>
            </w:pPr>
          </w:p>
        </w:tc>
        <w:tc>
          <w:tcPr>
            <w:tcW w:w="6206" w:type="dxa"/>
            <w:shd w:val="clear" w:color="auto" w:fill="auto"/>
            <w:vAlign w:val="center"/>
          </w:tcPr>
          <w:p>
            <w:pPr>
              <w:rPr>
                <w:rFonts w:hint="eastAsia" w:asciiTheme="majorEastAsia" w:hAnsiTheme="majorEastAsia" w:eastAsiaTheme="majorEastAsia" w:cstheme="majorEastAsia"/>
                <w:b w:val="0"/>
                <w:kern w:val="2"/>
                <w:sz w:val="24"/>
                <w:szCs w:val="24"/>
                <w:lang w:val="en-US" w:eastAsia="zh-CN" w:bidi="ar-SA"/>
              </w:rPr>
            </w:pPr>
            <w:r>
              <w:rPr>
                <w:rFonts w:hint="eastAsia" w:asciiTheme="majorEastAsia" w:hAnsiTheme="majorEastAsia" w:eastAsiaTheme="majorEastAsia" w:cstheme="majorEastAsia"/>
                <w:b w:val="0"/>
                <w:kern w:val="2"/>
                <w:sz w:val="24"/>
                <w:szCs w:val="24"/>
                <w:lang w:val="en-US" w:eastAsia="zh-CN" w:bidi="ar-SA"/>
              </w:rPr>
              <w:t>研究造纸、水泥、钢铁、铸造、冷链冷库等典型行业负荷，建立负荷运行特征曲线，设计分钟级负荷柔性控制场景下的全流程柔性控制实训方案。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color w:val="000000"/>
                <w:sz w:val="24"/>
                <w:szCs w:val="24"/>
                <w:lang w:val="en-US" w:eastAsia="zh-CN"/>
              </w:rPr>
              <w:t>12.5</w:t>
            </w:r>
          </w:p>
        </w:tc>
        <w:tc>
          <w:tcPr>
            <w:tcW w:w="1479" w:type="dxa"/>
            <w:shd w:val="clear" w:color="auto" w:fill="auto"/>
            <w:vAlign w:val="center"/>
          </w:tcPr>
          <w:p>
            <w:pPr>
              <w:widowControl/>
              <w:spacing w:line="360" w:lineRule="auto"/>
              <w:rPr>
                <w:rFonts w:hint="eastAsia" w:asciiTheme="majorEastAsia" w:hAnsiTheme="majorEastAsia" w:eastAsiaTheme="majorEastAsia" w:cstheme="majorEastAsia"/>
                <w:b w:val="0"/>
                <w:bCs w:val="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通讯解析转换模块</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供电电源：DC 5V</w:t>
            </w:r>
          </w:p>
          <w:p>
            <w:pPr>
              <w:rPr>
                <w:rFonts w:hint="eastAsia" w:asciiTheme="minorHAnsi" w:hAnsiTheme="minorHAnsi" w:eastAsiaTheme="minorEastAsia" w:cstheme="minorBidi"/>
                <w:kern w:val="2"/>
                <w:sz w:val="21"/>
                <w:szCs w:val="24"/>
                <w:lang w:val="en-US" w:eastAsia="zh-CN" w:bidi="ar-SA"/>
              </w:rPr>
            </w:pPr>
            <w:r>
              <w:rPr>
                <w:rFonts w:hint="eastAsia" w:asciiTheme="majorEastAsia" w:hAnsiTheme="majorEastAsia" w:eastAsiaTheme="majorEastAsia" w:cstheme="majorEastAsia"/>
                <w:sz w:val="24"/>
                <w:szCs w:val="24"/>
                <w:lang w:val="en-US" w:eastAsia="zh-CN"/>
              </w:rPr>
              <w:t>通讯方式：RS485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widowControl/>
              <w:spacing w:line="360" w:lineRule="auto"/>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12.6</w:t>
            </w:r>
          </w:p>
        </w:tc>
        <w:tc>
          <w:tcPr>
            <w:tcW w:w="1479"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仿真负控终端</w:t>
            </w:r>
          </w:p>
        </w:tc>
        <w:tc>
          <w:tcPr>
            <w:tcW w:w="6206" w:type="dxa"/>
            <w:shd w:val="clear" w:color="auto" w:fill="auto"/>
            <w:vAlign w:val="center"/>
          </w:tcPr>
          <w:p>
            <w:pPr>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通讯规约：DL/T 645-2007、DL/T 698.45-2017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numPr>
                <w:ilvl w:val="255"/>
                <w:numId w:val="0"/>
              </w:numPr>
              <w:tabs>
                <w:tab w:val="left" w:pos="0"/>
              </w:tabs>
              <w:spacing w:line="360" w:lineRule="exact"/>
              <w:ind w:left="0" w:leftChars="0" w:firstLine="0" w:firstLineChars="0"/>
              <w:jc w:val="left"/>
              <w:rPr>
                <w:rFonts w:hint="eastAsia" w:asciiTheme="majorEastAsia" w:hAnsiTheme="majorEastAsia" w:eastAsiaTheme="majorEastAsia" w:cstheme="majorEastAsia"/>
                <w:b w:val="0"/>
                <w:bCs w:val="0"/>
                <w:color w:val="000000"/>
                <w:kern w:val="2"/>
                <w:sz w:val="24"/>
                <w:szCs w:val="24"/>
                <w:lang w:val="en-US" w:eastAsia="zh-CN" w:bidi="ar-SA"/>
              </w:rPr>
            </w:pPr>
            <w:r>
              <w:rPr>
                <w:rFonts w:hint="eastAsia" w:asciiTheme="majorEastAsia" w:hAnsiTheme="majorEastAsia" w:eastAsiaTheme="majorEastAsia" w:cstheme="majorEastAsia"/>
                <w:b w:val="0"/>
                <w:bCs w:val="0"/>
                <w:color w:val="000000"/>
                <w:sz w:val="24"/>
                <w:szCs w:val="24"/>
                <w:lang w:val="en-US" w:eastAsia="zh-CN"/>
              </w:rPr>
              <w:t>12.7</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仿真智能电能表</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lang w:val="en-US" w:eastAsia="zh-CN"/>
              </w:rPr>
              <w:t>电流：3×1.5（6）A</w:t>
            </w:r>
          </w:p>
          <w:p>
            <w:pPr>
              <w:rPr>
                <w:rFonts w:hint="eastAsia" w:asciiTheme="majorEastAsia" w:hAnsiTheme="majorEastAsia" w:eastAsiaTheme="majorEastAsia" w:cstheme="majorEastAsia"/>
                <w:sz w:val="24"/>
                <w:szCs w:val="24"/>
                <w:lang w:val="en-US" w:eastAsia="zh-CN"/>
              </w:rPr>
            </w:pPr>
            <w:r>
              <w:rPr>
                <w:rFonts w:hint="eastAsia" w:ascii="宋体" w:hAnsi="宋体" w:cs="Times New Roman"/>
                <w:color w:val="000000"/>
                <w:sz w:val="24"/>
                <w:szCs w:val="24"/>
              </w:rPr>
              <w:t>★</w:t>
            </w: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通讯方式：载波 + 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12.8</w:t>
            </w:r>
          </w:p>
        </w:tc>
        <w:tc>
          <w:tcPr>
            <w:tcW w:w="1479" w:type="dxa"/>
            <w:shd w:val="clear" w:color="auto" w:fill="auto"/>
            <w:vAlign w:val="center"/>
          </w:tcPr>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仿真集中器</w:t>
            </w:r>
          </w:p>
        </w:tc>
        <w:tc>
          <w:tcPr>
            <w:tcW w:w="6206" w:type="dxa"/>
            <w:shd w:val="clear" w:color="auto" w:fill="auto"/>
            <w:vAlign w:val="center"/>
          </w:tcPr>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工作电源：AC 3×220V/380V  50Hz</w:t>
            </w:r>
          </w:p>
          <w:p>
            <w:pPr>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电流：3×1.5（6）A</w:t>
            </w:r>
          </w:p>
          <w:p>
            <w:pPr>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通讯规约：DL/T 645-2007 DL/T 698.45-2017</w:t>
            </w:r>
          </w:p>
          <w:p>
            <w:pP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sz w:val="24"/>
                <w:szCs w:val="24"/>
                <w:lang w:val="en-US" w:eastAsia="zh-CN"/>
              </w:rPr>
              <w:t>通讯方式：LAN + GPRS + 载波 + RS485</w:t>
            </w:r>
          </w:p>
        </w:tc>
      </w:tr>
    </w:tbl>
    <w:p>
      <w:pPr>
        <w:numPr>
          <w:ilvl w:val="0"/>
          <w:numId w:val="0"/>
        </w:numPr>
        <w:spacing w:line="360" w:lineRule="auto"/>
        <w:rPr>
          <w:rFonts w:hint="eastAsia" w:hAnsi="宋体"/>
          <w:color w:val="000000"/>
          <w:sz w:val="24"/>
          <w:szCs w:val="24"/>
          <w:highlight w:val="none"/>
          <w:lang w:val="en-US" w:eastAsia="zh-CN"/>
        </w:rPr>
      </w:pPr>
    </w:p>
    <w:p>
      <w:pPr>
        <w:pStyle w:val="5"/>
        <w:numPr>
          <w:ilvl w:val="0"/>
          <w:numId w:val="0"/>
        </w:numPr>
        <w:rPr>
          <w:rFonts w:hint="default" w:hAnsi="宋体" w:eastAsia="宋体"/>
          <w:color w:val="000000"/>
          <w:sz w:val="24"/>
          <w:szCs w:val="24"/>
          <w:highlight w:val="none"/>
          <w:lang w:val="en-US" w:eastAsia="zh-CN"/>
        </w:rPr>
      </w:pPr>
      <w:bookmarkStart w:id="22" w:name="_Toc6375"/>
      <w:r>
        <w:rPr>
          <w:rFonts w:hint="eastAsia" w:hAnsi="宋体"/>
          <w:color w:val="000000"/>
          <w:sz w:val="24"/>
          <w:szCs w:val="24"/>
          <w:highlight w:val="none"/>
          <w:lang w:val="en-US" w:eastAsia="zh-CN"/>
        </w:rPr>
        <w:t>5.2性能要求</w:t>
      </w:r>
      <w:bookmarkEnd w:id="22"/>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高温性能</w:t>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在高温（+50℃）</w:t>
      </w:r>
      <w:r>
        <w:rPr>
          <w:rFonts w:hint="eastAsia" w:ascii="宋体" w:hAnsi="宋体" w:cs="宋体"/>
          <w:sz w:val="24"/>
          <w:szCs w:val="24"/>
          <w:highlight w:val="none"/>
          <w:lang w:val="en-US" w:eastAsia="zh-CN"/>
        </w:rPr>
        <w:t>以工作的状态放置2小时，设备应正常。</w:t>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低温性能</w:t>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在低温（-10℃）</w:t>
      </w:r>
      <w:r>
        <w:rPr>
          <w:rFonts w:hint="eastAsia" w:ascii="宋体" w:hAnsi="宋体" w:cs="宋体"/>
          <w:sz w:val="24"/>
          <w:szCs w:val="24"/>
          <w:highlight w:val="none"/>
          <w:lang w:val="en-US" w:eastAsia="zh-CN"/>
        </w:rPr>
        <w:t>以工作的状态放置2小时，设备应正常。</w:t>
      </w:r>
    </w:p>
    <w:p>
      <w:pPr>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3）绝缘性能</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绝缘电阻：正常条件≥10MΩ，湿热条件≥2MΩ。</w:t>
      </w:r>
    </w:p>
    <w:p>
      <w:pPr>
        <w:numPr>
          <w:ilvl w:val="0"/>
          <w:numId w:val="0"/>
        </w:numP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4）结构性能</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柜体、台体结构坚固防锈，布线规范，强弱电隔离完善，电磁屏蔽性能良好。</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防尘、散热良好，适合实训室长期高频教学使用。</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5）软件及系统性能</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仿真控制软件、系统运行流畅，界面操作简洁，模块调用快速无卡顿。</w:t>
      </w:r>
    </w:p>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运行稳定不崩溃，可长期不间断在线运行。</w:t>
      </w:r>
    </w:p>
    <w:p>
      <w:pPr>
        <w:pStyle w:val="5"/>
        <w:numPr>
          <w:ilvl w:val="0"/>
          <w:numId w:val="0"/>
        </w:numPr>
        <w:rPr>
          <w:rFonts w:hint="default" w:hAnsi="宋体"/>
          <w:color w:val="000000"/>
          <w:sz w:val="24"/>
          <w:szCs w:val="24"/>
          <w:lang w:val="en-US" w:eastAsia="zh-CN"/>
        </w:rPr>
      </w:pPr>
      <w:bookmarkStart w:id="23" w:name="_Toc14400"/>
      <w:r>
        <w:rPr>
          <w:rFonts w:hint="eastAsia" w:hAnsi="宋体"/>
          <w:color w:val="000000"/>
          <w:sz w:val="24"/>
          <w:szCs w:val="24"/>
          <w:lang w:val="en-US" w:eastAsia="zh-CN"/>
        </w:rPr>
        <w:t>5.3功能要求</w:t>
      </w:r>
      <w:bookmarkEnd w:id="23"/>
    </w:p>
    <w:p>
      <w:pPr>
        <w:pStyle w:val="6"/>
        <w:numPr>
          <w:ilvl w:val="0"/>
          <w:numId w:val="0"/>
        </w:numPr>
        <w:rPr>
          <w:rFonts w:hint="default" w:hAnsi="宋体" w:eastAsia="宋体"/>
          <w:b w:val="0"/>
          <w:bCs w:val="0"/>
          <w:color w:val="000000"/>
          <w:sz w:val="24"/>
          <w:szCs w:val="24"/>
          <w:lang w:val="en-US" w:eastAsia="zh-CN"/>
        </w:rPr>
      </w:pPr>
      <w:r>
        <w:rPr>
          <w:rFonts w:hint="eastAsia" w:hAnsi="宋体"/>
          <w:b w:val="0"/>
          <w:bCs w:val="0"/>
          <w:color w:val="000000"/>
          <w:sz w:val="24"/>
          <w:szCs w:val="24"/>
          <w:lang w:val="en-US" w:eastAsia="zh-CN"/>
        </w:rPr>
        <w:t>5.3.1高压</w:t>
      </w:r>
      <w:r>
        <w:rPr>
          <w:rFonts w:hint="eastAsia" w:hAnsi="宋体"/>
          <w:b w:val="0"/>
          <w:bCs w:val="0"/>
          <w:color w:val="000000"/>
          <w:sz w:val="24"/>
          <w:szCs w:val="24"/>
        </w:rPr>
        <w:t>装表接电培训装置</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覆盖高压三相三线智能表、采集终端及带电流互感器有功/无功联合接线的全场景工艺培训；</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支持高压三相三线智能表与采集终端接线工艺培训、技术考核和技术鉴定；</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支持高压三相三线电能表接线工艺培训、技术考核和技术鉴定；</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支持现场用户电能表、互感器及一、二次线的配置和安装规范布局、接线进行相关的工艺培训与考核；</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兼容主流仿真终端设备，实现"安装-调试-验证"全流程闭环管理；</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集成遥控遥信专项验证单元，支持遥控遥信接线正确性验证；</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支持三相表计、终端设备及联合接线盒的快速拆装；</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配备竞赛专用跳闸回路测控端子排，满足分布式能源计量装置安装调试需求；</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设备具有过载保护、隔离保护等功能，同时配置一套漏电保护装置，若有漏电及操作人员触电时，及时切断培训装置的电源；</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设备的停电和送电均由弱电控制，安全可靠；</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设置验电插排、启停按钮等，学员接线完毕后需要依照安规要求按流程操作，当其中一步操作错误后，后面一步就不能够进行，用来加深学员的自身记忆，提高培训效果；</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满足互感器二次到试验接线盒接线一线一孔的安装方式和整体线束同时穿过面板两种安装方式；</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安装面板支持快速安装拆卸</w:t>
      </w:r>
      <w:r>
        <w:rPr>
          <w:rFonts w:hint="eastAsia" w:ascii="宋体" w:hAnsi="宋体" w:cs="宋体"/>
          <w:sz w:val="24"/>
          <w:szCs w:val="24"/>
          <w:lang w:val="en-US" w:eastAsia="zh-CN"/>
        </w:rPr>
        <w:t>；</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在竞赛安排时间紧张时，轮次之间整板拆除，更换新安装板不影响下轮竞赛，拆除的安装板可统一工艺判定；</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支持终端参数设置及采集调试</w:t>
      </w:r>
      <w:r>
        <w:rPr>
          <w:rFonts w:hint="eastAsia" w:ascii="宋体" w:hAnsi="宋体" w:cs="宋体"/>
          <w:sz w:val="24"/>
          <w:szCs w:val="24"/>
          <w:lang w:val="en-US" w:eastAsia="zh-CN"/>
        </w:rPr>
        <w:t>；</w:t>
      </w:r>
    </w:p>
    <w:p>
      <w:pPr>
        <w:numPr>
          <w:ilvl w:val="0"/>
          <w:numId w:val="4"/>
        </w:numPr>
        <w:spacing w:line="360" w:lineRule="auto"/>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通过终端抄读电能表当前有功总电量示值，并对相关参数予以记录。</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5.3.2低压装表接电培训装置</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计量箱和计量柜一体化设计：前面为计量箱，后面为计量柜；</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模拟单相直通表、带CT单相的电能表（电子式、机械式电能表；电子式多功能电能表）的装表接电及各种负荷和功率因数下的运行；</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模拟三相四线低压电能表、带CT的三相四线低压电能表（电子式、机械式有功和无功电能表；电子式多功能电能表）的装表接电及各种负荷和功率因数及各种不平衡状态下的运行；</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低压计量柜采用GGD型，同时可挂单相直通表和带CT单相的电能表，同时可挂三相四线有功表和无功表；</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配接低压单相有功电能表、三相四线有功无功电能表的接线，观察运行现象，分析正确与错误，并排查故障；</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装置电源侧有漏电保护功能，当出现漏电和操作人员触电时及时切断电源，保护操作人员的安全；</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三相程控电源当负载过大时会关掉输出电压电流并报警提示；</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计算机自动判断接线是否正确，同时绘制接线图、矢量图并保存考核成绩，大大减轻老师现场查线的劳动强度，提高工作效率，提高单位时间内培训的人次；</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★通过计算机设置低压计量柜的典型错误状态；</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一台计算机可通过RJ45通讯方式控制多台低压计量柜；</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培训操作人员掌握电能计量技术监督标准和国家标准、电力行业标准、熟悉实际工作中遇到的各类情况；</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培训学员学习单相、三相四线电能表的结构组成、工作原理、性能特点、安装、运行及维护；</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培训学员针对单相、三相四线电能表异常运行进行错误分析及排查；</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培训学员追补电量、更正系数的能力；</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培训学员在不同负荷状态下电流互感器的选择和电压电流导线的选择；</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培训学员认识电流互感器安匝比不对时电能表状态；</w:t>
      </w:r>
    </w:p>
    <w:p>
      <w:pPr>
        <w:pStyle w:val="35"/>
        <w:numPr>
          <w:ilvl w:val="0"/>
          <w:numId w:val="5"/>
        </w:numPr>
        <w:spacing w:line="360" w:lineRule="auto"/>
        <w:ind w:firstLineChars="0"/>
        <w:rPr>
          <w:rFonts w:hint="eastAsia" w:ascii="宋体" w:hAnsi="宋体"/>
          <w:sz w:val="28"/>
          <w:szCs w:val="28"/>
        </w:rPr>
      </w:pPr>
      <w:r>
        <w:rPr>
          <w:rFonts w:hint="eastAsia" w:ascii="宋体" w:hAnsi="宋体" w:cs="Times New Roman"/>
          <w:color w:val="000000"/>
          <w:sz w:val="24"/>
          <w:szCs w:val="24"/>
        </w:rPr>
        <w:t>培训学员认识缺相时电能表状态；</w:t>
      </w:r>
    </w:p>
    <w:p>
      <w:pPr>
        <w:pStyle w:val="35"/>
        <w:numPr>
          <w:ilvl w:val="0"/>
          <w:numId w:val="5"/>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培训学员装表接电工艺的培训、考核和技能鉴定。</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5.3.3低压集抄培训装置</w:t>
      </w:r>
    </w:p>
    <w:p>
      <w:pPr>
        <w:numPr>
          <w:ilvl w:val="0"/>
          <w:numId w:val="6"/>
        </w:numPr>
        <w:spacing w:line="300" w:lineRule="auto"/>
        <w:ind w:firstLine="480" w:firstLineChars="200"/>
        <w:rPr>
          <w:rFonts w:hint="eastAsia" w:ascii="宋体" w:hAnsi="宋体" w:eastAsia="宋体" w:cs="宋体"/>
          <w:color w:val="000000"/>
          <w:sz w:val="24"/>
          <w:szCs w:val="24"/>
        </w:rPr>
      </w:pPr>
      <w:bookmarkStart w:id="24" w:name="OLE_LINK8"/>
      <w:r>
        <w:rPr>
          <w:rFonts w:hint="eastAsia" w:ascii="宋体" w:hAnsi="宋体" w:eastAsia="宋体" w:cs="宋体"/>
          <w:color w:val="000000"/>
          <w:sz w:val="24"/>
          <w:szCs w:val="24"/>
        </w:rPr>
        <w:t>仿真装置涵盖专变用户、低压公变台区、低压小动力用户、低压居民用户、分布式新能源用户等多种计量场景的模拟仿真功能。仿真场景可实现单独脱网运行、同台区并网运行、跨台区组网运行等各种集抄采集环境模拟。</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仿真装置可实现采集运维系统的故障模拟、故障排查、故障复归及采集运维闭环培训等功能，完成对用电信息采集运维各个环节的人员的业务流程及业务技能的培训。</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配置仿真专变采集终端、仿真集中器、仿真智能电表，实现用电信息采集系统运行过程中的故障现象模拟，故障类型包括采集异常和计量异常。采集异常仿真涵盖终端与主站无通信、集中器下电表全无数据、采集器下电表全无数据、电能表持续多天无数据四大类采集故障。计量异常仿真涵盖电能表示值不平、电能表飞走、电能表停走、电压失压、电压断相、电流失流、电流过流等计量异常。</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应配置智能仿真终端，支持仿真终端本体故障模拟，包括终端死机、终端本体电源故障、终端液晶白屏、花屏、黑屏、上行通信故障、下行通信故障等。可模拟交采电压回路异常、电流回路异常、485抄表失败等异常类型</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还具有红外通讯故障，RS485短路/开路/接反故障，载波模块通讯故障、载波模块接口电源供电故障，载波模块死机故障等。</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应配置智能仿真电能表，仿真表RS485接口应满足DL/T645-2007中4.3的电气要求，接口通讯速率可设置，缺省值为9600bps。表计应支持DL/T645-2007及DL/T698.45通讯协议。仿真表计支持表计本体故障模拟，包括电能表红外通信故障、死机故障、脉冲灯故障、RS485异常、电能表飞走、电能表停走、电能表倒走、相序异常、需量异常、电压采样异常、电流采样异常、电能表时间超差、电能表时钟故障、拉合闸故障等。可以设置仿真电能表各类显示故障（如：花屏（乱码），白屏、黑屏），死机故障、掉电故障等功能性故障设置。可以设置仿真电能表失压、欠压、过压、断相、失流及过流等计量类异常。可以设置电能表误差超差异常。仿真电能表应支持30日冻结数据的写入，用于多日故障的模拟仿真功能，并支持仿真主站进行费率时段的配置用于费率类故障的模拟仿真。</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仿真装置</w:t>
      </w:r>
      <w:r>
        <w:rPr>
          <w:rFonts w:hint="eastAsia" w:ascii="宋体" w:hAnsi="宋体" w:eastAsia="宋体" w:cs="宋体"/>
          <w:color w:val="000000"/>
          <w:sz w:val="24"/>
          <w:szCs w:val="24"/>
        </w:rPr>
        <w:t>支持三相三线电能表48种错接线、三相四线电能表96种错接线的错接线模拟</w:t>
      </w:r>
      <w:r>
        <w:rPr>
          <w:rFonts w:hint="eastAsia" w:ascii="宋体" w:hAnsi="宋体" w:cs="宋体"/>
          <w:color w:val="000000"/>
          <w:sz w:val="24"/>
          <w:szCs w:val="24"/>
          <w:lang w:eastAsia="zh-CN"/>
        </w:rPr>
        <w:t>；</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仿真装置支持</w:t>
      </w:r>
      <w:r>
        <w:rPr>
          <w:rFonts w:hint="eastAsia" w:ascii="宋体" w:hAnsi="宋体" w:eastAsia="宋体" w:cs="宋体"/>
          <w:color w:val="000000"/>
          <w:sz w:val="24"/>
          <w:szCs w:val="24"/>
        </w:rPr>
        <w:t>失压、过压、电压越上限、电压越下限</w:t>
      </w:r>
      <w:r>
        <w:rPr>
          <w:rFonts w:hint="eastAsia" w:ascii="宋体" w:hAnsi="宋体" w:cs="宋体"/>
          <w:color w:val="000000"/>
          <w:sz w:val="24"/>
          <w:szCs w:val="24"/>
          <w:lang w:val="en-US" w:eastAsia="zh-CN"/>
        </w:rPr>
        <w:t>的模拟；</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cs="宋体"/>
          <w:color w:val="000000"/>
          <w:sz w:val="24"/>
          <w:szCs w:val="24"/>
          <w:lang w:val="en-US" w:eastAsia="zh-CN"/>
        </w:rPr>
        <w:t>支持</w:t>
      </w:r>
      <w:r>
        <w:rPr>
          <w:rFonts w:hint="eastAsia" w:ascii="宋体" w:hAnsi="宋体" w:eastAsia="宋体" w:cs="宋体"/>
          <w:color w:val="000000"/>
          <w:sz w:val="24"/>
          <w:szCs w:val="24"/>
        </w:rPr>
        <w:t>表尾接线故障模拟、接线盒故障模拟、CT异常故障模拟等。装置配备足够的模拟信号源，可对每一台电能计量表计设置模拟负载，每台设备负载（电压、电流、相位角、功率因数等）均可以单独设置。</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仿真装置支持单相电能表零火线反接、火线断、零线断；绕越、火线进出反接和火线进出短接、电压过压、电压、越限等异常模拟。</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仿真电能表和仿真终端具有独立的RS485仿真通讯口，与标准的RS485通讯口分离，通过仿真接口可以设置仿真设备电能量、电参量、参数以及模拟故障点。</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仿真装置实现对各仿真表计（包括专变采集终端、低压集中器，专变、低压、分布式电源等用户）进行数据召测、参数召测、参数下发等功能，为考生进行工单故障排查提供数据支撑。</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cs="Times New Roman"/>
          <w:color w:val="000000"/>
          <w:sz w:val="24"/>
          <w:szCs w:val="24"/>
        </w:rPr>
        <w:t>★</w:t>
      </w:r>
      <w:r>
        <w:rPr>
          <w:rFonts w:hint="eastAsia" w:ascii="宋体" w:hAnsi="宋体" w:eastAsia="宋体" w:cs="宋体"/>
          <w:color w:val="000000"/>
          <w:sz w:val="24"/>
          <w:szCs w:val="24"/>
        </w:rPr>
        <w:t>仿真控制软件能够在图形界面上直观显示各表计通讯地址及故障设置状态。</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仿真控制软件可实现仿真电能表各种参数的读写操作、实现终端上下行参数设置与故障模拟、测量点参数一键下发、常见的自身故障设置与复归。</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仿真平台用采仿真模块实现对各仿真表计（包括专变采集终端、低压集中器，专变、低压、分布式电源等用户）进行数据召测、参数召测、参数下发等功能，为考生进行工单故障排查提供数据支撑。</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平台实操考试管理模块包括题库配置、考试方案编制、考试计划编制、考试方案下发等功能。该模块对实操考试流程进行管理，并可实时查看考生的考试信息，包括关联的考试、考试进度、实操轮次、轮次进度，可查看对应工单的实时状况，包括异常工单处理内容、反馈归档得分详情等。</w:t>
      </w:r>
    </w:p>
    <w:p>
      <w:pPr>
        <w:numPr>
          <w:ilvl w:val="0"/>
          <w:numId w:val="6"/>
        </w:numPr>
        <w:spacing w:line="30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仿真平台工单流转模块模拟了电力系统中采集运维故障处理的全流程，涵盖了从工单生成、主站分析、工单派发、现场处理、工单反馈、工单归档等环节。</w:t>
      </w:r>
    </w:p>
    <w:p>
      <w:pPr>
        <w:numPr>
          <w:ilvl w:val="0"/>
          <w:numId w:val="6"/>
        </w:numPr>
        <w:spacing w:line="30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仿真平台设备管理模块可对装置档案进行配置，并对各仿真表计的电压、电流、相位和频率等参数进行配置及监控。</w:t>
      </w:r>
    </w:p>
    <w:p>
      <w:pPr>
        <w:numPr>
          <w:ilvl w:val="0"/>
          <w:numId w:val="6"/>
        </w:numPr>
        <w:spacing w:line="300" w:lineRule="auto"/>
        <w:ind w:firstLine="480" w:firstLineChars="200"/>
        <w:rPr>
          <w:rFonts w:hint="eastAsia" w:ascii="宋体" w:hAnsi="宋体"/>
          <w:sz w:val="24"/>
          <w:szCs w:val="24"/>
        </w:rPr>
      </w:pPr>
      <w:r>
        <w:rPr>
          <w:rFonts w:hint="eastAsia" w:ascii="宋体" w:hAnsi="宋体" w:eastAsia="宋体" w:cs="宋体"/>
          <w:color w:val="000000"/>
          <w:sz w:val="24"/>
          <w:szCs w:val="24"/>
        </w:rPr>
        <w:t>仿真平台系统支撑模块主要包括用户管理、角色管理、权限管理、日志管理等功能。</w:t>
      </w:r>
      <w:bookmarkEnd w:id="24"/>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5.3.4智能电能表接线仿真系统</w:t>
      </w:r>
    </w:p>
    <w:p>
      <w:pPr>
        <w:keepNext/>
        <w:keepLines/>
        <w:pageBreakBefore w:val="0"/>
        <w:widowControl w:val="0"/>
        <w:kinsoku/>
        <w:wordWrap/>
        <w:overflowPunct/>
        <w:topLinePunct w:val="0"/>
        <w:autoSpaceDE/>
        <w:autoSpaceDN/>
        <w:bidi w:val="0"/>
        <w:adjustRightInd/>
        <w:snapToGrid/>
        <w:ind w:left="862" w:hanging="862"/>
        <w:textAlignment w:val="auto"/>
        <w:outlineLvl w:val="9"/>
        <w:rPr>
          <w:rFonts w:hint="eastAsia" w:asciiTheme="majorEastAsia" w:hAnsiTheme="majorEastAsia" w:eastAsiaTheme="majorEastAsia"/>
          <w:b w:val="0"/>
          <w:bCs w:val="0"/>
          <w:sz w:val="24"/>
          <w:szCs w:val="24"/>
          <w:lang w:val="en-US" w:eastAsia="zh-CN"/>
        </w:rPr>
      </w:pPr>
      <w:r>
        <w:rPr>
          <w:rFonts w:hint="eastAsia" w:asciiTheme="majorEastAsia" w:hAnsiTheme="majorEastAsia" w:eastAsiaTheme="majorEastAsia"/>
          <w:b w:val="0"/>
          <w:bCs w:val="0"/>
          <w:sz w:val="24"/>
          <w:szCs w:val="24"/>
          <w:lang w:val="en-US" w:eastAsia="zh-CN"/>
        </w:rPr>
        <w:t>5.3.4.1柜体设计</w:t>
      </w:r>
      <w:bookmarkStart w:id="25" w:name="OLE_LINK9"/>
      <w:r>
        <w:rPr>
          <w:rFonts w:hint="eastAsia" w:asciiTheme="majorEastAsia" w:hAnsiTheme="majorEastAsia" w:eastAsiaTheme="majorEastAsia"/>
          <w:b w:val="0"/>
          <w:bCs w:val="0"/>
          <w:sz w:val="24"/>
          <w:szCs w:val="24"/>
          <w:lang w:val="en-US" w:eastAsia="zh-CN"/>
        </w:rPr>
        <w:t>要求</w:t>
      </w:r>
      <w:bookmarkEnd w:id="25"/>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rPr>
        <w:t>柜体采用框架式结构，由支撑框架、柜门、面板、隔板等部件组成，各主要部件采用模块化设计，可拆卸并模块式拼装；</w:t>
      </w:r>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rPr>
        <w:t xml:space="preserve">机柜底部安装有活动轮，可以各个方向移动，并有固定防滑装置；底部设置调节螺丝，运输到位后调节螺丝至接触到地面起支撑固定作用； </w:t>
      </w:r>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rPr>
        <w:t>金属外壳及正常工作中可能被接触的金属部分，连接到独立的保护接地端子上，接地端子有清楚的接地符号，接地端子的截面积不小于6平方毫米，使用过程中可能直接触及的各组件模块，均设有可靠的电源隔离措施；</w:t>
      </w:r>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rPr>
        <w:t>预留多个柜体拼接的电气、信号连接接口；</w:t>
      </w:r>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rPr>
        <w:t>设备外壳的棱缘和拐角倒圆和磨光；</w:t>
      </w:r>
    </w:p>
    <w:p>
      <w:pPr>
        <w:numPr>
          <w:ilvl w:val="0"/>
          <w:numId w:val="7"/>
        </w:numPr>
        <w:spacing w:after="0" w:line="360" w:lineRule="auto"/>
        <w:ind w:left="0" w:firstLine="480" w:firstLineChars="200"/>
        <w:rPr>
          <w:rFonts w:hint="eastAsia" w:ascii="宋体" w:hAnsi="宋体"/>
          <w:sz w:val="24"/>
          <w:szCs w:val="24"/>
        </w:rPr>
      </w:pPr>
      <w:r>
        <w:rPr>
          <w:rFonts w:hint="eastAsia" w:ascii="宋体" w:hAnsi="宋体"/>
          <w:sz w:val="24"/>
          <w:szCs w:val="24"/>
          <w:lang w:val="zh-CN"/>
        </w:rPr>
        <w:t>采用镀锌或不锈钢板材质，</w:t>
      </w:r>
      <w:r>
        <w:rPr>
          <w:rFonts w:hint="eastAsia" w:ascii="宋体" w:hAnsi="宋体"/>
          <w:sz w:val="24"/>
          <w:szCs w:val="24"/>
        </w:rPr>
        <w:t>钢板厚度不小于1.2mm，结构加强部分不小于1.8mm。</w:t>
      </w:r>
    </w:p>
    <w:p>
      <w:pPr>
        <w:keepNext/>
        <w:keepLines/>
        <w:pageBreakBefore w:val="0"/>
        <w:widowControl w:val="0"/>
        <w:kinsoku/>
        <w:wordWrap/>
        <w:overflowPunct/>
        <w:topLinePunct w:val="0"/>
        <w:autoSpaceDE/>
        <w:autoSpaceDN/>
        <w:bidi w:val="0"/>
        <w:adjustRightInd/>
        <w:snapToGrid/>
        <w:ind w:left="862" w:hanging="862"/>
        <w:textAlignment w:val="auto"/>
        <w:outlineLvl w:val="9"/>
        <w:rPr>
          <w:rFonts w:hint="eastAsia" w:asciiTheme="majorEastAsia" w:hAnsiTheme="majorEastAsia" w:eastAsiaTheme="majorEastAsia"/>
          <w:b w:val="0"/>
          <w:bCs w:val="0"/>
          <w:sz w:val="24"/>
          <w:szCs w:val="24"/>
          <w:lang w:val="en-US" w:eastAsia="zh-CN"/>
        </w:rPr>
      </w:pPr>
      <w:bookmarkStart w:id="26" w:name="_Toc203732040"/>
      <w:r>
        <w:rPr>
          <w:rFonts w:hint="eastAsia" w:asciiTheme="majorEastAsia" w:hAnsiTheme="majorEastAsia" w:eastAsiaTheme="majorEastAsia"/>
          <w:b w:val="0"/>
          <w:bCs w:val="0"/>
          <w:sz w:val="24"/>
          <w:szCs w:val="24"/>
          <w:lang w:val="en-US" w:eastAsia="zh-CN"/>
        </w:rPr>
        <w:t>5.3.4.2 柜内设计</w:t>
      </w:r>
      <w:bookmarkEnd w:id="26"/>
      <w:r>
        <w:rPr>
          <w:rFonts w:hint="eastAsia" w:asciiTheme="majorEastAsia" w:hAnsiTheme="majorEastAsia" w:eastAsiaTheme="majorEastAsia"/>
          <w:b w:val="0"/>
          <w:bCs w:val="0"/>
          <w:sz w:val="24"/>
          <w:szCs w:val="24"/>
          <w:lang w:val="en-US" w:eastAsia="zh-CN"/>
        </w:rPr>
        <w:t>要求</w:t>
      </w:r>
    </w:p>
    <w:p>
      <w:pPr>
        <w:numPr>
          <w:ilvl w:val="0"/>
          <w:numId w:val="8"/>
        </w:numPr>
        <w:spacing w:after="0" w:line="360" w:lineRule="auto"/>
        <w:ind w:left="0" w:firstLine="480" w:firstLineChars="200"/>
        <w:rPr>
          <w:rFonts w:hint="eastAsia" w:ascii="宋体" w:hAnsi="宋体"/>
          <w:sz w:val="24"/>
          <w:szCs w:val="24"/>
        </w:rPr>
      </w:pPr>
      <w:r>
        <w:rPr>
          <w:rFonts w:hint="eastAsia" w:ascii="宋体" w:hAnsi="宋体"/>
          <w:sz w:val="24"/>
          <w:szCs w:val="24"/>
        </w:rPr>
        <w:t>柜内各模块组件间的电气及信号连接使用标准接插件，易于安装维护；</w:t>
      </w:r>
    </w:p>
    <w:p>
      <w:pPr>
        <w:numPr>
          <w:ilvl w:val="0"/>
          <w:numId w:val="8"/>
        </w:numPr>
        <w:spacing w:after="0" w:line="360" w:lineRule="auto"/>
        <w:ind w:left="0" w:firstLine="480" w:firstLineChars="200"/>
        <w:rPr>
          <w:rFonts w:hint="eastAsia" w:ascii="宋体" w:hAnsi="宋体"/>
          <w:sz w:val="24"/>
          <w:szCs w:val="24"/>
        </w:rPr>
      </w:pPr>
      <w:r>
        <w:rPr>
          <w:rFonts w:hint="eastAsia" w:ascii="宋体" w:hAnsi="宋体"/>
          <w:sz w:val="24"/>
          <w:szCs w:val="24"/>
        </w:rPr>
        <w:t>柜内布线整齐美观，符合配线工艺要求，通过支柱、横梁走线；</w:t>
      </w:r>
    </w:p>
    <w:p>
      <w:pPr>
        <w:numPr>
          <w:ilvl w:val="0"/>
          <w:numId w:val="8"/>
        </w:numPr>
        <w:spacing w:after="0" w:line="360" w:lineRule="auto"/>
        <w:ind w:left="0" w:firstLine="480" w:firstLineChars="200"/>
        <w:rPr>
          <w:rFonts w:hint="eastAsia" w:ascii="宋体" w:hAnsi="宋体"/>
          <w:sz w:val="24"/>
          <w:szCs w:val="24"/>
        </w:rPr>
      </w:pPr>
      <w:r>
        <w:rPr>
          <w:rFonts w:hint="eastAsia" w:ascii="宋体" w:hAnsi="宋体"/>
          <w:sz w:val="24"/>
          <w:szCs w:val="24"/>
        </w:rPr>
        <w:t>装置通讯信号线应单独敷设，不应与其他导线混合布线；</w:t>
      </w:r>
    </w:p>
    <w:p>
      <w:pPr>
        <w:numPr>
          <w:ilvl w:val="0"/>
          <w:numId w:val="8"/>
        </w:numPr>
        <w:spacing w:after="0" w:line="360" w:lineRule="auto"/>
        <w:ind w:left="0" w:firstLine="480" w:firstLineChars="200"/>
        <w:rPr>
          <w:rFonts w:hint="eastAsia" w:ascii="宋体" w:hAnsi="宋体"/>
          <w:sz w:val="24"/>
          <w:szCs w:val="24"/>
        </w:rPr>
      </w:pPr>
      <w:r>
        <w:rPr>
          <w:rFonts w:hint="eastAsia" w:ascii="宋体" w:hAnsi="宋体"/>
          <w:sz w:val="24"/>
          <w:szCs w:val="24"/>
        </w:rPr>
        <w:t>导线与接线端子或线桩连接时，应不压绝缘层、不反圈，露铜不大于1 mm。</w:t>
      </w:r>
    </w:p>
    <w:p>
      <w:pPr>
        <w:keepNext/>
        <w:keepLines/>
        <w:pageBreakBefore w:val="0"/>
        <w:widowControl w:val="0"/>
        <w:kinsoku/>
        <w:wordWrap/>
        <w:overflowPunct/>
        <w:topLinePunct w:val="0"/>
        <w:autoSpaceDE/>
        <w:autoSpaceDN/>
        <w:bidi w:val="0"/>
        <w:adjustRightInd/>
        <w:snapToGrid/>
        <w:ind w:left="862" w:hanging="862"/>
        <w:textAlignment w:val="auto"/>
        <w:outlineLvl w:val="9"/>
        <w:rPr>
          <w:rFonts w:hint="eastAsia" w:asciiTheme="majorEastAsia" w:hAnsiTheme="majorEastAsia" w:eastAsiaTheme="majorEastAsia"/>
          <w:b w:val="0"/>
          <w:bCs w:val="0"/>
          <w:sz w:val="24"/>
          <w:szCs w:val="24"/>
          <w:lang w:val="en-US" w:eastAsia="zh-CN"/>
        </w:rPr>
      </w:pPr>
      <w:bookmarkStart w:id="27" w:name="_Toc203732041"/>
      <w:r>
        <w:rPr>
          <w:rFonts w:hint="eastAsia" w:asciiTheme="majorEastAsia" w:hAnsiTheme="majorEastAsia" w:eastAsiaTheme="majorEastAsia"/>
          <w:b w:val="0"/>
          <w:bCs w:val="0"/>
          <w:sz w:val="24"/>
          <w:szCs w:val="24"/>
          <w:lang w:val="en-US" w:eastAsia="zh-CN"/>
        </w:rPr>
        <w:t>5.3.4.3 外观设计</w:t>
      </w:r>
      <w:bookmarkEnd w:id="27"/>
      <w:r>
        <w:rPr>
          <w:rFonts w:hint="eastAsia" w:asciiTheme="majorEastAsia" w:hAnsiTheme="majorEastAsia" w:eastAsiaTheme="majorEastAsia"/>
          <w:b w:val="0"/>
          <w:bCs w:val="0"/>
          <w:sz w:val="24"/>
          <w:szCs w:val="24"/>
          <w:lang w:val="en-US" w:eastAsia="zh-CN"/>
        </w:rPr>
        <w:t>要求</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装置的金属外露表面，除不锈材料或铝材外，采用油漆或其他涂层保护。涂层下的金属表面须经除锈处理，表面经脱脂、酸洗—磷化然后再涂覆。</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装置外观所有涂层、不锈材料和铝材，表面色泽均匀一致、无明显花斑、麻点、划痕、磨具拉痕和粗糙不平等缺陷。</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设备整机和各部件的外观表面应没有超出规定的凸起、凹陷、翘曲、歪斜等缺陷。</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各焊接物件的外观焊缝以及性能焊缝均打磨平整光滑，清除焊渣、焊瘤、飞溅物。</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外观覆盖件、透明件无毛刺、铁锈、型砂、焊渣、切屑、油污等物，无碰伤、划伤、拉毛等痕迹。</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电镀件及表面经化学处理的零件色泽均匀，附着严密，无剥落、露底、鼓泡及明显花斑。</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涂装前涂漆表面无锈蚀或污物，涂层表面均匀、光亮、色泽一致，不允许有起泡、脱落、开裂、皱皮、外来杂质及其他降低保护和装饰性的显著污物。</w:t>
      </w:r>
    </w:p>
    <w:p>
      <w:pPr>
        <w:numPr>
          <w:ilvl w:val="0"/>
          <w:numId w:val="9"/>
        </w:numPr>
        <w:spacing w:after="0" w:line="360" w:lineRule="auto"/>
        <w:ind w:left="0" w:firstLine="480" w:firstLineChars="200"/>
        <w:rPr>
          <w:rFonts w:hint="eastAsia" w:ascii="宋体" w:hAnsi="宋体"/>
          <w:sz w:val="24"/>
          <w:szCs w:val="24"/>
        </w:rPr>
      </w:pPr>
      <w:r>
        <w:rPr>
          <w:rFonts w:hint="eastAsia" w:ascii="宋体" w:hAnsi="宋体"/>
          <w:sz w:val="24"/>
          <w:szCs w:val="24"/>
        </w:rPr>
        <w:t>装置产品外观颜色、标识信息、标识位置应清晰醒目、色泽均匀，不应有泛色，不应出现折痕、皱纹、自卷、撕裂和粘结剂渗出等现象。</w:t>
      </w:r>
    </w:p>
    <w:p>
      <w:pPr>
        <w:keepNext/>
        <w:keepLines/>
        <w:pageBreakBefore w:val="0"/>
        <w:widowControl w:val="0"/>
        <w:kinsoku/>
        <w:wordWrap/>
        <w:overflowPunct/>
        <w:topLinePunct w:val="0"/>
        <w:autoSpaceDE/>
        <w:autoSpaceDN/>
        <w:bidi w:val="0"/>
        <w:adjustRightInd/>
        <w:snapToGrid/>
        <w:ind w:left="862" w:hanging="862"/>
        <w:textAlignment w:val="auto"/>
        <w:outlineLvl w:val="9"/>
        <w:rPr>
          <w:rFonts w:hint="eastAsia" w:asciiTheme="majorEastAsia" w:hAnsiTheme="majorEastAsia" w:eastAsiaTheme="majorEastAsia"/>
          <w:b w:val="0"/>
          <w:bCs w:val="0"/>
          <w:sz w:val="24"/>
          <w:szCs w:val="24"/>
          <w:lang w:val="en-US" w:eastAsia="zh-CN"/>
        </w:rPr>
      </w:pPr>
      <w:bookmarkStart w:id="28" w:name="_Toc203732042"/>
      <w:r>
        <w:rPr>
          <w:rFonts w:hint="eastAsia" w:asciiTheme="majorEastAsia" w:hAnsiTheme="majorEastAsia" w:eastAsiaTheme="majorEastAsia"/>
          <w:b w:val="0"/>
          <w:bCs w:val="0"/>
          <w:sz w:val="24"/>
          <w:szCs w:val="24"/>
          <w:lang w:val="en-US" w:eastAsia="zh-CN"/>
        </w:rPr>
        <w:t>5.3.4.4 电源设计</w:t>
      </w:r>
      <w:bookmarkEnd w:id="28"/>
      <w:r>
        <w:rPr>
          <w:rFonts w:hint="eastAsia" w:asciiTheme="majorEastAsia" w:hAnsiTheme="majorEastAsia" w:eastAsiaTheme="majorEastAsia"/>
          <w:b w:val="0"/>
          <w:bCs w:val="0"/>
          <w:sz w:val="24"/>
          <w:szCs w:val="24"/>
          <w:lang w:val="en-US" w:eastAsia="zh-CN"/>
        </w:rPr>
        <w:t>要求</w:t>
      </w:r>
    </w:p>
    <w:p>
      <w:pPr>
        <w:spacing w:line="360" w:lineRule="auto"/>
        <w:ind w:firstLine="480" w:firstLineChars="200"/>
        <w:rPr>
          <w:rFonts w:hint="eastAsia" w:ascii="宋体" w:hAnsi="宋体"/>
          <w:sz w:val="24"/>
          <w:szCs w:val="24"/>
        </w:rPr>
      </w:pPr>
      <w:r>
        <w:rPr>
          <w:rFonts w:hint="eastAsia" w:ascii="宋体" w:hAnsi="宋体"/>
          <w:sz w:val="24"/>
          <w:szCs w:val="24"/>
        </w:rPr>
        <w:t>交流单相供电，额定电压：220 V；允许偏差：-10％～+10％；频率：50 Hz，允许偏差：-2％～+2％。</w:t>
      </w:r>
    </w:p>
    <w:p>
      <w:pPr>
        <w:spacing w:line="360" w:lineRule="auto"/>
        <w:ind w:firstLine="480" w:firstLineChars="200"/>
        <w:rPr>
          <w:rFonts w:hint="eastAsia" w:ascii="宋体" w:hAnsi="宋体"/>
          <w:sz w:val="24"/>
          <w:szCs w:val="24"/>
        </w:rPr>
      </w:pPr>
      <w:r>
        <w:rPr>
          <w:rFonts w:hint="eastAsia" w:ascii="宋体" w:hAnsi="宋体"/>
          <w:sz w:val="24"/>
          <w:szCs w:val="24"/>
        </w:rPr>
        <w:t>电源回路中须配备剩余电流动作保护器。保护器应选用一般型（无延时）的剩余电流保护装置，其额定剩余动作电流不超过30mA。</w:t>
      </w:r>
    </w:p>
    <w:p>
      <w:pPr>
        <w:keepNext/>
        <w:keepLines/>
        <w:pageBreakBefore w:val="0"/>
        <w:widowControl w:val="0"/>
        <w:kinsoku/>
        <w:wordWrap/>
        <w:overflowPunct/>
        <w:topLinePunct w:val="0"/>
        <w:autoSpaceDE/>
        <w:autoSpaceDN/>
        <w:bidi w:val="0"/>
        <w:adjustRightInd/>
        <w:snapToGrid/>
        <w:ind w:left="862" w:hanging="862"/>
        <w:textAlignment w:val="auto"/>
        <w:outlineLvl w:val="9"/>
        <w:rPr>
          <w:rFonts w:hint="eastAsia" w:asciiTheme="majorEastAsia" w:hAnsiTheme="majorEastAsia" w:eastAsiaTheme="majorEastAsia"/>
          <w:b w:val="0"/>
          <w:bCs w:val="0"/>
          <w:sz w:val="24"/>
          <w:szCs w:val="24"/>
          <w:lang w:val="en-US" w:eastAsia="zh-CN"/>
        </w:rPr>
      </w:pPr>
      <w:bookmarkStart w:id="29" w:name="_Toc203732043"/>
      <w:r>
        <w:rPr>
          <w:rFonts w:hint="eastAsia" w:asciiTheme="majorEastAsia" w:hAnsiTheme="majorEastAsia" w:eastAsiaTheme="majorEastAsia"/>
          <w:b w:val="0"/>
          <w:bCs w:val="0"/>
          <w:sz w:val="24"/>
          <w:szCs w:val="24"/>
          <w:lang w:val="en-US" w:eastAsia="zh-CN"/>
        </w:rPr>
        <w:t>5.3.4.5 设备功能</w:t>
      </w:r>
      <w:bookmarkEnd w:id="29"/>
      <w:r>
        <w:rPr>
          <w:rFonts w:hint="eastAsia" w:asciiTheme="majorEastAsia" w:hAnsiTheme="majorEastAsia" w:eastAsiaTheme="majorEastAsia"/>
          <w:b w:val="0"/>
          <w:bCs w:val="0"/>
          <w:sz w:val="24"/>
          <w:szCs w:val="24"/>
          <w:lang w:val="en-US" w:eastAsia="zh-CN"/>
        </w:rPr>
        <w:t>要求</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装置采用双工位设计，各工位可独立设置不同的负荷参数、接线方式和错误接线类型，操作面之间操作互不影响；</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装置设计有竞赛专用语音计时系统，参赛选手完成操作后，按下工位“交卷”按钮，倒计时显示窗口计时自动停止，并具有比赛开始、比赛暂停、比赛继续、最后五分钟和比赛结束等相关语音提示功能；</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装置设计具备明显标识的验电处和复验电源插排；</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装置具有置物托盘，用以放置测量仪器仪表和工具，便于参赛选手快速完成比赛任务书要求的数据测量；</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装置配置电能表假表尾，供参赛选手测量电量数据和更正接线；</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装置应具备进行电流互感器二次回路分相接入接地或不接地时，串接接线故障模拟；</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cs="Times New Roman"/>
          <w:color w:val="000000"/>
          <w:sz w:val="24"/>
          <w:szCs w:val="24"/>
        </w:rPr>
        <w:t>★</w:t>
      </w:r>
      <w:r>
        <w:rPr>
          <w:rFonts w:hint="eastAsia" w:ascii="宋体" w:hAnsi="宋体"/>
          <w:sz w:val="24"/>
          <w:szCs w:val="24"/>
        </w:rPr>
        <w:t>装置</w:t>
      </w:r>
      <w:bookmarkStart w:id="30" w:name="OLE_LINK5"/>
      <w:r>
        <w:rPr>
          <w:rFonts w:hint="eastAsia" w:ascii="宋体" w:hAnsi="宋体"/>
          <w:sz w:val="24"/>
          <w:szCs w:val="24"/>
        </w:rPr>
        <w:t>应具备</w:t>
      </w:r>
      <w:bookmarkEnd w:id="30"/>
      <w:r>
        <w:rPr>
          <w:rFonts w:hint="eastAsia" w:ascii="宋体" w:hAnsi="宋体"/>
          <w:sz w:val="24"/>
          <w:szCs w:val="24"/>
        </w:rPr>
        <w:t>实现电压相线与中性线接线故障；</w:t>
      </w:r>
    </w:p>
    <w:p>
      <w:pPr>
        <w:numPr>
          <w:ilvl w:val="0"/>
          <w:numId w:val="10"/>
        </w:numPr>
        <w:spacing w:after="0" w:line="360" w:lineRule="auto"/>
        <w:ind w:left="0" w:firstLine="480" w:firstLineChars="200"/>
        <w:rPr>
          <w:rFonts w:hint="eastAsia"/>
        </w:rPr>
      </w:pPr>
      <w:r>
        <w:rPr>
          <w:rFonts w:hint="eastAsia" w:ascii="宋体" w:hAnsi="宋体" w:cs="Times New Roman"/>
          <w:color w:val="000000"/>
          <w:sz w:val="24"/>
          <w:szCs w:val="24"/>
          <w:lang w:val="en-US" w:eastAsia="zh-CN"/>
        </w:rPr>
        <w:t xml:space="preserve">    </w:t>
      </w:r>
      <w:r>
        <w:rPr>
          <w:rFonts w:hint="eastAsia" w:ascii="宋体" w:hAnsi="宋体" w:cs="Times New Roman"/>
          <w:color w:val="000000"/>
          <w:sz w:val="24"/>
          <w:szCs w:val="24"/>
        </w:rPr>
        <w:t>★</w:t>
      </w:r>
      <w:r>
        <w:rPr>
          <w:rFonts w:hint="eastAsia" w:ascii="宋体" w:hAnsi="宋体"/>
          <w:sz w:val="24"/>
          <w:szCs w:val="24"/>
        </w:rPr>
        <w:t>装置应具备</w:t>
      </w:r>
      <w:r>
        <w:rPr>
          <w:rFonts w:hint="eastAsia" w:ascii="宋体" w:hAnsi="宋体"/>
          <w:sz w:val="24"/>
          <w:szCs w:val="24"/>
          <w:lang w:val="en-US" w:eastAsia="zh-CN"/>
        </w:rPr>
        <w:t>电流串接</w:t>
      </w:r>
      <w:r>
        <w:rPr>
          <w:rFonts w:hint="eastAsia" w:ascii="宋体" w:hAnsi="宋体"/>
          <w:sz w:val="24"/>
          <w:szCs w:val="24"/>
        </w:rPr>
        <w:t>故障；</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装置支持选手带电更正接线和串接故障恢复；</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cs="Times New Roman"/>
          <w:color w:val="000000"/>
          <w:sz w:val="24"/>
          <w:szCs w:val="24"/>
        </w:rPr>
        <w:t>★</w:t>
      </w:r>
      <w:r>
        <w:rPr>
          <w:rFonts w:hint="eastAsia" w:ascii="宋体" w:hAnsi="宋体"/>
          <w:sz w:val="24"/>
          <w:szCs w:val="24"/>
        </w:rPr>
        <w:t>装置软件具备接线分析功能，能自动绘制接线图、相量图、接线方式，输出功率表达式，计算更正系数和相对误差等；</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装置软件</w:t>
      </w:r>
      <w:r>
        <w:rPr>
          <w:rFonts w:hint="eastAsia"/>
          <w:sz w:val="24"/>
          <w:szCs w:val="24"/>
        </w:rPr>
        <w:t>支持多台电能表接线模拟实训装置（台体）组网，共享同一套仿真方案，支持批量下发仿真故障方案。</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装置具有专用“恢复按钮”，实现TV、TA典型错误接线更正，并设有“一键恢复”按钮，快速清除按下的恢复按钮；</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装置每个工位配置完全独立的虚负荷电源，在两个操作面同时操作时，出现违规操作的工位自己出现报警保护并不影响其他工位的操作进程；</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应具备一套准确可靠的三相三线、三相四线、TA及TV各种接线的数学模型和逻辑运算模拟方法，使现场各种可能出现的接线，均可通过计算机程序模拟仿真；</w:t>
      </w:r>
    </w:p>
    <w:p>
      <w:pPr>
        <w:numPr>
          <w:ilvl w:val="0"/>
          <w:numId w:val="10"/>
        </w:numPr>
        <w:spacing w:after="0" w:line="360" w:lineRule="auto"/>
        <w:ind w:left="0" w:firstLine="480" w:firstLineChars="200"/>
        <w:rPr>
          <w:rFonts w:hint="eastAsia" w:ascii="宋体" w:hAnsi="宋体"/>
          <w:sz w:val="24"/>
          <w:szCs w:val="24"/>
        </w:rPr>
      </w:pPr>
      <w:r>
        <w:rPr>
          <w:rFonts w:hint="eastAsia" w:ascii="宋体" w:hAnsi="宋体"/>
          <w:sz w:val="24"/>
          <w:szCs w:val="24"/>
        </w:rPr>
        <w:t>接线方式涵盖面广，种类齐全，上万种接线；</w:t>
      </w:r>
    </w:p>
    <w:p>
      <w:pPr>
        <w:ind w:firstLine="480" w:firstLineChars="200"/>
        <w:rPr>
          <w:rFonts w:hint="eastAsia" w:ascii="宋体" w:hAnsi="宋体" w:cs="Times New Roman"/>
          <w:color w:val="000000"/>
          <w:sz w:val="24"/>
          <w:szCs w:val="24"/>
        </w:rPr>
      </w:pPr>
      <w:r>
        <w:rPr>
          <w:rFonts w:hint="eastAsia" w:ascii="宋体" w:hAnsi="宋体"/>
          <w:sz w:val="24"/>
          <w:szCs w:val="24"/>
        </w:rPr>
        <w:t>装置能够仿真三相三线高压电能表接线和智能采集终端（TA简化和分相两种）</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5.3.5厂站计量培训装置</w:t>
      </w:r>
    </w:p>
    <w:p>
      <w:pPr>
        <w:pStyle w:val="35"/>
        <w:numPr>
          <w:ilvl w:val="0"/>
          <w:numId w:val="11"/>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★装置具备厂站表计接线故障仿真功能</w:t>
      </w:r>
      <w:r>
        <w:rPr>
          <w:rFonts w:hint="eastAsia" w:ascii="宋体" w:hAnsi="宋体" w:cs="Times New Roman"/>
          <w:color w:val="000000"/>
          <w:sz w:val="24"/>
          <w:szCs w:val="24"/>
          <w:lang w:eastAsia="zh-CN"/>
        </w:rPr>
        <w:t>；</w:t>
      </w:r>
    </w:p>
    <w:p>
      <w:pPr>
        <w:pStyle w:val="35"/>
        <w:numPr>
          <w:ilvl w:val="0"/>
          <w:numId w:val="11"/>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★装置具备厂站表计通讯故障仿真功能</w:t>
      </w:r>
      <w:r>
        <w:rPr>
          <w:rFonts w:hint="eastAsia" w:ascii="宋体" w:hAnsi="宋体" w:cs="Times New Roman"/>
          <w:color w:val="000000"/>
          <w:sz w:val="24"/>
          <w:szCs w:val="24"/>
          <w:lang w:eastAsia="zh-CN"/>
        </w:rPr>
        <w:t>；</w:t>
      </w:r>
    </w:p>
    <w:p>
      <w:pPr>
        <w:pStyle w:val="35"/>
        <w:numPr>
          <w:ilvl w:val="0"/>
          <w:numId w:val="11"/>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厂站终端调试运维故障的实训；</w:t>
      </w:r>
    </w:p>
    <w:p>
      <w:pPr>
        <w:pStyle w:val="35"/>
        <w:numPr>
          <w:ilvl w:val="0"/>
          <w:numId w:val="11"/>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厂站电能计量数据采集调试及采集故障实训；</w:t>
      </w:r>
    </w:p>
    <w:p>
      <w:pPr>
        <w:pStyle w:val="35"/>
        <w:numPr>
          <w:ilvl w:val="0"/>
          <w:numId w:val="11"/>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厂站电能计量故障处理实训；</w:t>
      </w:r>
    </w:p>
    <w:p>
      <w:pPr>
        <w:pStyle w:val="35"/>
        <w:numPr>
          <w:ilvl w:val="0"/>
          <w:numId w:val="11"/>
        </w:numPr>
        <w:spacing w:line="360" w:lineRule="auto"/>
        <w:ind w:firstLineChars="0"/>
        <w:rPr>
          <w:rFonts w:hint="eastAsia" w:ascii="宋体" w:hAnsi="宋体" w:cs="Times New Roman"/>
          <w:color w:val="000000"/>
          <w:sz w:val="24"/>
          <w:szCs w:val="24"/>
          <w:lang w:val="en-US" w:eastAsia="zh-CN"/>
        </w:rPr>
      </w:pPr>
      <w:r>
        <w:rPr>
          <w:rFonts w:hint="eastAsia" w:ascii="宋体" w:hAnsi="宋体" w:cs="Times New Roman"/>
          <w:color w:val="000000"/>
          <w:sz w:val="24"/>
          <w:szCs w:val="24"/>
        </w:rPr>
        <w:t>运维工作仪器、仪表及工器具的使用实训</w:t>
      </w:r>
      <w:r>
        <w:rPr>
          <w:rFonts w:hint="eastAsia" w:ascii="宋体" w:hAnsi="宋体" w:cs="Times New Roman"/>
          <w:color w:val="000000"/>
          <w:sz w:val="24"/>
          <w:szCs w:val="24"/>
          <w:lang w:eastAsia="zh-CN"/>
        </w:rPr>
        <w:t>。</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5.3.6低压配电柜实训系统（含AR系统）</w:t>
      </w:r>
    </w:p>
    <w:p>
      <w:pPr>
        <w:pStyle w:val="35"/>
        <w:numPr>
          <w:ilvl w:val="0"/>
          <w:numId w:val="0"/>
        </w:numPr>
        <w:spacing w:line="360" w:lineRule="auto"/>
        <w:rPr>
          <w:rFonts w:ascii="宋体" w:hAnsi="宋体" w:cs="Times New Roman"/>
          <w:color w:val="000000"/>
          <w:sz w:val="24"/>
          <w:szCs w:val="24"/>
        </w:rPr>
      </w:pPr>
      <w:r>
        <w:rPr>
          <w:rFonts w:hint="eastAsia" w:ascii="宋体" w:hAnsi="宋体" w:cs="Times New Roman"/>
          <w:color w:val="000000"/>
          <w:sz w:val="24"/>
          <w:szCs w:val="24"/>
          <w:lang w:val="en-US" w:eastAsia="zh-CN"/>
        </w:rPr>
        <w:t>5.3.6.1</w:t>
      </w:r>
      <w:r>
        <w:rPr>
          <w:rFonts w:hint="eastAsia" w:ascii="宋体" w:hAnsi="宋体" w:cs="Times New Roman"/>
          <w:color w:val="000000"/>
          <w:sz w:val="24"/>
          <w:szCs w:val="24"/>
        </w:rPr>
        <w:t>低压配电柜实训系统</w:t>
      </w:r>
    </w:p>
    <w:p>
      <w:pPr>
        <w:spacing w:line="360" w:lineRule="auto"/>
        <w:ind w:firstLine="480" w:firstLineChars="200"/>
        <w:rPr>
          <w:rFonts w:ascii="宋体" w:hAnsi="宋体" w:cs="Times New Roman"/>
          <w:color w:val="000000"/>
          <w:sz w:val="24"/>
          <w:szCs w:val="24"/>
        </w:rPr>
      </w:pPr>
      <w:r>
        <w:rPr>
          <w:rFonts w:hint="eastAsia" w:ascii="宋体" w:hAnsi="宋体" w:cs="Times New Roman"/>
          <w:color w:val="000000"/>
          <w:sz w:val="24"/>
          <w:szCs w:val="24"/>
        </w:rPr>
        <w:t>低压部分为完善实际运行现场设备类型，采用较为常用GGD固定接线低压配电柜、</w:t>
      </w:r>
      <w:r>
        <w:rPr>
          <w:rFonts w:ascii="宋体" w:hAnsi="宋体" w:cs="Times New Roman"/>
          <w:color w:val="000000"/>
          <w:sz w:val="24"/>
          <w:szCs w:val="24"/>
        </w:rPr>
        <w:t>GCL</w:t>
      </w:r>
      <w:r>
        <w:rPr>
          <w:rFonts w:hint="eastAsia" w:ascii="宋体" w:hAnsi="宋体" w:cs="Times New Roman"/>
          <w:color w:val="000000"/>
          <w:sz w:val="24"/>
          <w:szCs w:val="24"/>
        </w:rPr>
        <w:t>与GCK低压抽出式开关柜混合配置方式，提高培训效果，外形尺寸宽*深*高=800×600（800/1000）×2200。柜体配有相应电流、电压指示表计，多功能电度表、无功补偿自动控制装置等，满足实训项目巡视、实操等科目要求。</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0.4kV低压部分采用电网典型设计规范，低压进线采用电缆下进线,出线采用电缆出线。低压配电柜</w:t>
      </w:r>
      <w:r>
        <w:rPr>
          <w:rFonts w:hint="eastAsia" w:ascii="宋体" w:hAnsi="宋体" w:cs="Times New Roman"/>
          <w:color w:val="000000"/>
          <w:sz w:val="24"/>
          <w:szCs w:val="24"/>
          <w:lang w:val="en-US" w:eastAsia="zh-CN"/>
        </w:rPr>
        <w:t>由</w:t>
      </w:r>
      <w:r>
        <w:rPr>
          <w:rFonts w:hint="eastAsia" w:ascii="宋体" w:hAnsi="宋体" w:cs="Times New Roman"/>
          <w:color w:val="000000"/>
          <w:sz w:val="24"/>
          <w:szCs w:val="24"/>
        </w:rPr>
        <w:t>进线</w:t>
      </w:r>
      <w:r>
        <w:rPr>
          <w:rFonts w:hint="eastAsia" w:ascii="宋体" w:hAnsi="宋体" w:cs="Times New Roman"/>
          <w:color w:val="000000"/>
          <w:sz w:val="24"/>
          <w:szCs w:val="24"/>
          <w:lang w:val="en-US" w:eastAsia="zh-CN"/>
        </w:rPr>
        <w:t>柜、</w:t>
      </w:r>
      <w:r>
        <w:rPr>
          <w:rFonts w:hint="eastAsia" w:ascii="宋体" w:hAnsi="宋体" w:cs="Times New Roman"/>
          <w:color w:val="000000"/>
          <w:sz w:val="24"/>
          <w:szCs w:val="24"/>
        </w:rPr>
        <w:t>计量柜、电容补偿柜、</w:t>
      </w:r>
      <w:r>
        <w:rPr>
          <w:rFonts w:hint="eastAsia" w:ascii="宋体" w:hAnsi="宋体" w:cs="Times New Roman"/>
          <w:color w:val="000000"/>
          <w:sz w:val="24"/>
          <w:szCs w:val="24"/>
          <w:lang w:val="en-US" w:eastAsia="zh-CN"/>
        </w:rPr>
        <w:t>出线柜</w:t>
      </w:r>
      <w:r>
        <w:rPr>
          <w:rFonts w:hint="eastAsia" w:ascii="宋体" w:hAnsi="宋体" w:cs="Times New Roman"/>
          <w:color w:val="000000"/>
          <w:sz w:val="24"/>
          <w:szCs w:val="24"/>
        </w:rPr>
        <w:t>组成</w:t>
      </w:r>
      <w:r>
        <w:rPr>
          <w:rFonts w:hint="eastAsia" w:ascii="宋体" w:hAnsi="宋体" w:cs="Times New Roman"/>
          <w:color w:val="000000"/>
          <w:sz w:val="24"/>
          <w:szCs w:val="24"/>
          <w:lang w:eastAsia="zh-CN"/>
        </w:rPr>
        <w:t>，</w:t>
      </w:r>
      <w:r>
        <w:rPr>
          <w:rFonts w:hint="eastAsia" w:ascii="宋体" w:hAnsi="宋体" w:cs="Times New Roman"/>
          <w:color w:val="000000"/>
          <w:sz w:val="24"/>
          <w:szCs w:val="24"/>
        </w:rPr>
        <w:t>共计</w:t>
      </w:r>
      <w:r>
        <w:rPr>
          <w:rFonts w:hint="eastAsia" w:ascii="宋体" w:hAnsi="宋体" w:cs="Times New Roman"/>
          <w:color w:val="000000"/>
          <w:sz w:val="24"/>
          <w:szCs w:val="24"/>
          <w:lang w:val="en-US" w:eastAsia="zh-CN"/>
        </w:rPr>
        <w:t>4</w:t>
      </w:r>
      <w:r>
        <w:rPr>
          <w:rFonts w:hint="eastAsia" w:ascii="宋体" w:hAnsi="宋体" w:cs="Times New Roman"/>
          <w:color w:val="000000"/>
          <w:sz w:val="24"/>
          <w:szCs w:val="24"/>
        </w:rPr>
        <w:t>面。</w:t>
      </w:r>
    </w:p>
    <w:p>
      <w:pPr>
        <w:spacing w:line="360" w:lineRule="auto"/>
        <w:ind w:firstLine="480" w:firstLineChars="200"/>
        <w:rPr>
          <w:rFonts w:hint="eastAsia" w:ascii="宋体" w:hAnsi="宋体" w:cs="Times New Roman"/>
          <w:color w:val="000000"/>
          <w:sz w:val="24"/>
          <w:szCs w:val="24"/>
          <w:lang w:eastAsia="zh-CN"/>
        </w:rPr>
      </w:pPr>
      <w:r>
        <w:rPr>
          <w:rFonts w:hint="eastAsia" w:ascii="宋体" w:hAnsi="宋体" w:cs="Times New Roman"/>
          <w:color w:val="000000"/>
          <w:sz w:val="24"/>
          <w:szCs w:val="24"/>
          <w:lang w:eastAsia="zh-CN"/>
        </w:rPr>
        <w:drawing>
          <wp:inline distT="0" distB="0" distL="114300" distR="114300">
            <wp:extent cx="5273675" cy="2470785"/>
            <wp:effectExtent l="0" t="0" r="9525" b="5715"/>
            <wp:docPr id="1" name="图片 1" descr="1775106750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75106750969"/>
                    <pic:cNvPicPr>
                      <a:picLocks noChangeAspect="1"/>
                    </pic:cNvPicPr>
                  </pic:nvPicPr>
                  <pic:blipFill>
                    <a:blip r:embed="rId9"/>
                    <a:stretch>
                      <a:fillRect/>
                    </a:stretch>
                  </pic:blipFill>
                  <pic:spPr>
                    <a:xfrm>
                      <a:off x="0" y="0"/>
                      <a:ext cx="5273675" cy="2470785"/>
                    </a:xfrm>
                    <a:prstGeom prst="rect">
                      <a:avLst/>
                    </a:prstGeom>
                  </pic:spPr>
                </pic:pic>
              </a:graphicData>
            </a:graphic>
          </wp:inline>
        </w:drawing>
      </w:r>
    </w:p>
    <w:p>
      <w:pPr>
        <w:spacing w:line="360" w:lineRule="auto"/>
        <w:ind w:firstLine="480" w:firstLineChars="200"/>
        <w:jc w:val="center"/>
        <w:rPr>
          <w:rFonts w:hint="eastAsia" w:ascii="宋体" w:hAnsi="宋体" w:cs="Times New Roman"/>
          <w:color w:val="000000"/>
          <w:sz w:val="24"/>
          <w:szCs w:val="24"/>
          <w:lang w:eastAsia="zh-CN"/>
        </w:rPr>
      </w:pPr>
      <w:r>
        <w:rPr>
          <w:rFonts w:hint="eastAsia" w:ascii="宋体" w:hAnsi="宋体" w:cs="Times New Roman"/>
          <w:color w:val="000000"/>
          <w:sz w:val="24"/>
          <w:szCs w:val="24"/>
        </w:rPr>
        <w:t>0.4KV低压部分主接线图</w:t>
      </w:r>
    </w:p>
    <w:p>
      <w:pPr>
        <w:pStyle w:val="35"/>
        <w:numPr>
          <w:ilvl w:val="0"/>
          <w:numId w:val="12"/>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计量单元故障</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计量单元主要为低压计量柜，主要功能元件为三相四线电能表、采集终端和1低压互感器等。</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错误接线仿真功能：可以仿真高压三相四线接线方式的错误接线，错误接线类型主要包含（电压断线、电流互感器短接、极性接反、电压电流错相序等）。</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表计和终端本体故障仿真：可以仿真电能表和终端的自身故障（花屏、死机、测量值错误、通讯异常等）。</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采集回路故障仿真：采集终端与电能表之间通讯线R</w:t>
      </w:r>
      <w:r>
        <w:rPr>
          <w:rFonts w:ascii="宋体" w:hAnsi="宋体" w:cs="Times New Roman"/>
          <w:color w:val="000000"/>
          <w:sz w:val="24"/>
          <w:szCs w:val="24"/>
        </w:rPr>
        <w:t>S485A</w:t>
      </w:r>
      <w:r>
        <w:rPr>
          <w:rFonts w:hint="eastAsia" w:ascii="宋体" w:hAnsi="宋体" w:cs="Times New Roman"/>
          <w:color w:val="000000"/>
          <w:sz w:val="24"/>
          <w:szCs w:val="24"/>
        </w:rPr>
        <w:t>断、R</w:t>
      </w:r>
      <w:r>
        <w:rPr>
          <w:rFonts w:ascii="宋体" w:hAnsi="宋体" w:cs="Times New Roman"/>
          <w:color w:val="000000"/>
          <w:sz w:val="24"/>
          <w:szCs w:val="24"/>
        </w:rPr>
        <w:t>S485B</w:t>
      </w:r>
      <w:r>
        <w:rPr>
          <w:rFonts w:hint="eastAsia" w:ascii="宋体" w:hAnsi="宋体" w:cs="Times New Roman"/>
          <w:color w:val="000000"/>
          <w:sz w:val="24"/>
          <w:szCs w:val="24"/>
        </w:rPr>
        <w:t>断、A</w:t>
      </w:r>
      <w:r>
        <w:rPr>
          <w:rFonts w:ascii="宋体" w:hAnsi="宋体" w:cs="Times New Roman"/>
          <w:color w:val="000000"/>
          <w:sz w:val="24"/>
          <w:szCs w:val="24"/>
        </w:rPr>
        <w:t>B</w:t>
      </w:r>
      <w:r>
        <w:rPr>
          <w:rFonts w:hint="eastAsia" w:ascii="宋体" w:hAnsi="宋体" w:cs="Times New Roman"/>
          <w:color w:val="000000"/>
          <w:sz w:val="24"/>
          <w:szCs w:val="24"/>
        </w:rPr>
        <w:t>错接。</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窃电手段的仿真：可以仿真电压回路窃电（欠压、失压、回路串电阻、二极管等）、电流回路窃电（分流、失流、回路串电阻、二极管等）、错相序窃电、表内遥控窃电和接线盒遥控窃电。</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该仿真操作可进行的培训有：电能表的基本操作、电能表的计量原理、采集终端的基本操作、三相四线计量方式的装表接电、三相四线计量方式的用电检查等。</w:t>
      </w:r>
    </w:p>
    <w:p>
      <w:pPr>
        <w:pStyle w:val="35"/>
        <w:numPr>
          <w:ilvl w:val="0"/>
          <w:numId w:val="12"/>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互感器二次回路开路仿真</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系统仿真电流互感器二次开路时仪表指示异常及继电保护数据异常。</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rPr>
        <w:t>该仿真操作可进行的培训有：电流互感器二次回路的认识及电流互感器二次回路的危害的认识，互感器二次回路的故障检查。电流互感器的位置及作用、测量用和保护用电流互感器的准确级和工作状态、TA结构及原理、三相TA接线方式。</w:t>
      </w:r>
    </w:p>
    <w:p>
      <w:pPr>
        <w:pStyle w:val="35"/>
        <w:numPr>
          <w:ilvl w:val="0"/>
          <w:numId w:val="0"/>
        </w:numPr>
        <w:spacing w:line="360" w:lineRule="auto"/>
        <w:rPr>
          <w:rFonts w:hint="eastAsia" w:ascii="宋体" w:hAnsi="宋体" w:cs="Times New Roman"/>
          <w:color w:val="000000"/>
          <w:sz w:val="24"/>
          <w:szCs w:val="24"/>
        </w:rPr>
      </w:pPr>
      <w:r>
        <w:rPr>
          <w:rFonts w:hint="eastAsia" w:ascii="宋体" w:hAnsi="宋体" w:cs="Times New Roman"/>
          <w:color w:val="000000"/>
          <w:sz w:val="24"/>
          <w:szCs w:val="24"/>
          <w:lang w:val="en-US" w:eastAsia="zh-CN"/>
        </w:rPr>
        <w:t>5.3.6.2 AR系统</w:t>
      </w:r>
    </w:p>
    <w:p>
      <w:pPr>
        <w:pStyle w:val="35"/>
        <w:numPr>
          <w:ilvl w:val="0"/>
          <w:numId w:val="13"/>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rPr>
        <w:t>虚实融</w:t>
      </w:r>
      <w:r>
        <w:rPr>
          <w:rFonts w:hint="eastAsia" w:ascii="宋体" w:hAnsi="宋体" w:cs="Times New Roman"/>
          <w:color w:val="000000"/>
          <w:sz w:val="24"/>
          <w:szCs w:val="24"/>
          <w:lang w:val="en-US" w:eastAsia="zh-CN"/>
        </w:rPr>
        <w:t>合</w:t>
      </w:r>
    </w:p>
    <w:p>
      <w:pPr>
        <w:spacing w:line="360" w:lineRule="auto"/>
        <w:ind w:firstLine="480" w:firstLineChars="200"/>
        <w:rPr>
          <w:rFonts w:hint="eastAsia" w:ascii="宋体" w:hAnsi="宋体" w:eastAsia="宋体" w:cs="Times New Roman"/>
          <w:color w:val="000000"/>
          <w:sz w:val="24"/>
          <w:szCs w:val="24"/>
          <w:lang w:eastAsia="zh-CN"/>
        </w:rPr>
      </w:pPr>
      <w:r>
        <w:rPr>
          <w:rFonts w:hint="default" w:ascii="宋体" w:hAnsi="宋体" w:cs="Times New Roman"/>
          <w:color w:val="000000"/>
          <w:sz w:val="24"/>
          <w:szCs w:val="24"/>
        </w:rPr>
        <w:t>通过AR眼镜，在真实计量柜体上叠加三维引导信息</w:t>
      </w:r>
      <w:r>
        <w:rPr>
          <w:rFonts w:hint="eastAsia" w:ascii="宋体" w:hAnsi="宋体" w:cs="Times New Roman"/>
          <w:color w:val="000000"/>
          <w:sz w:val="24"/>
          <w:szCs w:val="24"/>
          <w:lang w:eastAsia="zh-CN"/>
        </w:rPr>
        <w:t>。</w:t>
      </w:r>
    </w:p>
    <w:p>
      <w:pPr>
        <w:pStyle w:val="35"/>
        <w:numPr>
          <w:ilvl w:val="0"/>
          <w:numId w:val="13"/>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lang w:val="en-US" w:eastAsia="zh-CN"/>
        </w:rPr>
        <w:t>引导实训</w:t>
      </w:r>
    </w:p>
    <w:p>
      <w:pPr>
        <w:pStyle w:val="35"/>
        <w:numPr>
          <w:ilvl w:val="0"/>
          <w:numId w:val="0"/>
        </w:numPr>
        <w:spacing w:line="360" w:lineRule="auto"/>
        <w:ind w:left="480" w:leftChars="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系统内置分步骤引导功能，引导项目包括：</w:t>
      </w:r>
    </w:p>
    <w:p>
      <w:pPr>
        <w:pStyle w:val="35"/>
        <w:numPr>
          <w:ilvl w:val="0"/>
          <w:numId w:val="0"/>
        </w:numPr>
        <w:spacing w:line="360" w:lineRule="auto"/>
        <w:ind w:left="420" w:leftChars="200" w:firstLine="420" w:firstLineChars="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装表接电分步指引；</w:t>
      </w:r>
    </w:p>
    <w:p>
      <w:pPr>
        <w:pStyle w:val="35"/>
        <w:numPr>
          <w:ilvl w:val="0"/>
          <w:numId w:val="0"/>
        </w:numPr>
        <w:spacing w:line="360" w:lineRule="auto"/>
        <w:ind w:left="420" w:leftChars="200" w:firstLine="420" w:firstLineChars="0"/>
        <w:rPr>
          <w:rFonts w:hint="default"/>
          <w:lang w:val="en-US" w:eastAsia="zh-CN"/>
        </w:rPr>
      </w:pP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错误接线分析分步骤指引。</w:t>
      </w:r>
    </w:p>
    <w:p>
      <w:pPr>
        <w:pStyle w:val="35"/>
        <w:numPr>
          <w:ilvl w:val="0"/>
          <w:numId w:val="13"/>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lang w:val="en-US" w:eastAsia="zh-CN"/>
        </w:rPr>
        <w:t>示教动画及原理演示</w:t>
      </w:r>
    </w:p>
    <w:p>
      <w:pPr>
        <w:spacing w:line="360" w:lineRule="auto"/>
        <w:ind w:firstLine="480" w:firstLineChars="200"/>
        <w:rPr>
          <w:rFonts w:hint="eastAsia" w:ascii="宋体" w:hAnsi="宋体" w:cs="Times New Roman"/>
          <w:color w:val="000000"/>
          <w:sz w:val="24"/>
          <w:szCs w:val="24"/>
          <w:lang w:val="en-US" w:eastAsia="zh-CN"/>
        </w:rPr>
      </w:pPr>
      <w:r>
        <w:rPr>
          <w:rFonts w:hint="default" w:ascii="宋体" w:hAnsi="宋体" w:cs="Times New Roman"/>
          <w:color w:val="000000"/>
          <w:sz w:val="24"/>
          <w:szCs w:val="24"/>
          <w:lang w:val="en-US" w:eastAsia="zh-CN"/>
        </w:rPr>
        <w:t>内置三维动画资源，支持以下内容的动态演示：三相四线电能计量原理</w:t>
      </w:r>
      <w:r>
        <w:rPr>
          <w:rFonts w:hint="eastAsia" w:ascii="宋体" w:hAnsi="宋体" w:cs="Times New Roman"/>
          <w:color w:val="000000"/>
          <w:sz w:val="24"/>
          <w:szCs w:val="24"/>
          <w:lang w:val="en-US" w:eastAsia="zh-CN"/>
        </w:rPr>
        <w:t>；三相四线电能表安装。</w:t>
      </w:r>
    </w:p>
    <w:p>
      <w:pPr>
        <w:pStyle w:val="35"/>
        <w:numPr>
          <w:ilvl w:val="0"/>
          <w:numId w:val="13"/>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lang w:val="en-US" w:eastAsia="zh-CN"/>
        </w:rPr>
        <w:t>动作识别及交互反馈</w:t>
      </w:r>
    </w:p>
    <w:p>
      <w:pPr>
        <w:spacing w:line="360" w:lineRule="auto"/>
        <w:ind w:firstLine="480" w:firstLineChars="200"/>
        <w:rPr>
          <w:rFonts w:hint="default" w:ascii="宋体" w:hAnsi="宋体" w:cs="Times New Roman"/>
          <w:color w:val="000000"/>
          <w:sz w:val="24"/>
          <w:szCs w:val="24"/>
          <w:lang w:val="en-US" w:eastAsia="zh-CN"/>
        </w:rPr>
      </w:pPr>
      <w:r>
        <w:rPr>
          <w:rFonts w:hint="default" w:ascii="宋体" w:hAnsi="宋体" w:cs="Times New Roman"/>
          <w:color w:val="000000"/>
          <w:sz w:val="24"/>
          <w:szCs w:val="24"/>
          <w:lang w:val="en-US" w:eastAsia="zh-CN"/>
        </w:rPr>
        <w:t>实时识别学员操作行为，并与AR系统进行联动，提供：操作正确性判断与提示</w:t>
      </w:r>
      <w:r>
        <w:rPr>
          <w:rFonts w:hint="eastAsia" w:ascii="宋体" w:hAnsi="宋体" w:cs="Times New Roman"/>
          <w:color w:val="000000"/>
          <w:sz w:val="24"/>
          <w:szCs w:val="24"/>
          <w:lang w:val="en-US" w:eastAsia="zh-CN"/>
        </w:rPr>
        <w:t>；</w:t>
      </w:r>
      <w:r>
        <w:rPr>
          <w:rFonts w:hint="default" w:ascii="宋体" w:hAnsi="宋体" w:cs="Times New Roman"/>
          <w:color w:val="000000"/>
          <w:sz w:val="24"/>
          <w:szCs w:val="24"/>
          <w:lang w:val="en-US" w:eastAsia="zh-CN"/>
        </w:rPr>
        <w:t>错误操作的提示与语音纠正</w:t>
      </w:r>
      <w:r>
        <w:rPr>
          <w:rFonts w:hint="eastAsia" w:ascii="宋体" w:hAnsi="宋体" w:cs="Times New Roman"/>
          <w:color w:val="000000"/>
          <w:sz w:val="24"/>
          <w:szCs w:val="24"/>
          <w:lang w:val="en-US" w:eastAsia="zh-CN"/>
        </w:rPr>
        <w:t>；</w:t>
      </w:r>
      <w:r>
        <w:rPr>
          <w:rFonts w:hint="default" w:ascii="宋体" w:hAnsi="宋体" w:cs="Times New Roman"/>
          <w:color w:val="000000"/>
          <w:sz w:val="24"/>
          <w:szCs w:val="24"/>
          <w:lang w:val="en-US" w:eastAsia="zh-CN"/>
        </w:rPr>
        <w:t>实训任务完成度自动评估</w:t>
      </w:r>
      <w:r>
        <w:rPr>
          <w:rFonts w:hint="eastAsia" w:ascii="宋体" w:hAnsi="宋体" w:cs="Times New Roman"/>
          <w:color w:val="000000"/>
          <w:sz w:val="24"/>
          <w:szCs w:val="24"/>
          <w:lang w:val="en-US" w:eastAsia="zh-CN"/>
        </w:rPr>
        <w:t>。</w:t>
      </w:r>
    </w:p>
    <w:p>
      <w:pPr>
        <w:pStyle w:val="35"/>
        <w:numPr>
          <w:ilvl w:val="0"/>
          <w:numId w:val="13"/>
        </w:numPr>
        <w:spacing w:line="360" w:lineRule="auto"/>
        <w:ind w:firstLineChars="0"/>
        <w:rPr>
          <w:rFonts w:hint="eastAsia" w:ascii="宋体" w:hAnsi="宋体" w:cs="Times New Roman"/>
          <w:color w:val="000000"/>
          <w:sz w:val="24"/>
          <w:szCs w:val="24"/>
        </w:rPr>
      </w:pPr>
      <w:r>
        <w:rPr>
          <w:rFonts w:hint="eastAsia" w:ascii="宋体" w:hAnsi="宋体" w:cs="Times New Roman"/>
          <w:color w:val="000000"/>
          <w:sz w:val="24"/>
          <w:szCs w:val="24"/>
          <w:lang w:val="en-US" w:eastAsia="zh-CN"/>
        </w:rPr>
        <w:t>过程记录回放</w:t>
      </w:r>
    </w:p>
    <w:p>
      <w:pPr>
        <w:pStyle w:val="13"/>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学员操作过程进行记录，并可以进行回放。</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5.3.7异常用电数据综合分析及现场检查仿真培训系统</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高供高计仿真培训单元、高供低计仿真培训单元、台架公变仿真培训单元（包含小动力用户和居民用户）三种不同的计量方式，可完成失压、失流、更换互感器变比等典型窃电点的设置；</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复现各种计量方式下的各种窃电方式与现行的高科技窃电手段。将预判的各种窃电手段进行仿真模拟还原，通过实现对主流、典型、高科技的窃电方法的模拟、判断和原理分析对各种窃电手法进行深度剖析，以实际模拟来分析窃电后电能表及电能计量回路数据变化趋势，并一一进行验证，为反/防窃电措施的研究分析提供科学依据与平台；</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真实复现以下窃电方式：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电能表内部窃电方式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电能表遥控分流窃电方式；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电能表遥控分压窃电方式；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电能表遥控失压窃电方式；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通过计算机软件编程修改电量。</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表尾窃电方式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表尾电压回路分压窃电方式；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表尾电压回路错相窃电方式；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表尾电流回路分流窃电方式；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表尾电流回路错相窃电方式；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表尾电流回路反接窃电方式。</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联合接线盒窃电方式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联合接线盒电压回路开路窃电方式；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联合接线盒电压回路分压窃电方式；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联合接线盒电流回路开路窃电方式；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联合接线盒电流回路短接窃电方式。</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二次计量回路窃电方式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二次电压回路分压窃电方式；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二次电压回路错相窃电方式；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二次电流回路分流窃电方式；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二次电流回路错相窃电方式；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二次电流回路反接窃电方式；</w:t>
      </w:r>
    </w:p>
    <w:p>
      <w:pPr>
        <w:numPr>
          <w:ilvl w:val="0"/>
          <w:numId w:val="14"/>
        </w:numPr>
        <w:ind w:left="425" w:leftChars="0" w:hanging="425" w:firstLineChars="0"/>
        <w:rPr>
          <w:rFonts w:hint="eastAsia" w:ascii="宋体" w:hAnsi="宋体" w:eastAsia="宋体" w:cs="宋体"/>
          <w:sz w:val="24"/>
          <w:szCs w:val="24"/>
          <w:lang w:val="en-US" w:eastAsia="zh-CN"/>
        </w:rPr>
      </w:pPr>
      <w:r>
        <w:rPr>
          <w:rFonts w:hint="eastAsia" w:ascii="宋体" w:hAnsi="宋体" w:cs="Times New Roman"/>
          <w:color w:val="000000"/>
          <w:sz w:val="24"/>
          <w:szCs w:val="24"/>
        </w:rPr>
        <w:t>★</w:t>
      </w:r>
      <w:r>
        <w:rPr>
          <w:rFonts w:hint="eastAsia" w:ascii="宋体" w:hAnsi="宋体" w:eastAsia="宋体" w:cs="宋体"/>
          <w:sz w:val="24"/>
          <w:szCs w:val="24"/>
          <w:lang w:val="en-US" w:eastAsia="zh-CN"/>
        </w:rPr>
        <w:t>单相居民窃电方式</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借火线窃电；</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借零线窃电；</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短接电流线圈窃电；</w:t>
      </w:r>
    </w:p>
    <w:p>
      <w:pPr>
        <w:numPr>
          <w:ilvl w:val="0"/>
          <w:numId w:val="0"/>
        </w:numPr>
        <w:ind w:leftChars="0"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表内遥控窃电；</w:t>
      </w:r>
    </w:p>
    <w:p>
      <w:pPr>
        <w:pStyle w:val="1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修改电量窃电。</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5.3.8 10kV配电室用电检查服务仿真培训装置</w:t>
      </w:r>
    </w:p>
    <w:p>
      <w:pPr>
        <w:pStyle w:val="35"/>
        <w:numPr>
          <w:ilvl w:val="0"/>
          <w:numId w:val="15"/>
        </w:numPr>
        <w:ind w:firstLineChars="0"/>
        <w:rPr>
          <w:rFonts w:ascii="宋体" w:hAnsi="宋体"/>
          <w:sz w:val="24"/>
          <w:szCs w:val="24"/>
        </w:rPr>
      </w:pPr>
      <w:bookmarkStart w:id="31" w:name="OLE_LINK6"/>
      <w:r>
        <w:rPr>
          <w:rFonts w:hint="eastAsia" w:ascii="宋体" w:hAnsi="宋体"/>
          <w:sz w:val="24"/>
          <w:szCs w:val="24"/>
        </w:rPr>
        <w:t>系统高低压均采用双电源供电方式，主要由成套高压柜、变压器、成套低压柜、仿真系统、直流屏、控制管理系统、工器具柜和消防器材等组成；</w:t>
      </w:r>
    </w:p>
    <w:p>
      <w:pPr>
        <w:pStyle w:val="35"/>
        <w:numPr>
          <w:ilvl w:val="0"/>
          <w:numId w:val="15"/>
        </w:numPr>
        <w:ind w:firstLineChars="0"/>
        <w:rPr>
          <w:rFonts w:ascii="宋体" w:hAnsi="宋体"/>
          <w:sz w:val="24"/>
          <w:szCs w:val="24"/>
        </w:rPr>
      </w:pPr>
      <w:r>
        <w:rPr>
          <w:rFonts w:hint="eastAsia" w:ascii="宋体" w:hAnsi="宋体"/>
          <w:sz w:val="24"/>
          <w:szCs w:val="24"/>
        </w:rPr>
        <w:t>成套高压柜包含</w:t>
      </w:r>
      <w:r>
        <w:rPr>
          <w:rFonts w:ascii="宋体" w:hAnsi="宋体"/>
          <w:sz w:val="24"/>
          <w:szCs w:val="24"/>
        </w:rPr>
        <w:t>2</w:t>
      </w:r>
      <w:r>
        <w:rPr>
          <w:rFonts w:hint="eastAsia" w:ascii="宋体" w:hAnsi="宋体"/>
          <w:sz w:val="24"/>
          <w:szCs w:val="24"/>
        </w:rPr>
        <w:t>面高压进线柜、</w:t>
      </w:r>
      <w:r>
        <w:rPr>
          <w:rFonts w:ascii="宋体" w:hAnsi="宋体"/>
          <w:sz w:val="24"/>
          <w:szCs w:val="24"/>
        </w:rPr>
        <w:t>2</w:t>
      </w:r>
      <w:r>
        <w:rPr>
          <w:rFonts w:hint="eastAsia" w:ascii="宋体" w:hAnsi="宋体"/>
          <w:sz w:val="24"/>
          <w:szCs w:val="24"/>
        </w:rPr>
        <w:t>面高压计量柜、</w:t>
      </w:r>
      <w:r>
        <w:rPr>
          <w:rFonts w:ascii="宋体" w:hAnsi="宋体"/>
          <w:sz w:val="24"/>
          <w:szCs w:val="24"/>
        </w:rPr>
        <w:t>2</w:t>
      </w:r>
      <w:r>
        <w:rPr>
          <w:rFonts w:hint="eastAsia" w:ascii="宋体" w:hAnsi="宋体"/>
          <w:sz w:val="24"/>
          <w:szCs w:val="24"/>
        </w:rPr>
        <w:t>面</w:t>
      </w:r>
      <w:r>
        <w:rPr>
          <w:rFonts w:ascii="宋体" w:hAnsi="宋体"/>
          <w:sz w:val="24"/>
          <w:szCs w:val="24"/>
        </w:rPr>
        <w:t>PT</w:t>
      </w:r>
      <w:r>
        <w:rPr>
          <w:rFonts w:hint="eastAsia" w:ascii="宋体" w:hAnsi="宋体"/>
          <w:sz w:val="24"/>
          <w:szCs w:val="24"/>
        </w:rPr>
        <w:t>柜、</w:t>
      </w:r>
      <w:r>
        <w:rPr>
          <w:rFonts w:ascii="宋体" w:hAnsi="宋体"/>
          <w:sz w:val="24"/>
          <w:szCs w:val="24"/>
        </w:rPr>
        <w:t>2</w:t>
      </w:r>
      <w:r>
        <w:rPr>
          <w:rFonts w:hint="eastAsia" w:ascii="宋体" w:hAnsi="宋体"/>
          <w:sz w:val="24"/>
          <w:szCs w:val="24"/>
        </w:rPr>
        <w:t>面出线柜、</w:t>
      </w:r>
      <w:r>
        <w:rPr>
          <w:rFonts w:ascii="宋体" w:hAnsi="宋体"/>
          <w:sz w:val="24"/>
          <w:szCs w:val="24"/>
        </w:rPr>
        <w:t>1</w:t>
      </w:r>
      <w:r>
        <w:rPr>
          <w:rFonts w:hint="eastAsia" w:ascii="宋体" w:hAnsi="宋体"/>
          <w:sz w:val="24"/>
          <w:szCs w:val="24"/>
        </w:rPr>
        <w:t>面隔离柜和</w:t>
      </w:r>
      <w:r>
        <w:rPr>
          <w:rFonts w:ascii="宋体" w:hAnsi="宋体"/>
          <w:sz w:val="24"/>
          <w:szCs w:val="24"/>
        </w:rPr>
        <w:t>1</w:t>
      </w:r>
      <w:r>
        <w:rPr>
          <w:rFonts w:hint="eastAsia" w:ascii="宋体" w:hAnsi="宋体"/>
          <w:sz w:val="24"/>
          <w:szCs w:val="24"/>
        </w:rPr>
        <w:t>面联络柜组成。柜型采用</w:t>
      </w:r>
      <w:r>
        <w:rPr>
          <w:rFonts w:ascii="宋体" w:hAnsi="宋体"/>
          <w:sz w:val="24"/>
          <w:szCs w:val="24"/>
        </w:rPr>
        <w:t>KYN28A-12</w:t>
      </w:r>
      <w:r>
        <w:rPr>
          <w:rFonts w:hint="eastAsia" w:ascii="宋体" w:hAnsi="宋体"/>
          <w:sz w:val="24"/>
          <w:szCs w:val="24"/>
        </w:rPr>
        <w:t>标准柜型；</w:t>
      </w:r>
    </w:p>
    <w:p>
      <w:pPr>
        <w:pStyle w:val="35"/>
        <w:numPr>
          <w:ilvl w:val="0"/>
          <w:numId w:val="15"/>
        </w:numPr>
        <w:ind w:firstLineChars="0"/>
        <w:rPr>
          <w:rFonts w:ascii="宋体" w:hAnsi="宋体"/>
          <w:sz w:val="24"/>
          <w:szCs w:val="24"/>
        </w:rPr>
      </w:pPr>
      <w:r>
        <w:rPr>
          <w:rFonts w:hint="eastAsia" w:ascii="宋体" w:hAnsi="宋体"/>
          <w:sz w:val="24"/>
          <w:szCs w:val="24"/>
        </w:rPr>
        <w:t>成套低压柜包含</w:t>
      </w:r>
      <w:r>
        <w:rPr>
          <w:rFonts w:ascii="宋体" w:hAnsi="宋体"/>
          <w:sz w:val="24"/>
          <w:szCs w:val="24"/>
        </w:rPr>
        <w:t>2</w:t>
      </w:r>
      <w:r>
        <w:rPr>
          <w:rFonts w:hint="eastAsia" w:ascii="宋体" w:hAnsi="宋体"/>
          <w:sz w:val="24"/>
          <w:szCs w:val="24"/>
        </w:rPr>
        <w:t>面低压进线柜、</w:t>
      </w:r>
      <w:r>
        <w:rPr>
          <w:rFonts w:ascii="宋体" w:hAnsi="宋体"/>
          <w:sz w:val="24"/>
          <w:szCs w:val="24"/>
        </w:rPr>
        <w:t>2</w:t>
      </w:r>
      <w:r>
        <w:rPr>
          <w:rFonts w:hint="eastAsia" w:ascii="宋体" w:hAnsi="宋体"/>
          <w:sz w:val="24"/>
          <w:szCs w:val="24"/>
        </w:rPr>
        <w:t>面电容器柜、</w:t>
      </w:r>
      <w:r>
        <w:rPr>
          <w:rFonts w:ascii="宋体" w:hAnsi="宋体"/>
          <w:sz w:val="24"/>
          <w:szCs w:val="24"/>
        </w:rPr>
        <w:t xml:space="preserve"> 1</w:t>
      </w:r>
      <w:r>
        <w:rPr>
          <w:rFonts w:hint="eastAsia" w:ascii="宋体" w:hAnsi="宋体"/>
          <w:sz w:val="24"/>
          <w:szCs w:val="24"/>
        </w:rPr>
        <w:t>面光伏并网柜、</w:t>
      </w:r>
      <w:r>
        <w:rPr>
          <w:rFonts w:ascii="宋体" w:hAnsi="宋体"/>
          <w:sz w:val="24"/>
          <w:szCs w:val="24"/>
        </w:rPr>
        <w:t>1</w:t>
      </w:r>
      <w:r>
        <w:rPr>
          <w:rFonts w:hint="eastAsia" w:ascii="宋体" w:hAnsi="宋体"/>
          <w:sz w:val="24"/>
          <w:szCs w:val="24"/>
        </w:rPr>
        <w:t>面外接电源柜、</w:t>
      </w:r>
      <w:r>
        <w:rPr>
          <w:rFonts w:ascii="宋体" w:hAnsi="宋体"/>
          <w:sz w:val="24"/>
          <w:szCs w:val="24"/>
        </w:rPr>
        <w:t xml:space="preserve"> 2</w:t>
      </w:r>
      <w:r>
        <w:rPr>
          <w:rFonts w:hint="eastAsia" w:ascii="宋体" w:hAnsi="宋体"/>
          <w:sz w:val="24"/>
          <w:szCs w:val="24"/>
        </w:rPr>
        <w:t>面出线柜和</w:t>
      </w:r>
      <w:r>
        <w:rPr>
          <w:rFonts w:ascii="宋体" w:hAnsi="宋体"/>
          <w:sz w:val="24"/>
          <w:szCs w:val="24"/>
        </w:rPr>
        <w:t>1</w:t>
      </w:r>
      <w:r>
        <w:rPr>
          <w:rFonts w:hint="eastAsia" w:ascii="宋体" w:hAnsi="宋体"/>
          <w:sz w:val="24"/>
          <w:szCs w:val="24"/>
        </w:rPr>
        <w:t>面联络柜组成。低压柜采用</w:t>
      </w:r>
      <w:r>
        <w:rPr>
          <w:rFonts w:ascii="宋体" w:hAnsi="宋体"/>
          <w:sz w:val="24"/>
          <w:szCs w:val="24"/>
        </w:rPr>
        <w:t>GCK</w:t>
      </w:r>
      <w:r>
        <w:rPr>
          <w:rFonts w:hint="eastAsia" w:ascii="宋体" w:hAnsi="宋体"/>
          <w:sz w:val="24"/>
          <w:szCs w:val="24"/>
        </w:rPr>
        <w:t>标准柜型；</w:t>
      </w:r>
    </w:p>
    <w:p>
      <w:pPr>
        <w:pStyle w:val="35"/>
        <w:numPr>
          <w:ilvl w:val="0"/>
          <w:numId w:val="15"/>
        </w:numPr>
        <w:ind w:firstLineChars="0"/>
        <w:rPr>
          <w:rFonts w:ascii="宋体" w:hAnsi="宋体"/>
          <w:sz w:val="24"/>
          <w:szCs w:val="24"/>
        </w:rPr>
      </w:pPr>
      <w:r>
        <w:rPr>
          <w:rFonts w:hint="eastAsia" w:ascii="宋体" w:hAnsi="宋体"/>
          <w:sz w:val="24"/>
          <w:szCs w:val="24"/>
        </w:rPr>
        <w:t>变压器采用</w:t>
      </w:r>
      <w:r>
        <w:rPr>
          <w:rFonts w:ascii="宋体" w:hAnsi="宋体"/>
          <w:sz w:val="24"/>
          <w:szCs w:val="24"/>
        </w:rPr>
        <w:t>1</w:t>
      </w:r>
      <w:r>
        <w:rPr>
          <w:rFonts w:hint="eastAsia" w:ascii="宋体" w:hAnsi="宋体"/>
          <w:sz w:val="24"/>
          <w:szCs w:val="24"/>
        </w:rPr>
        <w:t>台仿真油浸式变压器和</w:t>
      </w:r>
      <w:r>
        <w:rPr>
          <w:rFonts w:ascii="宋体" w:hAnsi="宋体"/>
          <w:sz w:val="24"/>
          <w:szCs w:val="24"/>
        </w:rPr>
        <w:t>1</w:t>
      </w:r>
      <w:r>
        <w:rPr>
          <w:rFonts w:hint="eastAsia" w:ascii="宋体" w:hAnsi="宋体"/>
          <w:sz w:val="24"/>
          <w:szCs w:val="24"/>
        </w:rPr>
        <w:t>台仿真干式变压器。油浸式变压器设置独立区域；</w:t>
      </w:r>
    </w:p>
    <w:bookmarkEnd w:id="31"/>
    <w:p>
      <w:pPr>
        <w:pStyle w:val="35"/>
        <w:numPr>
          <w:ilvl w:val="0"/>
          <w:numId w:val="15"/>
        </w:numPr>
        <w:ind w:firstLineChars="0"/>
        <w:rPr>
          <w:rFonts w:ascii="宋体" w:hAnsi="宋体"/>
          <w:sz w:val="24"/>
          <w:szCs w:val="24"/>
        </w:rPr>
      </w:pPr>
      <w:bookmarkStart w:id="32" w:name="OLE_LINK7"/>
      <w:r>
        <w:rPr>
          <w:rFonts w:hint="eastAsia" w:ascii="宋体" w:hAnsi="宋体" w:cs="Times New Roman"/>
          <w:color w:val="000000"/>
          <w:sz w:val="24"/>
          <w:szCs w:val="24"/>
        </w:rPr>
        <w:t>★</w:t>
      </w:r>
      <w:r>
        <w:rPr>
          <w:rFonts w:hint="eastAsia" w:ascii="宋体" w:hAnsi="宋体"/>
          <w:sz w:val="24"/>
          <w:szCs w:val="24"/>
        </w:rPr>
        <w:t>系统配置仿真型微机保护装置、仿真型多功能仪表、仿真型无功补偿控制器和仿真型变压器温控仪等，可实现电压、电流、功率因数、温湿度的自由设定；</w:t>
      </w:r>
    </w:p>
    <w:p>
      <w:pPr>
        <w:pStyle w:val="35"/>
        <w:numPr>
          <w:ilvl w:val="0"/>
          <w:numId w:val="15"/>
        </w:numPr>
        <w:ind w:firstLineChars="0"/>
        <w:rPr>
          <w:rFonts w:ascii="宋体" w:hAnsi="宋体"/>
          <w:sz w:val="24"/>
          <w:szCs w:val="24"/>
        </w:rPr>
      </w:pPr>
      <w:r>
        <w:rPr>
          <w:rFonts w:hint="eastAsia" w:ascii="宋体" w:hAnsi="宋体" w:cs="Times New Roman"/>
          <w:color w:val="000000"/>
          <w:sz w:val="24"/>
          <w:szCs w:val="24"/>
        </w:rPr>
        <w:t>★</w:t>
      </w:r>
      <w:r>
        <w:rPr>
          <w:rFonts w:hint="eastAsia" w:ascii="宋体" w:hAnsi="宋体"/>
          <w:sz w:val="24"/>
          <w:szCs w:val="24"/>
        </w:rPr>
        <w:t>系统配置仿真型微机保护装置、仿真型多功能仪表、仿真型无功补偿控制器和仿真型变压器温控仪等，可实现自身故障的模拟（如：死机、花屏、按键失灵等）；</w:t>
      </w:r>
    </w:p>
    <w:p>
      <w:pPr>
        <w:pStyle w:val="35"/>
        <w:numPr>
          <w:ilvl w:val="0"/>
          <w:numId w:val="15"/>
        </w:numPr>
        <w:ind w:firstLineChars="0"/>
        <w:rPr>
          <w:rFonts w:ascii="宋体" w:hAnsi="宋体"/>
          <w:sz w:val="24"/>
          <w:szCs w:val="24"/>
        </w:rPr>
      </w:pPr>
      <w:r>
        <w:rPr>
          <w:rFonts w:hint="eastAsia" w:ascii="宋体" w:hAnsi="宋体"/>
          <w:sz w:val="24"/>
          <w:szCs w:val="24"/>
        </w:rPr>
        <w:t>系统一次和二次部分无需加载真实电压电流，在高度保障学员安全的基础上，实现系统的正常运行状态仿真，同时也可以模拟系统中的各种故障事件；</w:t>
      </w:r>
    </w:p>
    <w:p>
      <w:pPr>
        <w:pStyle w:val="35"/>
        <w:numPr>
          <w:ilvl w:val="0"/>
          <w:numId w:val="15"/>
        </w:numPr>
        <w:ind w:firstLineChars="0"/>
        <w:rPr>
          <w:rFonts w:ascii="宋体" w:hAnsi="宋体"/>
          <w:sz w:val="24"/>
          <w:szCs w:val="24"/>
        </w:rPr>
      </w:pPr>
      <w:bookmarkStart w:id="33" w:name="OLE_LINK4"/>
      <w:r>
        <w:rPr>
          <w:rFonts w:hint="eastAsia" w:ascii="宋体" w:hAnsi="宋体"/>
          <w:sz w:val="24"/>
          <w:szCs w:val="24"/>
        </w:rPr>
        <w:t>系统可</w:t>
      </w:r>
      <w:bookmarkEnd w:id="33"/>
      <w:r>
        <w:rPr>
          <w:rFonts w:hint="eastAsia" w:ascii="宋体" w:hAnsi="宋体"/>
          <w:sz w:val="24"/>
          <w:szCs w:val="24"/>
        </w:rPr>
        <w:t>仿真多种类型的故障，主要包含：断路器故障（断路器拒分拒合）、指示灯故障（合分闸、工作</w:t>
      </w:r>
      <w:r>
        <w:rPr>
          <w:rFonts w:ascii="宋体" w:hAnsi="宋体"/>
          <w:sz w:val="24"/>
          <w:szCs w:val="24"/>
        </w:rPr>
        <w:t>/</w:t>
      </w:r>
      <w:r>
        <w:rPr>
          <w:rFonts w:hint="eastAsia" w:ascii="宋体" w:hAnsi="宋体"/>
          <w:sz w:val="24"/>
          <w:szCs w:val="24"/>
        </w:rPr>
        <w:t>试验位）、无功补偿故障（电容器不投切、指示灯不亮）、仪表故障（电压电流无指示）等；</w:t>
      </w:r>
    </w:p>
    <w:p>
      <w:pPr>
        <w:pStyle w:val="35"/>
        <w:numPr>
          <w:ilvl w:val="0"/>
          <w:numId w:val="15"/>
        </w:numPr>
        <w:ind w:firstLineChars="0"/>
        <w:rPr>
          <w:rFonts w:ascii="宋体" w:hAnsi="宋体"/>
          <w:sz w:val="24"/>
          <w:szCs w:val="24"/>
        </w:rPr>
      </w:pPr>
      <w:r>
        <w:rPr>
          <w:rFonts w:hint="eastAsia" w:ascii="宋体" w:hAnsi="宋体"/>
          <w:sz w:val="24"/>
          <w:szCs w:val="24"/>
        </w:rPr>
        <w:t>系统可仿真各种突发事件，主要包含过流、速断、低电压、过负荷、单相接地、相间短路、轻重瓦斯、高温、超温等；</w:t>
      </w:r>
    </w:p>
    <w:p>
      <w:pPr>
        <w:pStyle w:val="35"/>
        <w:numPr>
          <w:ilvl w:val="0"/>
          <w:numId w:val="15"/>
        </w:numPr>
        <w:ind w:firstLineChars="0"/>
        <w:rPr>
          <w:rFonts w:ascii="宋体" w:hAnsi="宋体"/>
          <w:sz w:val="24"/>
          <w:szCs w:val="24"/>
        </w:rPr>
      </w:pPr>
      <w:r>
        <w:rPr>
          <w:rFonts w:hint="eastAsia" w:ascii="宋体" w:hAnsi="宋体"/>
          <w:sz w:val="24"/>
          <w:szCs w:val="24"/>
        </w:rPr>
        <w:t>计量装置故障：表计</w:t>
      </w:r>
      <w:r>
        <w:rPr>
          <w:rFonts w:ascii="宋体" w:hAnsi="宋体"/>
          <w:sz w:val="24"/>
          <w:szCs w:val="24"/>
        </w:rPr>
        <w:t>/</w:t>
      </w:r>
      <w:r>
        <w:rPr>
          <w:rFonts w:hint="eastAsia" w:ascii="宋体" w:hAnsi="宋体"/>
          <w:sz w:val="24"/>
          <w:szCs w:val="24"/>
        </w:rPr>
        <w:t>终端自身故障（死机、花屏、电量飞走等）、接线盒链片位置错误（电流短接、开路、电压开路）、计量回路接线故障（失压、失流、相序错）、电能质量分析（谐波、频率）等。</w:t>
      </w:r>
      <w:bookmarkEnd w:id="32"/>
    </w:p>
    <w:p>
      <w:pPr>
        <w:pStyle w:val="35"/>
        <w:numPr>
          <w:ilvl w:val="0"/>
          <w:numId w:val="15"/>
        </w:numPr>
        <w:ind w:firstLineChars="0"/>
        <w:rPr>
          <w:rFonts w:ascii="宋体" w:hAnsi="宋体"/>
          <w:sz w:val="24"/>
          <w:szCs w:val="24"/>
        </w:rPr>
      </w:pPr>
      <w:r>
        <w:rPr>
          <w:rFonts w:hint="eastAsia" w:ascii="宋体" w:hAnsi="宋体"/>
          <w:sz w:val="24"/>
          <w:szCs w:val="24"/>
        </w:rPr>
        <w:t>干式变压器柜，可真实观察到变压器的高温告警、超温跳闸事件，并可进行变压器正常运行、过负荷、故障等多种状态下的声音模拟；</w:t>
      </w:r>
    </w:p>
    <w:p>
      <w:pPr>
        <w:pStyle w:val="35"/>
        <w:numPr>
          <w:ilvl w:val="0"/>
          <w:numId w:val="15"/>
        </w:numPr>
        <w:ind w:firstLineChars="0"/>
        <w:rPr>
          <w:rFonts w:ascii="宋体" w:hAnsi="宋体"/>
          <w:sz w:val="24"/>
          <w:szCs w:val="24"/>
        </w:rPr>
      </w:pPr>
      <w:r>
        <w:rPr>
          <w:rFonts w:hint="eastAsia" w:ascii="宋体" w:hAnsi="宋体"/>
          <w:sz w:val="24"/>
          <w:szCs w:val="24"/>
        </w:rPr>
        <w:t>系统配置的模拟断路器，能够真实实现断路器的合分闸、储能功能，同时能够模拟断路器合分闸和储能电机的机械机构工作声音。</w:t>
      </w:r>
    </w:p>
    <w:p>
      <w:pPr>
        <w:pStyle w:val="35"/>
        <w:numPr>
          <w:ilvl w:val="0"/>
          <w:numId w:val="15"/>
        </w:numPr>
        <w:ind w:firstLineChars="0"/>
        <w:rPr>
          <w:rFonts w:ascii="宋体" w:hAnsi="宋体"/>
          <w:sz w:val="24"/>
          <w:szCs w:val="24"/>
        </w:rPr>
      </w:pPr>
      <w:r>
        <w:rPr>
          <w:rFonts w:hint="eastAsia" w:ascii="宋体" w:hAnsi="宋体"/>
          <w:sz w:val="24"/>
          <w:szCs w:val="24"/>
        </w:rPr>
        <w:t>系统配置的模拟断路器具有与真实</w:t>
      </w:r>
      <w:r>
        <w:rPr>
          <w:rFonts w:ascii="宋体" w:hAnsi="宋体"/>
          <w:sz w:val="24"/>
          <w:szCs w:val="24"/>
        </w:rPr>
        <w:t>10kV</w:t>
      </w:r>
      <w:r>
        <w:rPr>
          <w:rFonts w:hint="eastAsia" w:ascii="宋体" w:hAnsi="宋体"/>
          <w:sz w:val="24"/>
          <w:szCs w:val="24"/>
        </w:rPr>
        <w:t>真空断路器一致的功能原理和接口定义，当高压柜接入真实</w:t>
      </w:r>
      <w:r>
        <w:rPr>
          <w:rFonts w:ascii="宋体" w:hAnsi="宋体"/>
          <w:sz w:val="24"/>
          <w:szCs w:val="24"/>
        </w:rPr>
        <w:t>10kV</w:t>
      </w:r>
      <w:r>
        <w:rPr>
          <w:rFonts w:hint="eastAsia" w:ascii="宋体" w:hAnsi="宋体"/>
          <w:sz w:val="24"/>
          <w:szCs w:val="24"/>
        </w:rPr>
        <w:t>真空断路器时，亦可正常工作。</w:t>
      </w:r>
    </w:p>
    <w:p>
      <w:pPr>
        <w:pStyle w:val="35"/>
        <w:numPr>
          <w:ilvl w:val="0"/>
          <w:numId w:val="15"/>
        </w:numPr>
        <w:ind w:firstLineChars="0"/>
        <w:rPr>
          <w:rFonts w:hint="eastAsia" w:ascii="宋体" w:hAnsi="宋体"/>
          <w:sz w:val="24"/>
          <w:szCs w:val="24"/>
          <w:lang w:val="en-US" w:eastAsia="zh-CN"/>
        </w:rPr>
      </w:pPr>
      <w:bookmarkStart w:id="34" w:name="OLE_LINK3"/>
      <w:r>
        <w:rPr>
          <w:rFonts w:hint="eastAsia" w:ascii="宋体" w:hAnsi="宋体"/>
          <w:sz w:val="24"/>
          <w:szCs w:val="24"/>
        </w:rPr>
        <w:t>★系统可</w:t>
      </w:r>
      <w:bookmarkEnd w:id="34"/>
      <w:r>
        <w:rPr>
          <w:rFonts w:hint="eastAsia" w:ascii="宋体" w:hAnsi="宋体"/>
          <w:sz w:val="24"/>
          <w:szCs w:val="24"/>
        </w:rPr>
        <w:t>任意调节设定馈线回路负载特性，通过建立的潮流数学计算模型，系统各个高低压柜能够快速响应相应的电压、电流和相位值，达到真实还原设备实际运行现场。</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5.3.9 电缆绝缘测试仿真装置</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 xml:space="preserve">系统安装有漏电保护器（IΔn≤30mA，时间≤0.1S），当 有漏电及操作人员触电时，能够及时切断培训装置的电源，实现安全保护。 </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 xml:space="preserve">系统设置有两个抽屉，一个稍微浅一点的抽屉可以放置手 </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套等工具，一个较深一点的抽屉可以放置万用表、兆欧表等测试工具。</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 xml:space="preserve">电缆支架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底盘直径：550；高：700（单位：mm）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通过两个电缆支架和设备上固定电缆位置的配合，将整根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电力电缆抬升到一个舒适的高度，既保证了电缆的同一高度，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又兼顾了操作的方便和舒适。 </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 xml:space="preserve">无线通讯控制设备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工作电压：计算机 USB 端口供电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工作电流：最大 300mA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工作频段：850/900/1800/1900MHz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传输速率：下行最大 85.6Kbps；上行最大 42.8Kbps </w:t>
      </w:r>
    </w:p>
    <w:p>
      <w:pPr>
        <w:pStyle w:val="22"/>
        <w:keepNext w:val="0"/>
        <w:keepLines w:val="0"/>
        <w:pageBreakBefore w:val="0"/>
        <w:widowControl w:val="0"/>
        <w:kinsoku/>
        <w:wordWrap/>
        <w:overflowPunct/>
        <w:topLinePunct w:val="0"/>
        <w:autoSpaceDE/>
        <w:autoSpaceDN/>
        <w:bidi w:val="0"/>
        <w:adjustRightInd/>
        <w:snapToGrid/>
        <w:ind w:firstLine="480"/>
        <w:textAlignment w:val="auto"/>
        <w:outlineLvl w:val="9"/>
        <w:rPr>
          <w:rFonts w:hint="eastAsia" w:ascii="宋体" w:hAnsi="宋体"/>
          <w:sz w:val="24"/>
          <w:szCs w:val="24"/>
        </w:rPr>
      </w:pPr>
      <w:r>
        <w:rPr>
          <w:rFonts w:hint="eastAsia" w:ascii="宋体" w:hAnsi="宋体"/>
          <w:sz w:val="24"/>
          <w:szCs w:val="24"/>
        </w:rPr>
        <w:t xml:space="preserve">通讯可靠性：≥99% </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rPr>
      </w:pPr>
      <w:r>
        <w:rPr>
          <w:rFonts w:hint="eastAsia" w:ascii="宋体" w:hAnsi="宋体"/>
          <w:sz w:val="24"/>
        </w:rPr>
        <w:t xml:space="preserve">仿真兆欧表 </w:t>
      </w:r>
    </w:p>
    <w:p>
      <w:pPr>
        <w:pStyle w:val="22"/>
        <w:keepNext w:val="0"/>
        <w:keepLines w:val="0"/>
        <w:pageBreakBefore w:val="0"/>
        <w:widowControl w:val="0"/>
        <w:kinsoku/>
        <w:wordWrap/>
        <w:overflowPunct/>
        <w:topLinePunct w:val="0"/>
        <w:autoSpaceDE/>
        <w:autoSpaceDN/>
        <w:bidi w:val="0"/>
        <w:adjustRightInd/>
        <w:snapToGrid/>
        <w:ind w:firstLineChars="175"/>
        <w:textAlignment w:val="auto"/>
        <w:outlineLvl w:val="9"/>
        <w:rPr>
          <w:rFonts w:hint="eastAsia" w:ascii="宋体" w:hAnsi="宋体"/>
          <w:sz w:val="24"/>
          <w:szCs w:val="24"/>
        </w:rPr>
      </w:pPr>
      <w:r>
        <w:rPr>
          <w:rFonts w:hint="eastAsia" w:ascii="宋体" w:hAnsi="宋体"/>
          <w:sz w:val="24"/>
          <w:szCs w:val="24"/>
        </w:rPr>
        <w:t xml:space="preserve">使用无线通讯技术，具有智能接线检测功能，根据 PC 机下发的绝缘阻值，能够仿真出真实的兆欧表指针摆动现象，最终达到稳定的设定阻值。 </w:t>
      </w:r>
    </w:p>
    <w:p>
      <w:pPr>
        <w:keepNext w:val="0"/>
        <w:keepLines w:val="0"/>
        <w:pageBreakBefore w:val="0"/>
        <w:widowControl w:val="0"/>
        <w:numPr>
          <w:ilvl w:val="0"/>
          <w:numId w:val="16"/>
        </w:numPr>
        <w:kinsoku/>
        <w:wordWrap/>
        <w:overflowPunct/>
        <w:topLinePunct w:val="0"/>
        <w:autoSpaceDE/>
        <w:autoSpaceDN/>
        <w:bidi w:val="0"/>
        <w:adjustRightInd/>
        <w:snapToGrid/>
        <w:spacing w:after="0" w:line="360" w:lineRule="auto"/>
        <w:textAlignment w:val="auto"/>
        <w:outlineLvl w:val="9"/>
        <w:rPr>
          <w:rFonts w:hint="eastAsia" w:ascii="宋体" w:hAnsi="宋体"/>
          <w:sz w:val="24"/>
          <w:lang w:val="en-US" w:eastAsia="zh-CN"/>
        </w:rPr>
      </w:pPr>
      <w:r>
        <w:rPr>
          <w:rFonts w:hint="eastAsia" w:ascii="宋体" w:hAnsi="宋体"/>
          <w:sz w:val="24"/>
        </w:rPr>
        <w:t>仿真工频耐压设备使用无线通讯技术，具有智能接线检测功能，根据 PC 机下发的耐压试验故障现象，能够仿真出真实的故障现象。</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5.3.10 局放模拟仿真装置</w:t>
      </w:r>
    </w:p>
    <w:p>
      <w:pPr>
        <w:pStyle w:val="35"/>
        <w:numPr>
          <w:ilvl w:val="0"/>
          <w:numId w:val="17"/>
        </w:numPr>
        <w:spacing w:line="360" w:lineRule="auto"/>
        <w:ind w:firstLineChars="0"/>
        <w:rPr>
          <w:rFonts w:ascii="宋体" w:hAnsi="宋体" w:cs="Times New Roman"/>
          <w:color w:val="000000"/>
          <w:sz w:val="24"/>
          <w:szCs w:val="24"/>
        </w:rPr>
      </w:pPr>
      <w:r>
        <w:rPr>
          <w:rFonts w:hint="eastAsia" w:ascii="宋体" w:hAnsi="宋体" w:cs="Times New Roman"/>
          <w:color w:val="000000"/>
          <w:sz w:val="24"/>
          <w:szCs w:val="24"/>
        </w:rPr>
        <w:t>需具备高度</w:t>
      </w:r>
      <w:r>
        <w:rPr>
          <w:rFonts w:ascii="宋体" w:hAnsi="宋体" w:cs="Times New Roman"/>
          <w:color w:val="000000"/>
          <w:sz w:val="24"/>
          <w:szCs w:val="24"/>
        </w:rPr>
        <w:t>真实性：按实体开关柜设计，真实模拟开关柜内部的各种局放故障。</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故障模拟:可模拟开关柜尖端、悬浮、气隙、颗粒、沿面等放电类型，多 种放电可复合产生。</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放电可控:可任意选择放电种类，控制各放电信号的起始电压、熄灭电压 和放电强度。</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检测多样化:可为脉冲电流、特高频、超声波、暂态地电压等技术检测提供试验平台。</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计量传递:内建脉冲电流法相关耦合、校验单元，可同步检测实验装置的 局放水平，作为仪器考核的依据。</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稳定性好:各放电模块可重复使用，放电特征稳定。</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可视化:内置红外视频探头，方便观察内部状态，捕捉放电视频。</w:t>
      </w:r>
    </w:p>
    <w:p>
      <w:pPr>
        <w:pStyle w:val="35"/>
        <w:numPr>
          <w:ilvl w:val="0"/>
          <w:numId w:val="17"/>
        </w:numPr>
        <w:spacing w:line="360" w:lineRule="auto"/>
        <w:ind w:firstLineChars="0"/>
        <w:rPr>
          <w:rFonts w:ascii="宋体" w:hAnsi="宋体" w:cs="Times New Roman"/>
          <w:color w:val="000000"/>
          <w:sz w:val="24"/>
          <w:szCs w:val="24"/>
        </w:rPr>
      </w:pPr>
      <w:r>
        <w:rPr>
          <w:rFonts w:ascii="宋体" w:hAnsi="宋体" w:cs="Times New Roman"/>
          <w:color w:val="000000"/>
          <w:sz w:val="24"/>
          <w:szCs w:val="24"/>
        </w:rPr>
        <w:t>操作便捷:各类故障的产生及消失，可在装置外直接调控。</w:t>
      </w:r>
    </w:p>
    <w:p>
      <w:pPr>
        <w:pStyle w:val="35"/>
        <w:numPr>
          <w:ilvl w:val="0"/>
          <w:numId w:val="17"/>
        </w:numPr>
        <w:spacing w:line="360" w:lineRule="auto"/>
        <w:ind w:firstLineChars="0"/>
        <w:rPr>
          <w:rFonts w:hint="eastAsia" w:ascii="宋体" w:hAnsi="宋体" w:cs="Times New Roman"/>
          <w:color w:val="000000"/>
          <w:sz w:val="24"/>
          <w:szCs w:val="24"/>
        </w:rPr>
      </w:pPr>
      <w:r>
        <w:rPr>
          <w:rFonts w:ascii="宋体" w:hAnsi="宋体" w:cs="Times New Roman"/>
          <w:color w:val="000000"/>
          <w:sz w:val="24"/>
          <w:szCs w:val="24"/>
        </w:rPr>
        <w:t>安全可靠:升压设备内置，高压与外界隔离，操作安全可靠。</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5.3.11 分布式光伏仿真培训系统</w:t>
      </w:r>
    </w:p>
    <w:p>
      <w:pPr>
        <w:spacing w:line="360" w:lineRule="auto"/>
        <w:ind w:firstLine="480" w:firstLineChars="200"/>
        <w:rPr>
          <w:rFonts w:hint="eastAsia" w:ascii="宋体" w:hAnsi="宋体" w:cs="Times New Roman"/>
          <w:color w:val="000000"/>
          <w:sz w:val="24"/>
          <w:szCs w:val="24"/>
        </w:rPr>
      </w:pPr>
      <w:r>
        <w:rPr>
          <w:rFonts w:hint="eastAsia" w:ascii="宋体" w:hAnsi="宋体" w:cs="Times New Roman"/>
          <w:color w:val="000000"/>
          <w:sz w:val="24"/>
          <w:szCs w:val="24"/>
          <w:lang w:val="en-US" w:eastAsia="zh-CN"/>
        </w:rPr>
        <w:t>1)</w:t>
      </w:r>
      <w:r>
        <w:rPr>
          <w:rFonts w:hint="eastAsia" w:ascii="宋体" w:hAnsi="宋体" w:cs="Times New Roman"/>
          <w:color w:val="000000"/>
          <w:sz w:val="24"/>
          <w:szCs w:val="24"/>
        </w:rPr>
        <w:t>展示分布式光伏主要设备的工作原理、不同上网模式分析光伏板年限衰变原理，模拟分布式光伏对配电网影响，开展分布式光伏计量装置安装与电费计算的实操培训、光伏配电箱安全培训。</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2)该培训装置设置了供电及负荷系统、光伏发电系统、并网系统、储能管理。</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3)</w:t>
      </w: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可进行光伏并网发电三种消纳方式（全额上网、余电上网、自发自用）的接线安装和实施操作。</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4)设置了光伏并网发电测试、调试及运维等功能模块，可以让学员了解分布式光伏项目调试、验收等工作。</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5)供电端、负荷端、发电端电能质量测试，内容包括电流、电压、频率测试。</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6)上网电量（发电量）抄录。</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7)不同温度，湿度，光照下发电端直流电压、光照度情况下发电功率、电能质量等测试。</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8)光伏并网防孤岛功能测试，防孤岛安全测试模和防孤岛功能失效测试。</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9)模拟光伏并网发电系统发电设备端常见异常及故障处理，例如逆变器光伏板没有接线，光伏板线路接反、并接等情况。</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10)可以通过分布式光伏实训室数字化仿真实训平台智能控制光伏实训装置，可以任意设置、查询、取消故障、计算学员考试得分。</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11)光伏组件运维调试：</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12)可实现储能与并网逆变器自发自用演示。</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13)</w:t>
      </w: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显示储能电池电量、充电放电过程。</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14)</w:t>
      </w:r>
      <w:r>
        <w:rPr>
          <w:rFonts w:hint="eastAsia" w:ascii="宋体" w:hAnsi="宋体" w:cs="Times New Roman"/>
          <w:color w:val="000000"/>
          <w:sz w:val="24"/>
          <w:szCs w:val="24"/>
        </w:rPr>
        <w:t>★</w:t>
      </w:r>
      <w:r>
        <w:rPr>
          <w:rFonts w:hint="eastAsia" w:ascii="宋体" w:hAnsi="宋体" w:cs="Times New Roman"/>
          <w:color w:val="000000"/>
          <w:sz w:val="24"/>
          <w:szCs w:val="24"/>
          <w:lang w:val="en-US" w:eastAsia="zh-CN"/>
        </w:rPr>
        <w:t xml:space="preserve">具备摄像记录功能、对操作过程记录。 </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15)通过控制软件可以设置电网电压过高、电网电压过低、电网频率过高，电网频率过低、电网功率因数过高，电网功率因数过低等电网故障。</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16)通过控制软件可以设置逆变器防孤岛故障、并网专用开关防孤岛故障等。</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17)通过控制软件可以设置双向计量表计及单向计量表计的表尾进出线接反表计故障。</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18)建立一个完整的操作记录与评估系统，记录学员在培训过程中的操作行为和结果，并提供自动评估和反馈机制，帮助学员了解自己的学习进度和需要改进的地方。</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19)可以通过软件选择用户负载的大小，让学员清楚的看到当用户负载增大时，光伏并网对电网极其计量的影响，达到让学员真正的掌握光伏并网的计量实训目的；可以进行离网储能系统的调试、运行和维护模拟。</w:t>
      </w:r>
    </w:p>
    <w:p>
      <w:pPr>
        <w:spacing w:line="360" w:lineRule="auto"/>
        <w:ind w:firstLine="480" w:firstLineChars="200"/>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20)可以设置一些常见的表计错接线故障，如进出线接反、某相开路等故障。</w:t>
      </w:r>
    </w:p>
    <w:p>
      <w:pPr>
        <w:spacing w:line="360" w:lineRule="auto"/>
        <w:ind w:firstLine="480" w:firstLineChars="200"/>
        <w:rPr>
          <w:rFonts w:hint="default"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21)可进行光伏四可仿真培训。</w:t>
      </w:r>
    </w:p>
    <w:p>
      <w:pPr>
        <w:pStyle w:val="6"/>
        <w:numPr>
          <w:ilvl w:val="0"/>
          <w:numId w:val="0"/>
        </w:numPr>
        <w:rPr>
          <w:rFonts w:hint="default" w:hAnsi="宋体"/>
          <w:b w:val="0"/>
          <w:bCs w:val="0"/>
          <w:color w:val="000000"/>
          <w:sz w:val="24"/>
          <w:szCs w:val="24"/>
          <w:lang w:val="en-US" w:eastAsia="zh-CN"/>
        </w:rPr>
      </w:pPr>
      <w:r>
        <w:rPr>
          <w:rFonts w:hint="eastAsia" w:hAnsi="宋体"/>
          <w:b w:val="0"/>
          <w:bCs w:val="0"/>
          <w:color w:val="000000"/>
          <w:sz w:val="24"/>
          <w:szCs w:val="24"/>
          <w:lang w:val="en-US" w:eastAsia="zh-CN"/>
        </w:rPr>
        <w:t>5.3.12 新型电力负荷管理仿真培训系统</w:t>
      </w:r>
    </w:p>
    <w:p>
      <w:pPr>
        <w:spacing w:line="360" w:lineRule="auto"/>
        <w:rPr>
          <w:rFonts w:hint="eastAsia" w:ascii="宋体" w:hAnsi="宋体" w:eastAsia="宋体" w:cs="宋体"/>
          <w:color w:val="000000"/>
          <w:sz w:val="24"/>
          <w:szCs w:val="24"/>
        </w:rPr>
      </w:pPr>
      <w:bookmarkStart w:id="35" w:name="_Toc14281"/>
      <w:bookmarkStart w:id="36" w:name="_Toc9463"/>
      <w:bookmarkStart w:id="37" w:name="_Toc16007"/>
      <w:bookmarkStart w:id="38" w:name="_Toc8818"/>
      <w:bookmarkStart w:id="39" w:name="_Toc12509"/>
      <w:bookmarkStart w:id="40" w:name="_Toc23332"/>
      <w:bookmarkStart w:id="41" w:name="_Toc139219626"/>
      <w:bookmarkStart w:id="42" w:name="_Toc8513"/>
      <w:bookmarkStart w:id="43" w:name="_Toc9857"/>
      <w:r>
        <w:rPr>
          <w:rFonts w:hint="eastAsia" w:ascii="宋体" w:hAnsi="宋体" w:cs="宋体"/>
          <w:color w:val="000000"/>
          <w:sz w:val="24"/>
          <w:szCs w:val="24"/>
          <w:lang w:val="en-US" w:eastAsia="zh-CN"/>
        </w:rPr>
        <w:t>5.3.12.1</w:t>
      </w:r>
      <w:r>
        <w:rPr>
          <w:rFonts w:hint="eastAsia" w:ascii="宋体" w:hAnsi="宋体" w:eastAsia="宋体" w:cs="宋体"/>
          <w:color w:val="000000"/>
          <w:sz w:val="24"/>
          <w:szCs w:val="24"/>
        </w:rPr>
        <w:t>空调调控能力仿真培训</w:t>
      </w:r>
      <w:bookmarkEnd w:id="35"/>
      <w:bookmarkEnd w:id="36"/>
      <w:bookmarkEnd w:id="37"/>
      <w:bookmarkEnd w:id="38"/>
      <w:bookmarkEnd w:id="39"/>
      <w:bookmarkEnd w:id="40"/>
      <w:bookmarkEnd w:id="41"/>
      <w:bookmarkEnd w:id="42"/>
      <w:bookmarkEnd w:id="43"/>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开展智慧能源单元等空调感知设备安装、通讯参数调试、温度及功率控制命令下发、故障异常排除等培训，构建空调柔性调控策略培训，以实现空调负荷的可观、可测、可调、可控。</w:t>
      </w:r>
    </w:p>
    <w:p>
      <w:pPr>
        <w:spacing w:line="360" w:lineRule="auto"/>
        <w:ind w:firstLine="480" w:firstLineChars="200"/>
        <w:rPr>
          <w:rFonts w:hint="eastAsia" w:ascii="宋体" w:hAnsi="宋体" w:eastAsia="宋体" w:cs="宋体"/>
          <w:color w:val="000000"/>
          <w:sz w:val="24"/>
          <w:szCs w:val="24"/>
        </w:rPr>
      </w:pPr>
      <w:bookmarkStart w:id="44" w:name="_Toc9198"/>
      <w:bookmarkStart w:id="45" w:name="_Toc1939"/>
      <w:bookmarkStart w:id="46" w:name="_Toc139219627"/>
      <w:bookmarkStart w:id="47" w:name="_Toc17125"/>
      <w:bookmarkStart w:id="48" w:name="_Toc18813"/>
      <w:bookmarkStart w:id="49" w:name="_Toc14523"/>
      <w:bookmarkStart w:id="50" w:name="_Toc21146"/>
      <w:bookmarkStart w:id="51" w:name="_Toc20833"/>
      <w:bookmarkStart w:id="52" w:name="_Toc10505"/>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多联机空调调控能力仿真</w:t>
      </w:r>
      <w:bookmarkEnd w:id="44"/>
      <w:bookmarkEnd w:id="45"/>
      <w:bookmarkEnd w:id="46"/>
      <w:bookmarkEnd w:id="47"/>
      <w:bookmarkEnd w:id="48"/>
      <w:bookmarkEnd w:id="49"/>
      <w:bookmarkEnd w:id="50"/>
      <w:bookmarkEnd w:id="51"/>
      <w:bookmarkEnd w:id="52"/>
    </w:p>
    <w:p>
      <w:pPr>
        <w:ind w:firstLine="480" w:firstLineChars="200"/>
        <w:rPr>
          <w:rFonts w:hint="eastAsia" w:ascii="宋体" w:hAnsi="宋体" w:eastAsia="宋体" w:cs="宋体"/>
          <w:sz w:val="24"/>
          <w:szCs w:val="24"/>
        </w:rPr>
      </w:pPr>
      <w:r>
        <w:rPr>
          <w:rFonts w:hint="eastAsia" w:ascii="宋体" w:hAnsi="宋体" w:eastAsia="宋体" w:cs="宋体"/>
          <w:sz w:val="24"/>
          <w:szCs w:val="24"/>
        </w:rPr>
        <w:t>通过对用户可调能力的评估，模拟在不影响用户的情况下，设定空调温度或下发需求响应调控指令达到调控负荷的目的。</w:t>
      </w:r>
    </w:p>
    <w:p>
      <w:pPr>
        <w:numPr>
          <w:ilvl w:val="0"/>
          <w:numId w:val="18"/>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监测空调负荷、运行状态（设定温度）</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模拟系统主机档案管理中可维护智慧能源单元、负荷监测仪、空调控制模块、空调机组等基础档案信息，通过采集数据查看相应的实时或历史曲线信息。</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仿真装置可模拟空调系统运行状态数据以及负荷数据，测算需求响应能力并上报给模拟系统主机。</w:t>
      </w:r>
    </w:p>
    <w:p>
      <w:pPr>
        <w:numPr>
          <w:ilvl w:val="0"/>
          <w:numId w:val="18"/>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设定温度、需求响应事件下发</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系统主机根据运行状态以及负荷数据的反馈，修正调节参数，在较短的时间里使空调系统进入稳定的较低能耗的水平，满足需求响应的同时保持一定的控温效果。空调调控包含设定温度和需求响应事件调控负荷两种方式。</w:t>
      </w:r>
    </w:p>
    <w:p>
      <w:pPr>
        <w:numPr>
          <w:ilvl w:val="0"/>
          <w:numId w:val="18"/>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设定温度</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模拟系统主机根据空调机组档案信息，可直接对单个机组或者一个用户（多机组）下发调节设定温度。</w:t>
      </w:r>
    </w:p>
    <w:p>
      <w:pPr>
        <w:numPr>
          <w:ilvl w:val="0"/>
          <w:numId w:val="18"/>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下发需求响应事件</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系统主机根据上报的需求响应能下发需求响应事件(含负荷调控指标)给智慧能源单元，智慧能源单元依据当前空调系统运行状态，通过智能算法得到适当的控制策略。依据策略对机组的若干运行参数进行调节，从而降低空调系统的负荷。</w:t>
      </w:r>
    </w:p>
    <w:p>
      <w:pPr>
        <w:numPr>
          <w:ilvl w:val="0"/>
          <w:numId w:val="18"/>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空调负荷调控效果评估</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需求响应事件结束，智慧能源单元恢复空调系统原先的运行参数，控制权交还用户或用户系统。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可通过对设定温度曲线或者空调负荷曲线进行查看后对调控效果进行评估（成功或不成功）。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可针对不同的调控策略模拟负荷调控失败。</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bookmarkStart w:id="53" w:name="_Toc11435"/>
      <w:bookmarkStart w:id="54" w:name="_Toc139219628"/>
      <w:bookmarkStart w:id="55" w:name="_Toc23170"/>
      <w:bookmarkStart w:id="56" w:name="_Toc30410"/>
      <w:bookmarkStart w:id="57" w:name="_Toc26976"/>
      <w:bookmarkStart w:id="58" w:name="_Toc25854"/>
      <w:bookmarkStart w:id="59" w:name="_Toc288"/>
      <w:bookmarkStart w:id="60" w:name="_Toc15470"/>
      <w:bookmarkStart w:id="61" w:name="_Toc27871"/>
      <w:r>
        <w:rPr>
          <w:rFonts w:hint="eastAsia" w:ascii="宋体" w:hAnsi="宋体" w:eastAsia="宋体" w:cs="宋体"/>
          <w:color w:val="000000"/>
          <w:sz w:val="24"/>
          <w:szCs w:val="24"/>
        </w:rPr>
        <w:t>负荷调控失败仿真</w:t>
      </w:r>
      <w:bookmarkEnd w:id="53"/>
      <w:bookmarkEnd w:id="54"/>
      <w:bookmarkEnd w:id="55"/>
      <w:bookmarkEnd w:id="56"/>
      <w:bookmarkEnd w:id="57"/>
      <w:bookmarkEnd w:id="58"/>
      <w:bookmarkEnd w:id="59"/>
      <w:bookmarkEnd w:id="60"/>
      <w:bookmarkEnd w:id="61"/>
    </w:p>
    <w:p>
      <w:pPr>
        <w:ind w:firstLine="480" w:firstLineChars="200"/>
        <w:rPr>
          <w:rFonts w:hint="eastAsia" w:ascii="宋体" w:hAnsi="宋体" w:eastAsia="宋体" w:cs="宋体"/>
          <w:sz w:val="24"/>
          <w:szCs w:val="24"/>
        </w:rPr>
      </w:pPr>
      <w:r>
        <w:rPr>
          <w:rFonts w:hint="eastAsia" w:ascii="宋体" w:hAnsi="宋体" w:eastAsia="宋体" w:cs="宋体"/>
          <w:sz w:val="24"/>
          <w:szCs w:val="24"/>
        </w:rPr>
        <w:t>包括温度控制不成功和负荷下降未达标的仿真。</w:t>
      </w:r>
    </w:p>
    <w:p>
      <w:pPr>
        <w:numPr>
          <w:ilvl w:val="0"/>
          <w:numId w:val="19"/>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温度控制不成功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可模拟机组通讯故障（单个机组故障或单个内机故障）使温控不成功。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可模拟用户中途干预（如在调控期间用户手动干预调温）也可使温控不成功。</w:t>
      </w:r>
    </w:p>
    <w:p>
      <w:pPr>
        <w:numPr>
          <w:ilvl w:val="0"/>
          <w:numId w:val="19"/>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负荷下降未达标</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可通过模拟柔性策略不合理（如用户上报可调太大、调控负荷远大于可调能力等）使负荷下降未达到预期效果。</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可模拟机组故障（机组或者内机故障）使调控负荷达不到预期。</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3)多联机空调异常</w:t>
      </w:r>
      <w:r>
        <w:rPr>
          <w:rFonts w:hint="eastAsia" w:ascii="宋体" w:hAnsi="宋体" w:eastAsia="宋体" w:cs="宋体"/>
          <w:color w:val="000000"/>
          <w:sz w:val="24"/>
          <w:szCs w:val="24"/>
        </w:rPr>
        <w:t>仿真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包括数据在线率、采集成功率、数据完整率异常仿真，设置温度、环境温度采集异常仿真和负荷采集异常仿真。</w:t>
      </w:r>
    </w:p>
    <w:p>
      <w:pPr>
        <w:pStyle w:val="13"/>
        <w:numPr>
          <w:ilvl w:val="0"/>
          <w:numId w:val="20"/>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数据在线率、采集成功率、数据完整率异常仿真</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模拟终端SIM卡超流量或终端失电可影响智慧能源单元在线率。</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模拟分钟级响应需求响应能力、可调负荷资源的运行负荷、空调总负荷、空调设定温度影响采集成功率。</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模拟采集数据断点影响采集完整率。</w:t>
      </w:r>
    </w:p>
    <w:p>
      <w:pPr>
        <w:pStyle w:val="13"/>
        <w:numPr>
          <w:ilvl w:val="0"/>
          <w:numId w:val="20"/>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设置温度、环境温度采集异常仿真</w:t>
      </w:r>
    </w:p>
    <w:p>
      <w:pPr>
        <w:ind w:firstLine="420"/>
        <w:rPr>
          <w:rFonts w:hint="eastAsia" w:ascii="宋体" w:hAnsi="宋体" w:eastAsia="宋体" w:cs="宋体"/>
          <w:sz w:val="24"/>
          <w:szCs w:val="24"/>
        </w:rPr>
      </w:pPr>
      <w:r>
        <w:rPr>
          <w:rFonts w:hint="eastAsia" w:ascii="宋体" w:hAnsi="宋体" w:eastAsia="宋体" w:cs="宋体"/>
          <w:sz w:val="24"/>
          <w:szCs w:val="24"/>
        </w:rPr>
        <w:t>模拟设置温度在15℃～32℃区间之外</w:t>
      </w:r>
    </w:p>
    <w:p>
      <w:pPr>
        <w:ind w:firstLine="420"/>
        <w:rPr>
          <w:rFonts w:hint="eastAsia" w:ascii="宋体" w:hAnsi="宋体" w:eastAsia="宋体" w:cs="宋体"/>
          <w:sz w:val="24"/>
          <w:szCs w:val="24"/>
        </w:rPr>
      </w:pPr>
      <w:r>
        <w:rPr>
          <w:rFonts w:hint="eastAsia" w:ascii="宋体" w:hAnsi="宋体" w:eastAsia="宋体" w:cs="宋体"/>
          <w:sz w:val="24"/>
          <w:szCs w:val="24"/>
        </w:rPr>
        <w:t>模拟环境温度在15℃～32℃区间之外</w:t>
      </w:r>
    </w:p>
    <w:p>
      <w:pPr>
        <w:pStyle w:val="13"/>
        <w:numPr>
          <w:ilvl w:val="0"/>
          <w:numId w:val="20"/>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负荷采集异常仿真</w:t>
      </w:r>
    </w:p>
    <w:p>
      <w:pPr>
        <w:ind w:firstLine="420"/>
        <w:rPr>
          <w:rFonts w:hint="eastAsia" w:ascii="宋体" w:hAnsi="宋体" w:eastAsia="宋体" w:cs="宋体"/>
          <w:sz w:val="24"/>
          <w:szCs w:val="24"/>
        </w:rPr>
      </w:pPr>
      <w:r>
        <w:rPr>
          <w:rFonts w:hint="eastAsia" w:ascii="宋体" w:hAnsi="宋体" w:eastAsia="宋体" w:cs="宋体"/>
          <w:sz w:val="24"/>
          <w:szCs w:val="24"/>
        </w:rPr>
        <w:t>模拟在未使用空调季节，负荷不为0。</w:t>
      </w:r>
    </w:p>
    <w:p>
      <w:pPr>
        <w:ind w:firstLine="420"/>
        <w:rPr>
          <w:rFonts w:hint="eastAsia" w:ascii="宋体" w:hAnsi="宋体" w:eastAsia="宋体" w:cs="宋体"/>
          <w:sz w:val="24"/>
          <w:szCs w:val="24"/>
        </w:rPr>
      </w:pPr>
      <w:r>
        <w:rPr>
          <w:rFonts w:hint="eastAsia" w:ascii="宋体" w:hAnsi="宋体" w:eastAsia="宋体" w:cs="宋体"/>
          <w:sz w:val="24"/>
          <w:szCs w:val="24"/>
        </w:rPr>
        <w:t>模拟潮流反向，导轨表三相电流互感器装反或者接入导轨表极性接反。</w:t>
      </w:r>
    </w:p>
    <w:p>
      <w:pPr>
        <w:ind w:firstLine="420"/>
        <w:rPr>
          <w:rFonts w:hint="eastAsia" w:ascii="宋体" w:hAnsi="宋体" w:eastAsia="宋体" w:cs="宋体"/>
          <w:sz w:val="24"/>
          <w:szCs w:val="24"/>
        </w:rPr>
      </w:pPr>
      <w:r>
        <w:rPr>
          <w:rFonts w:hint="eastAsia" w:ascii="宋体" w:hAnsi="宋体" w:eastAsia="宋体" w:cs="宋体"/>
          <w:sz w:val="24"/>
          <w:szCs w:val="24"/>
        </w:rPr>
        <w:t>模拟功率反向，导轨表一相电流互感器接反。</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模拟分支负荷大于总表负荷。</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4)水冷机组空调异常</w:t>
      </w:r>
      <w:r>
        <w:rPr>
          <w:rFonts w:hint="eastAsia" w:ascii="宋体" w:hAnsi="宋体" w:eastAsia="宋体" w:cs="宋体"/>
          <w:color w:val="000000"/>
          <w:sz w:val="24"/>
          <w:szCs w:val="24"/>
        </w:rPr>
        <w:t>仿真</w:t>
      </w:r>
    </w:p>
    <w:p>
      <w:pPr>
        <w:ind w:firstLine="420"/>
        <w:rPr>
          <w:rFonts w:hint="eastAsia" w:ascii="宋体" w:hAnsi="宋体" w:eastAsia="宋体" w:cs="宋体"/>
          <w:sz w:val="24"/>
          <w:szCs w:val="24"/>
        </w:rPr>
      </w:pPr>
      <w:r>
        <w:rPr>
          <w:rFonts w:hint="eastAsia" w:ascii="宋体" w:hAnsi="宋体" w:eastAsia="宋体" w:cs="宋体"/>
          <w:sz w:val="24"/>
          <w:szCs w:val="24"/>
        </w:rPr>
        <w:t>包括数据在线率、采集成功率、数据完整率异常仿真，设置温度、环境温度采集异常仿真和负荷采集异常仿真。</w:t>
      </w:r>
    </w:p>
    <w:p>
      <w:pPr>
        <w:numPr>
          <w:ilvl w:val="0"/>
          <w:numId w:val="21"/>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数据在线率、采集成功率、数据完整率异常仿真</w:t>
      </w:r>
    </w:p>
    <w:p>
      <w:pPr>
        <w:ind w:firstLine="420"/>
        <w:rPr>
          <w:rFonts w:hint="eastAsia" w:ascii="宋体" w:hAnsi="宋体" w:eastAsia="宋体" w:cs="宋体"/>
          <w:sz w:val="24"/>
          <w:szCs w:val="24"/>
        </w:rPr>
      </w:pPr>
      <w:r>
        <w:rPr>
          <w:rFonts w:hint="eastAsia" w:ascii="宋体" w:hAnsi="宋体" w:eastAsia="宋体" w:cs="宋体"/>
          <w:sz w:val="24"/>
          <w:szCs w:val="24"/>
        </w:rPr>
        <w:t>模拟终端SIM卡超流量或终端失电可影响智慧能源单元在线率。</w:t>
      </w:r>
    </w:p>
    <w:p>
      <w:pPr>
        <w:ind w:firstLine="420"/>
        <w:rPr>
          <w:rFonts w:hint="eastAsia" w:ascii="宋体" w:hAnsi="宋体" w:eastAsia="宋体" w:cs="宋体"/>
          <w:sz w:val="24"/>
          <w:szCs w:val="24"/>
        </w:rPr>
      </w:pPr>
      <w:r>
        <w:rPr>
          <w:rFonts w:hint="eastAsia" w:ascii="宋体" w:hAnsi="宋体" w:eastAsia="宋体" w:cs="宋体"/>
          <w:sz w:val="24"/>
          <w:szCs w:val="24"/>
        </w:rPr>
        <w:t>模拟分钟级响应需求响应能力、可调负荷资源的运行负荷、空调总负荷、空调设定温度影响采集成功率。</w:t>
      </w:r>
    </w:p>
    <w:p>
      <w:pPr>
        <w:ind w:firstLine="420"/>
        <w:rPr>
          <w:rFonts w:hint="eastAsia" w:ascii="宋体" w:hAnsi="宋体" w:eastAsia="宋体" w:cs="宋体"/>
          <w:sz w:val="24"/>
          <w:szCs w:val="24"/>
        </w:rPr>
      </w:pPr>
      <w:r>
        <w:rPr>
          <w:rFonts w:hint="eastAsia" w:ascii="宋体" w:hAnsi="宋体" w:eastAsia="宋体" w:cs="宋体"/>
          <w:sz w:val="24"/>
          <w:szCs w:val="24"/>
        </w:rPr>
        <w:t>模拟采集数据断点影响采集完整率。</w:t>
      </w:r>
    </w:p>
    <w:p>
      <w:pPr>
        <w:numPr>
          <w:ilvl w:val="0"/>
          <w:numId w:val="21"/>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设置温度、环境温度采集异常仿真</w:t>
      </w:r>
    </w:p>
    <w:p>
      <w:pPr>
        <w:ind w:firstLine="420"/>
        <w:rPr>
          <w:rFonts w:hint="eastAsia" w:ascii="宋体" w:hAnsi="宋体" w:eastAsia="宋体" w:cs="宋体"/>
          <w:sz w:val="24"/>
          <w:szCs w:val="24"/>
          <w:lang w:val="en-US" w:eastAsia="zh-CN"/>
        </w:rPr>
      </w:pPr>
      <w:r>
        <w:rPr>
          <w:rFonts w:hint="eastAsia" w:ascii="宋体" w:hAnsi="宋体" w:eastAsia="宋体" w:cs="宋体"/>
          <w:sz w:val="24"/>
          <w:szCs w:val="24"/>
        </w:rPr>
        <w:t>模拟设置温度在15℃～32℃区间之外。</w:t>
      </w:r>
    </w:p>
    <w:p>
      <w:pPr>
        <w:ind w:firstLine="420"/>
        <w:rPr>
          <w:rFonts w:hint="eastAsia" w:ascii="宋体" w:hAnsi="宋体" w:eastAsia="宋体" w:cs="宋体"/>
          <w:sz w:val="24"/>
          <w:szCs w:val="24"/>
          <w:lang w:val="en-US" w:eastAsia="zh-CN"/>
        </w:rPr>
      </w:pPr>
      <w:r>
        <w:rPr>
          <w:rFonts w:hint="eastAsia" w:ascii="宋体" w:hAnsi="宋体" w:eastAsia="宋体" w:cs="宋体"/>
          <w:sz w:val="24"/>
          <w:szCs w:val="24"/>
        </w:rPr>
        <w:t>模拟环境温度在15℃～32℃区间之外。</w:t>
      </w:r>
    </w:p>
    <w:p>
      <w:pPr>
        <w:numPr>
          <w:ilvl w:val="0"/>
          <w:numId w:val="21"/>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（负荷采集异常仿真</w:t>
      </w:r>
    </w:p>
    <w:p>
      <w:pPr>
        <w:ind w:firstLine="420"/>
        <w:rPr>
          <w:rFonts w:hint="eastAsia" w:ascii="宋体" w:hAnsi="宋体" w:eastAsia="宋体" w:cs="宋体"/>
          <w:sz w:val="24"/>
          <w:szCs w:val="24"/>
        </w:rPr>
      </w:pPr>
      <w:r>
        <w:rPr>
          <w:rFonts w:hint="eastAsia" w:ascii="宋体" w:hAnsi="宋体" w:eastAsia="宋体" w:cs="宋体"/>
          <w:sz w:val="24"/>
          <w:szCs w:val="24"/>
        </w:rPr>
        <w:t>模拟在未使用空调季节，负荷不为0。</w:t>
      </w:r>
    </w:p>
    <w:p>
      <w:pPr>
        <w:ind w:firstLine="420"/>
        <w:rPr>
          <w:rFonts w:hint="eastAsia" w:ascii="宋体" w:hAnsi="宋体" w:eastAsia="宋体" w:cs="宋体"/>
          <w:sz w:val="24"/>
          <w:szCs w:val="24"/>
        </w:rPr>
      </w:pPr>
      <w:r>
        <w:rPr>
          <w:rFonts w:hint="eastAsia" w:ascii="宋体" w:hAnsi="宋体" w:eastAsia="宋体" w:cs="宋体"/>
          <w:sz w:val="24"/>
          <w:szCs w:val="24"/>
        </w:rPr>
        <w:t>模拟潮流反向，导轨表三相电流互感器装反或者接入导轨表极性接反。</w:t>
      </w:r>
    </w:p>
    <w:p>
      <w:pPr>
        <w:ind w:firstLine="420"/>
        <w:rPr>
          <w:rFonts w:hint="eastAsia" w:ascii="宋体" w:hAnsi="宋体" w:eastAsia="宋体" w:cs="宋体"/>
          <w:sz w:val="24"/>
          <w:szCs w:val="24"/>
        </w:rPr>
      </w:pPr>
      <w:r>
        <w:rPr>
          <w:rFonts w:hint="eastAsia" w:ascii="宋体" w:hAnsi="宋体" w:eastAsia="宋体" w:cs="宋体"/>
          <w:sz w:val="24"/>
          <w:szCs w:val="24"/>
        </w:rPr>
        <w:t>模拟功率反向，导轨表一相电流互感器接反。</w:t>
      </w:r>
    </w:p>
    <w:p>
      <w:pPr>
        <w:ind w:firstLine="420"/>
        <w:rPr>
          <w:rFonts w:hint="eastAsia" w:ascii="宋体" w:hAnsi="宋体" w:eastAsia="宋体" w:cs="宋体"/>
          <w:sz w:val="24"/>
          <w:szCs w:val="24"/>
        </w:rPr>
      </w:pPr>
      <w:r>
        <w:rPr>
          <w:rFonts w:hint="eastAsia" w:ascii="宋体" w:hAnsi="宋体" w:eastAsia="宋体" w:cs="宋体"/>
          <w:sz w:val="24"/>
          <w:szCs w:val="24"/>
        </w:rPr>
        <w:t>模拟分支负荷大于总表负荷。</w:t>
      </w:r>
    </w:p>
    <w:p>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5.3.12.2 </w:t>
      </w:r>
      <w:r>
        <w:rPr>
          <w:rFonts w:hint="eastAsia" w:ascii="宋体" w:hAnsi="宋体" w:eastAsia="宋体" w:cs="宋体"/>
          <w:color w:val="000000"/>
          <w:sz w:val="24"/>
          <w:szCs w:val="24"/>
          <w:lang w:val="en-US" w:eastAsia="zh-CN"/>
        </w:rPr>
        <w:t>可中断负荷</w:t>
      </w:r>
      <w:r>
        <w:rPr>
          <w:rFonts w:hint="eastAsia" w:ascii="宋体" w:hAnsi="宋体" w:eastAsia="宋体" w:cs="宋体"/>
          <w:color w:val="000000"/>
          <w:sz w:val="24"/>
          <w:szCs w:val="24"/>
        </w:rPr>
        <w:t>仿真培训</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根据高压分路、低压分路等不同应用场景搭建“分路</w:t>
      </w:r>
      <w:r>
        <w:rPr>
          <w:rFonts w:hint="eastAsia" w:ascii="宋体" w:hAnsi="宋体" w:eastAsia="宋体" w:cs="宋体"/>
          <w:sz w:val="24"/>
          <w:szCs w:val="24"/>
          <w:lang w:val="en-US" w:eastAsia="zh-CN"/>
        </w:rPr>
        <w:t>负控</w:t>
      </w:r>
      <w:r>
        <w:rPr>
          <w:rFonts w:hint="eastAsia" w:ascii="宋体" w:hAnsi="宋体" w:eastAsia="宋体" w:cs="宋体"/>
          <w:sz w:val="24"/>
          <w:szCs w:val="24"/>
        </w:rPr>
        <w:t>终端”、“集中器+导轨表”、“集中器+智能断路器”等典型环境。</w:t>
      </w:r>
    </w:p>
    <w:p>
      <w:pPr>
        <w:spacing w:line="360" w:lineRule="auto"/>
        <w:ind w:firstLine="420" w:firstLineChars="0"/>
        <w:rPr>
          <w:rFonts w:hint="eastAsia" w:ascii="宋体" w:hAnsi="宋体" w:eastAsia="宋体" w:cs="宋体"/>
          <w:color w:val="000000"/>
          <w:sz w:val="24"/>
          <w:szCs w:val="24"/>
          <w:lang w:val="en-US" w:eastAsia="zh-CN"/>
        </w:rPr>
      </w:pPr>
      <w:bookmarkStart w:id="62" w:name="_Toc17348"/>
      <w:bookmarkStart w:id="63" w:name="_Toc6423"/>
      <w:bookmarkStart w:id="64" w:name="_Toc4679"/>
      <w:bookmarkStart w:id="65" w:name="_Toc23642"/>
      <w:bookmarkStart w:id="66" w:name="_Toc139219631"/>
      <w:bookmarkStart w:id="67" w:name="_Toc4568"/>
      <w:bookmarkStart w:id="68" w:name="_Toc22644"/>
      <w:bookmarkStart w:id="69" w:name="_Toc6501"/>
      <w:bookmarkStart w:id="70" w:name="_Toc32182"/>
      <w:r>
        <w:rPr>
          <w:rFonts w:hint="eastAsia" w:ascii="宋体" w:hAnsi="宋体" w:eastAsia="宋体" w:cs="宋体"/>
          <w:color w:val="000000"/>
          <w:sz w:val="24"/>
          <w:szCs w:val="24"/>
          <w:lang w:val="en-US" w:eastAsia="zh-CN"/>
        </w:rPr>
        <w:t>1)终端试跳仿真培训</w:t>
      </w:r>
      <w:bookmarkEnd w:id="62"/>
      <w:bookmarkEnd w:id="63"/>
      <w:bookmarkEnd w:id="64"/>
      <w:bookmarkEnd w:id="65"/>
      <w:bookmarkEnd w:id="66"/>
      <w:bookmarkEnd w:id="67"/>
      <w:bookmarkEnd w:id="68"/>
      <w:bookmarkEnd w:id="69"/>
      <w:bookmarkEnd w:id="70"/>
    </w:p>
    <w:p>
      <w:pPr>
        <w:ind w:firstLine="480" w:firstLineChars="200"/>
        <w:rPr>
          <w:rFonts w:hint="eastAsia" w:ascii="宋体" w:hAnsi="宋体" w:eastAsia="宋体" w:cs="宋体"/>
          <w:sz w:val="24"/>
          <w:szCs w:val="24"/>
        </w:rPr>
      </w:pPr>
      <w:r>
        <w:rPr>
          <w:rFonts w:hint="eastAsia" w:ascii="宋体" w:hAnsi="宋体" w:eastAsia="宋体" w:cs="宋体"/>
          <w:sz w:val="24"/>
          <w:szCs w:val="24"/>
        </w:rPr>
        <w:t>终端试跳仿真培训主要包括终端会话协商、回路监测、召测总视在功率、保电解除、拉闸、拉闸后召测视在功率、合闸、保电投入、完整试跳流程工作记录生成展示等。通过终端试跳仿真培训，可快速发现问题、定位问题、解决问题。</w:t>
      </w:r>
    </w:p>
    <w:p>
      <w:pPr>
        <w:spacing w:line="360" w:lineRule="auto"/>
        <w:ind w:firstLine="420" w:firstLineChars="0"/>
        <w:rPr>
          <w:rFonts w:hint="eastAsia" w:ascii="宋体" w:hAnsi="宋体" w:eastAsia="宋体" w:cs="宋体"/>
          <w:color w:val="000000"/>
          <w:sz w:val="24"/>
          <w:szCs w:val="24"/>
          <w:lang w:val="en-US" w:eastAsia="zh-CN"/>
        </w:rPr>
      </w:pPr>
      <w:bookmarkStart w:id="71" w:name="_Toc306"/>
      <w:bookmarkStart w:id="72" w:name="_Toc139219632"/>
      <w:bookmarkStart w:id="73" w:name="_Toc23487"/>
      <w:bookmarkStart w:id="74" w:name="_Toc20735"/>
      <w:bookmarkStart w:id="75" w:name="_Toc25184"/>
      <w:bookmarkStart w:id="76" w:name="_Toc8458"/>
      <w:bookmarkStart w:id="77" w:name="_Toc15185"/>
      <w:bookmarkStart w:id="78" w:name="_Toc26775"/>
      <w:bookmarkStart w:id="79" w:name="_Toc28403"/>
      <w:r>
        <w:rPr>
          <w:rFonts w:hint="eastAsia" w:ascii="宋体" w:hAnsi="宋体" w:eastAsia="宋体" w:cs="宋体"/>
          <w:color w:val="000000"/>
          <w:sz w:val="24"/>
          <w:szCs w:val="24"/>
          <w:lang w:val="en-US" w:eastAsia="zh-CN"/>
        </w:rPr>
        <w:t>2)导轨表试跳全流程仿真培训</w:t>
      </w:r>
      <w:bookmarkEnd w:id="71"/>
      <w:bookmarkEnd w:id="72"/>
      <w:bookmarkEnd w:id="73"/>
      <w:bookmarkEnd w:id="74"/>
      <w:bookmarkEnd w:id="75"/>
      <w:bookmarkEnd w:id="76"/>
      <w:bookmarkEnd w:id="77"/>
      <w:bookmarkEnd w:id="78"/>
      <w:bookmarkEnd w:id="79"/>
    </w:p>
    <w:p>
      <w:pPr>
        <w:ind w:firstLine="480" w:firstLineChars="200"/>
        <w:rPr>
          <w:rFonts w:hint="eastAsia" w:ascii="宋体" w:hAnsi="宋体" w:eastAsia="宋体" w:cs="宋体"/>
          <w:sz w:val="24"/>
          <w:szCs w:val="24"/>
        </w:rPr>
      </w:pPr>
      <w:r>
        <w:rPr>
          <w:rFonts w:hint="eastAsia" w:ascii="宋体" w:hAnsi="宋体" w:eastAsia="宋体" w:cs="宋体"/>
          <w:sz w:val="24"/>
          <w:szCs w:val="24"/>
        </w:rPr>
        <w:t>导轨表试跳仿真培训主要包括导轨表会话协商、回路监测、召测总视在功率、表计身份认证、拉闸、拉闸后召测视在功率、合闸、完整试跳流程工作记录生成展示等。通过导轨表试跳仿真培训，可快速发现导轨表试跳中的问题。</w:t>
      </w:r>
    </w:p>
    <w:p>
      <w:pPr>
        <w:spacing w:line="360" w:lineRule="auto"/>
        <w:ind w:firstLine="420" w:firstLineChars="0"/>
        <w:rPr>
          <w:rFonts w:hint="eastAsia" w:ascii="宋体" w:hAnsi="宋体" w:eastAsia="宋体" w:cs="宋体"/>
          <w:color w:val="000000"/>
          <w:sz w:val="24"/>
          <w:szCs w:val="24"/>
          <w:lang w:val="en-US" w:eastAsia="zh-CN"/>
        </w:rPr>
      </w:pPr>
      <w:bookmarkStart w:id="80" w:name="_Toc11866"/>
      <w:bookmarkStart w:id="81" w:name="_Toc21211"/>
      <w:bookmarkStart w:id="82" w:name="_Toc17070"/>
      <w:bookmarkStart w:id="83" w:name="_Toc139219633"/>
      <w:bookmarkStart w:id="84" w:name="_Toc14824"/>
      <w:bookmarkStart w:id="85" w:name="_Toc11871"/>
      <w:bookmarkStart w:id="86" w:name="_Toc9878"/>
      <w:bookmarkStart w:id="87" w:name="_Toc8127"/>
      <w:bookmarkStart w:id="88" w:name="_Toc19792"/>
      <w:r>
        <w:rPr>
          <w:rFonts w:hint="eastAsia" w:ascii="宋体" w:hAnsi="宋体" w:eastAsia="宋体" w:cs="宋体"/>
          <w:color w:val="000000"/>
          <w:sz w:val="24"/>
          <w:szCs w:val="24"/>
          <w:lang w:val="en-US" w:eastAsia="zh-CN"/>
        </w:rPr>
        <w:t>3)试跳异常仿真</w:t>
      </w:r>
      <w:bookmarkEnd w:id="80"/>
      <w:bookmarkEnd w:id="81"/>
      <w:bookmarkEnd w:id="82"/>
      <w:bookmarkEnd w:id="83"/>
      <w:bookmarkEnd w:id="84"/>
      <w:bookmarkEnd w:id="85"/>
      <w:bookmarkEnd w:id="86"/>
      <w:bookmarkEnd w:id="87"/>
      <w:bookmarkEnd w:id="88"/>
    </w:p>
    <w:p>
      <w:pPr>
        <w:ind w:firstLine="480" w:firstLineChars="200"/>
        <w:rPr>
          <w:rFonts w:hint="eastAsia" w:ascii="宋体" w:hAnsi="宋体" w:eastAsia="宋体" w:cs="宋体"/>
          <w:sz w:val="24"/>
          <w:szCs w:val="24"/>
        </w:rPr>
      </w:pPr>
      <w:r>
        <w:rPr>
          <w:rFonts w:hint="eastAsia" w:ascii="宋体" w:hAnsi="宋体" w:eastAsia="宋体" w:cs="宋体"/>
          <w:sz w:val="24"/>
          <w:szCs w:val="24"/>
        </w:rPr>
        <w:t>包括回路状态异常、会话协商异常、跳闸总视在功率异常及跳闸后视在功率异常仿真。</w:t>
      </w:r>
    </w:p>
    <w:p>
      <w:pPr>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cs="宋体"/>
          <w:color w:val="000000"/>
          <w:sz w:val="24"/>
          <w:szCs w:val="24"/>
          <w:lang w:val="en-US" w:eastAsia="zh-CN"/>
        </w:rPr>
        <w:t>.3.12.</w:t>
      </w:r>
      <w:r>
        <w:rPr>
          <w:rFonts w:hint="eastAsia" w:ascii="宋体" w:hAnsi="宋体" w:cs="宋体"/>
          <w:sz w:val="24"/>
          <w:szCs w:val="24"/>
          <w:lang w:val="en-US" w:eastAsia="zh-CN"/>
        </w:rPr>
        <w:t xml:space="preserve">3 </w:t>
      </w:r>
      <w:r>
        <w:rPr>
          <w:rFonts w:hint="eastAsia" w:ascii="宋体" w:hAnsi="宋体" w:eastAsia="宋体" w:cs="宋体"/>
          <w:sz w:val="24"/>
          <w:szCs w:val="24"/>
          <w:lang w:val="en-US" w:eastAsia="zh-CN"/>
        </w:rPr>
        <w:t>分钟级柔性调控</w:t>
      </w:r>
      <w:r>
        <w:rPr>
          <w:rFonts w:hint="eastAsia" w:ascii="宋体" w:hAnsi="宋体" w:eastAsia="宋体" w:cs="宋体"/>
          <w:sz w:val="24"/>
          <w:szCs w:val="24"/>
        </w:rPr>
        <w:t>仿真培训</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主要目的为研究造纸、水泥、钢铁、</w:t>
      </w:r>
      <w:r>
        <w:rPr>
          <w:rFonts w:hint="eastAsia" w:ascii="宋体" w:hAnsi="宋体" w:eastAsia="宋体" w:cs="宋体"/>
          <w:sz w:val="24"/>
          <w:szCs w:val="24"/>
          <w:lang w:val="en-US" w:eastAsia="zh-CN"/>
        </w:rPr>
        <w:t>铸造、</w:t>
      </w:r>
      <w:r>
        <w:rPr>
          <w:rFonts w:hint="eastAsia" w:ascii="宋体" w:hAnsi="宋体" w:eastAsia="宋体" w:cs="宋体"/>
          <w:sz w:val="24"/>
          <w:szCs w:val="24"/>
        </w:rPr>
        <w:t>冷链冷库等典型行业负荷，建立负荷运行特征曲线，设计分钟级负荷柔性控制场景下的全流程柔性控制实训方案。</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主控单元通过监测用户的可调负荷资源运行情况，制定相应的需求响应方案并下发至需求响应终端，需求响应终端接收事件后可通过交互设备确认相应方案，选择是否响应，确认响应后可在方案执行完毕后对需求响应效果进行评估，并且可对需求响应成功的事件（用户）进行响应电量计算。</w:t>
      </w:r>
    </w:p>
    <w:p>
      <w:pPr>
        <w:spacing w:line="360" w:lineRule="auto"/>
        <w:ind w:firstLine="420" w:firstLineChars="0"/>
        <w:rPr>
          <w:rFonts w:hint="eastAsia" w:ascii="宋体" w:hAnsi="宋体" w:eastAsia="宋体" w:cs="宋体"/>
          <w:color w:val="000000"/>
          <w:sz w:val="24"/>
          <w:szCs w:val="24"/>
          <w:lang w:val="en-US" w:eastAsia="zh-CN"/>
        </w:rPr>
      </w:pPr>
      <w:bookmarkStart w:id="89" w:name="_Toc139219635"/>
      <w:bookmarkStart w:id="90" w:name="_Toc23630"/>
      <w:bookmarkStart w:id="91" w:name="_Toc18427"/>
      <w:bookmarkStart w:id="92" w:name="_Toc15030"/>
      <w:bookmarkStart w:id="93" w:name="_Toc28819"/>
      <w:bookmarkStart w:id="94" w:name="_Toc16926"/>
      <w:bookmarkStart w:id="95" w:name="_Toc29909"/>
      <w:bookmarkStart w:id="96" w:name="_Toc20826"/>
      <w:bookmarkStart w:id="97" w:name="_Toc31232"/>
      <w:r>
        <w:rPr>
          <w:rFonts w:hint="eastAsia" w:ascii="宋体" w:hAnsi="宋体" w:eastAsia="宋体" w:cs="宋体"/>
          <w:color w:val="000000"/>
          <w:sz w:val="24"/>
          <w:szCs w:val="24"/>
          <w:lang w:val="en-US" w:eastAsia="zh-CN"/>
        </w:rPr>
        <w:t>1)工业企业需求响应柔性调控</w:t>
      </w:r>
      <w:bookmarkEnd w:id="89"/>
      <w:bookmarkEnd w:id="90"/>
      <w:bookmarkEnd w:id="91"/>
      <w:bookmarkEnd w:id="92"/>
      <w:bookmarkEnd w:id="93"/>
      <w:bookmarkEnd w:id="94"/>
      <w:bookmarkEnd w:id="95"/>
      <w:bookmarkEnd w:id="96"/>
      <w:bookmarkEnd w:id="97"/>
    </w:p>
    <w:p>
      <w:pPr>
        <w:numPr>
          <w:ilvl w:val="0"/>
          <w:numId w:val="22"/>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监测可调负荷资源运行状态及负荷</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档案管理中可维护需求响应终端档案，通过采集数据查看可查询上送需求响应终端总负荷数据以及子资源的可调负荷数据以及运行状态等。</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可模拟可调节负荷资源的运行状态以及负荷数据。</w:t>
      </w:r>
    </w:p>
    <w:p>
      <w:pPr>
        <w:numPr>
          <w:ilvl w:val="0"/>
          <w:numId w:val="22"/>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需求响应方案下发</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模拟系统主机根据上报的需求响应能力，下发需求响应事件(含指标)给需求响应终端。</w:t>
      </w:r>
    </w:p>
    <w:p>
      <w:pPr>
        <w:numPr>
          <w:ilvl w:val="0"/>
          <w:numId w:val="22"/>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用户交互设备确认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需求响应终端通过交互终端传递需求响应信号给用户，并依据智能算法得到适当的控制策略，向用户提出建议。</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用户根据交互终端传递的需求响应信号进行决策，不参与则直接退出本次响应，参与则可以进行模拟压降负荷。</w:t>
      </w:r>
    </w:p>
    <w:p>
      <w:pPr>
        <w:numPr>
          <w:ilvl w:val="0"/>
          <w:numId w:val="22"/>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用户模拟执行压降负荷</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通过3D或工业组态界面仿真水泥、钢铁、冷链冷库的生产控制过程、生产信息数据，即仿真工业企业的DCS或PLC生产控制系统的关键信息和控制节点，模拟执行压降负荷。</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用户也可根据交互终端反馈的负荷情况进行再次调整，确保调节指标落实。</w:t>
      </w:r>
    </w:p>
    <w:p>
      <w:pPr>
        <w:numPr>
          <w:ilvl w:val="0"/>
          <w:numId w:val="22"/>
        </w:numPr>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需求响应效果评估以及补贴计算</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响应时间结束后，模拟系统主机可对响应的需求响应方案效果进行评估，如判定成功可对需求响应方案可进行补贴计算，基于算法得出最后的补贴金额。</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可模拟用户不同的响应情况，包括“拒绝响应”、“参与响应但实际不响应”，“参与响应并实际响应”（小于50%，大于50%小于120%，大于120%）。</w:t>
      </w:r>
    </w:p>
    <w:p>
      <w:pPr>
        <w:spacing w:line="360" w:lineRule="auto"/>
        <w:ind w:firstLine="420" w:firstLineChars="0"/>
        <w:rPr>
          <w:rFonts w:hint="eastAsia" w:ascii="宋体" w:hAnsi="宋体" w:eastAsia="宋体" w:cs="宋体"/>
          <w:color w:val="000000"/>
          <w:sz w:val="24"/>
          <w:szCs w:val="24"/>
          <w:lang w:val="en-US" w:eastAsia="zh-CN"/>
        </w:rPr>
      </w:pPr>
      <w:bookmarkStart w:id="98" w:name="_Toc6113"/>
      <w:bookmarkStart w:id="99" w:name="_Toc23813"/>
      <w:bookmarkStart w:id="100" w:name="_Toc25815"/>
      <w:bookmarkStart w:id="101" w:name="_Toc139219636"/>
      <w:bookmarkStart w:id="102" w:name="_Toc32288"/>
      <w:bookmarkStart w:id="103" w:name="_Toc26711"/>
      <w:bookmarkStart w:id="104" w:name="_Toc29918"/>
      <w:bookmarkStart w:id="105" w:name="_Toc19953"/>
      <w:bookmarkStart w:id="106" w:name="_Toc14199"/>
      <w:r>
        <w:rPr>
          <w:rFonts w:hint="eastAsia" w:ascii="宋体" w:hAnsi="宋体" w:eastAsia="宋体" w:cs="宋体"/>
          <w:color w:val="000000"/>
          <w:sz w:val="24"/>
          <w:szCs w:val="24"/>
          <w:lang w:val="en-US" w:eastAsia="zh-CN"/>
        </w:rPr>
        <w:t>2)需求响应终端异常仿真</w:t>
      </w:r>
      <w:bookmarkEnd w:id="98"/>
      <w:bookmarkEnd w:id="99"/>
      <w:bookmarkEnd w:id="100"/>
      <w:bookmarkEnd w:id="101"/>
      <w:bookmarkEnd w:id="102"/>
      <w:bookmarkEnd w:id="103"/>
      <w:bookmarkEnd w:id="104"/>
      <w:bookmarkEnd w:id="105"/>
      <w:bookmarkEnd w:id="106"/>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数据在线率、采集成功率、数据完整率异常仿真，模拟终端SIM卡超流量或终端失电可影响需求响应终端在线率。模拟总资源和子资源设备的负荷数据以及可调能力影响采集成功率。</w:t>
      </w:r>
    </w:p>
    <w:p>
      <w:pPr>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模拟采集数据数据项缺失和断点影响采集完整率。</w:t>
      </w:r>
    </w:p>
    <w:p>
      <w:pPr>
        <w:pStyle w:val="4"/>
        <w:numPr>
          <w:ilvl w:val="0"/>
          <w:numId w:val="0"/>
        </w:numPr>
        <w:snapToGrid/>
        <w:spacing w:before="312"/>
        <w:rPr>
          <w:rFonts w:hint="default" w:hAnsi="宋体"/>
          <w:sz w:val="24"/>
          <w:szCs w:val="24"/>
          <w:lang w:val="en-US" w:eastAsia="zh-CN"/>
        </w:rPr>
      </w:pPr>
      <w:bookmarkStart w:id="107" w:name="_Toc22344"/>
      <w:r>
        <w:rPr>
          <w:rFonts w:hint="eastAsia" w:hAnsi="宋体"/>
          <w:sz w:val="24"/>
          <w:szCs w:val="24"/>
          <w:lang w:val="en-US" w:eastAsia="zh-CN"/>
        </w:rPr>
        <w:t>6调试与验收</w:t>
      </w:r>
      <w:bookmarkEnd w:id="107"/>
    </w:p>
    <w:bookmarkEnd w:id="11"/>
    <w:bookmarkEnd w:id="17"/>
    <w:bookmarkEnd w:id="18"/>
    <w:bookmarkEnd w:id="19"/>
    <w:bookmarkEnd w:id="20"/>
    <w:p>
      <w:pPr>
        <w:pStyle w:val="5"/>
        <w:numPr>
          <w:ilvl w:val="0"/>
          <w:numId w:val="0"/>
        </w:numPr>
        <w:rPr>
          <w:rFonts w:hint="eastAsia" w:hAnsi="宋体"/>
          <w:color w:val="000000"/>
          <w:sz w:val="24"/>
          <w:szCs w:val="24"/>
          <w:lang w:val="en-US" w:eastAsia="zh-CN"/>
        </w:rPr>
      </w:pPr>
      <w:bookmarkStart w:id="108" w:name="_Toc17837"/>
      <w:r>
        <w:rPr>
          <w:rFonts w:hint="eastAsia" w:hAnsi="宋体"/>
          <w:color w:val="000000"/>
          <w:sz w:val="24"/>
          <w:szCs w:val="24"/>
          <w:lang w:val="en-US" w:eastAsia="zh-CN"/>
        </w:rPr>
        <w:t>6.1 现场调试</w:t>
      </w:r>
      <w:bookmarkEnd w:id="108"/>
    </w:p>
    <w:p>
      <w:pPr>
        <w:ind w:firstLine="480" w:firstLineChars="200"/>
        <w:rPr>
          <w:rFonts w:hint="eastAsia" w:ascii="宋体" w:hAnsi="宋体" w:eastAsia="宋体" w:cs="宋体"/>
          <w:sz w:val="24"/>
          <w:szCs w:val="24"/>
          <w:lang w:val="en-US" w:eastAsia="zh-CN"/>
        </w:rPr>
      </w:pPr>
      <w:r>
        <w:rPr>
          <w:rFonts w:hint="eastAsia" w:ascii="宋体" w:hAnsi="宋体" w:eastAsia="宋体" w:cs="Times New Roman"/>
          <w:sz w:val="24"/>
          <w:szCs w:val="24"/>
        </w:rPr>
        <w:t>1）</w:t>
      </w:r>
      <w:r>
        <w:rPr>
          <w:rFonts w:hint="eastAsia" w:ascii="宋体" w:hAnsi="宋体" w:eastAsia="宋体" w:cs="宋体"/>
          <w:sz w:val="24"/>
          <w:szCs w:val="24"/>
          <w:lang w:val="en-US" w:eastAsia="zh-CN"/>
        </w:rPr>
        <w:t>设备运到现场安装完毕，招标方应通知投标方人员到场参加设备调试。投标方应派出有经验的专家提供技术服务。</w:t>
      </w:r>
    </w:p>
    <w:p>
      <w:pPr>
        <w:ind w:firstLine="480" w:firstLineChars="200"/>
        <w:rPr>
          <w:rFonts w:hint="eastAsia" w:ascii="宋体" w:hAnsi="宋体" w:eastAsia="宋体" w:cs="宋体"/>
          <w:sz w:val="24"/>
          <w:szCs w:val="24"/>
          <w:lang w:val="en-US" w:eastAsia="zh-CN"/>
        </w:rPr>
      </w:pPr>
      <w:r>
        <w:rPr>
          <w:rFonts w:hint="eastAsia" w:ascii="宋体" w:hAnsi="宋体" w:cs="Times New Roman"/>
          <w:sz w:val="24"/>
          <w:szCs w:val="24"/>
          <w:lang w:val="en-US" w:eastAsia="zh-CN"/>
        </w:rPr>
        <w:t>2</w:t>
      </w:r>
      <w:r>
        <w:rPr>
          <w:rFonts w:hint="eastAsia" w:ascii="宋体" w:hAnsi="宋体" w:eastAsia="宋体" w:cs="Times New Roman"/>
          <w:sz w:val="24"/>
          <w:szCs w:val="24"/>
        </w:rPr>
        <w:t>）</w:t>
      </w:r>
      <w:r>
        <w:rPr>
          <w:rFonts w:hint="eastAsia" w:ascii="宋体" w:hAnsi="宋体" w:eastAsia="宋体" w:cs="宋体"/>
          <w:sz w:val="24"/>
          <w:szCs w:val="24"/>
          <w:lang w:val="en-US" w:eastAsia="zh-CN"/>
        </w:rPr>
        <w:t>在调试过程中，若发现设备存在元器件损坏或不正常工作情况，投标方应负责更换。</w:t>
      </w:r>
    </w:p>
    <w:p>
      <w:pPr>
        <w:pStyle w:val="5"/>
        <w:numPr>
          <w:ilvl w:val="0"/>
          <w:numId w:val="0"/>
        </w:numPr>
        <w:rPr>
          <w:rFonts w:hint="eastAsia" w:hAnsi="宋体"/>
          <w:color w:val="000000"/>
          <w:sz w:val="24"/>
          <w:szCs w:val="24"/>
          <w:lang w:val="en-US" w:eastAsia="zh-CN"/>
        </w:rPr>
      </w:pPr>
      <w:bookmarkStart w:id="109" w:name="_Toc4085"/>
      <w:r>
        <w:rPr>
          <w:rFonts w:hint="eastAsia" w:hAnsi="宋体"/>
          <w:color w:val="000000"/>
          <w:sz w:val="24"/>
          <w:szCs w:val="24"/>
          <w:lang w:val="en-US" w:eastAsia="zh-CN"/>
        </w:rPr>
        <w:t>6.2 现场验收</w:t>
      </w:r>
      <w:bookmarkEnd w:id="109"/>
    </w:p>
    <w:p>
      <w:pPr>
        <w:ind w:firstLine="480" w:firstLineChars="200"/>
        <w:rPr>
          <w:rFonts w:hint="eastAsia" w:ascii="宋体" w:hAnsi="宋体" w:eastAsia="宋体" w:cs="宋体"/>
          <w:sz w:val="24"/>
          <w:szCs w:val="24"/>
          <w:lang w:val="en-US" w:eastAsia="zh-CN"/>
        </w:rPr>
      </w:pPr>
      <w:r>
        <w:rPr>
          <w:rFonts w:hint="eastAsia" w:ascii="宋体" w:hAnsi="宋体" w:eastAsia="宋体" w:cs="Times New Roman"/>
          <w:sz w:val="24"/>
          <w:szCs w:val="24"/>
        </w:rPr>
        <w:t>1）</w:t>
      </w:r>
      <w:r>
        <w:rPr>
          <w:rFonts w:hint="eastAsia" w:ascii="宋体" w:hAnsi="宋体" w:eastAsia="宋体" w:cs="宋体"/>
          <w:sz w:val="24"/>
          <w:szCs w:val="24"/>
          <w:lang w:val="en-US" w:eastAsia="zh-CN"/>
        </w:rPr>
        <w:t>现场验收应在所有设备安装调试完毕，且设备准备投入试运行时由项目单位或使用单位组织进行,并出具书面测试报告。</w:t>
      </w:r>
    </w:p>
    <w:p>
      <w:pPr>
        <w:ind w:firstLine="480" w:firstLineChars="200"/>
        <w:rPr>
          <w:rFonts w:hint="eastAsia" w:ascii="宋体" w:hAnsi="宋体" w:eastAsia="宋体" w:cs="宋体"/>
          <w:sz w:val="24"/>
          <w:szCs w:val="24"/>
          <w:lang w:val="en-US" w:eastAsia="zh-CN"/>
        </w:rPr>
      </w:pPr>
      <w:r>
        <w:rPr>
          <w:rFonts w:hint="eastAsia" w:ascii="宋体" w:hAnsi="宋体" w:cs="Times New Roman"/>
          <w:sz w:val="24"/>
          <w:szCs w:val="24"/>
          <w:lang w:val="en-US" w:eastAsia="zh-CN"/>
        </w:rPr>
        <w:t>2</w:t>
      </w:r>
      <w:r>
        <w:rPr>
          <w:rFonts w:hint="eastAsia" w:ascii="宋体" w:hAnsi="宋体" w:eastAsia="宋体" w:cs="Times New Roman"/>
          <w:sz w:val="24"/>
          <w:szCs w:val="24"/>
        </w:rPr>
        <w:t>）</w:t>
      </w:r>
      <w:r>
        <w:rPr>
          <w:rFonts w:hint="eastAsia" w:ascii="宋体" w:hAnsi="宋体" w:eastAsia="宋体" w:cs="宋体"/>
          <w:sz w:val="24"/>
          <w:szCs w:val="24"/>
          <w:lang w:val="en-US" w:eastAsia="zh-CN"/>
        </w:rPr>
        <w:t>备品备件、文档资料均作为验收的一部分。</w:t>
      </w:r>
    </w:p>
    <w:p>
      <w:pPr>
        <w:ind w:firstLine="480" w:firstLineChars="200"/>
        <w:rPr>
          <w:rFonts w:hint="eastAsia" w:ascii="宋体" w:hAnsi="宋体" w:eastAsia="宋体" w:cs="宋体"/>
          <w:sz w:val="24"/>
          <w:szCs w:val="24"/>
          <w:highlight w:val="none"/>
          <w:lang w:val="en-US" w:eastAsia="zh-CN"/>
        </w:rPr>
      </w:pPr>
      <w:r>
        <w:rPr>
          <w:rFonts w:hint="eastAsia" w:ascii="宋体" w:hAnsi="宋体" w:cs="Times New Roman"/>
          <w:sz w:val="24"/>
          <w:szCs w:val="24"/>
          <w:lang w:val="en-US" w:eastAsia="zh-CN"/>
        </w:rPr>
        <w:t>3</w:t>
      </w:r>
      <w:r>
        <w:rPr>
          <w:rFonts w:hint="eastAsia" w:ascii="宋体" w:hAnsi="宋体" w:eastAsia="宋体" w:cs="Times New Roman"/>
          <w:sz w:val="24"/>
          <w:szCs w:val="24"/>
        </w:rPr>
        <w:t>）</w:t>
      </w:r>
      <w:r>
        <w:rPr>
          <w:rFonts w:hint="eastAsia" w:ascii="宋体" w:hAnsi="宋体" w:eastAsia="宋体" w:cs="宋体"/>
          <w:sz w:val="24"/>
          <w:szCs w:val="24"/>
          <w:lang w:val="en-US" w:eastAsia="zh-CN"/>
        </w:rPr>
        <w:t>设备安装调试完毕，由招标方组织进行交接验收试验并出具书面验收报告</w:t>
      </w:r>
      <w:r>
        <w:rPr>
          <w:rFonts w:hint="eastAsia" w:ascii="宋体" w:hAnsi="宋体" w:eastAsia="宋体" w:cs="宋体"/>
          <w:sz w:val="24"/>
          <w:szCs w:val="24"/>
          <w:highlight w:val="none"/>
          <w:lang w:val="en-US" w:eastAsia="zh-CN"/>
        </w:rPr>
        <w:t>，招标方应通知投标方人员到场配合试验。</w:t>
      </w:r>
    </w:p>
    <w:p>
      <w:pPr>
        <w:ind w:firstLine="480" w:firstLineChars="200"/>
        <w:rPr>
          <w:rFonts w:hint="default" w:ascii="宋体" w:hAnsi="宋体" w:eastAsia="宋体" w:cs="宋体"/>
          <w:sz w:val="24"/>
          <w:szCs w:val="24"/>
          <w:highlight w:val="none"/>
          <w:lang w:val="en-US" w:eastAsia="zh-CN"/>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rPr>
        <w:t>）</w:t>
      </w:r>
      <w:r>
        <w:rPr>
          <w:rFonts w:hint="eastAsia" w:ascii="宋体" w:hAnsi="宋体" w:eastAsia="宋体" w:cs="宋体"/>
          <w:sz w:val="24"/>
          <w:szCs w:val="24"/>
          <w:highlight w:val="none"/>
          <w:lang w:val="en-US" w:eastAsia="zh-CN"/>
        </w:rPr>
        <w:t>验收试验项目按本技术规范书第5条所述的技术要求逐条进行验收试验，以判定产品是否满足本技术规范书要求。</w:t>
      </w:r>
    </w:p>
    <w:p>
      <w:pPr>
        <w:pStyle w:val="4"/>
        <w:numPr>
          <w:ilvl w:val="0"/>
          <w:numId w:val="0"/>
        </w:numPr>
        <w:snapToGrid/>
        <w:spacing w:before="312"/>
        <w:rPr>
          <w:rFonts w:hint="default" w:hAnsi="宋体"/>
          <w:sz w:val="24"/>
          <w:szCs w:val="24"/>
          <w:lang w:val="en-US" w:eastAsia="zh-CN"/>
        </w:rPr>
      </w:pPr>
      <w:bookmarkStart w:id="110" w:name="_Toc18661"/>
      <w:r>
        <w:rPr>
          <w:rFonts w:hint="eastAsia" w:hAnsi="宋体"/>
          <w:sz w:val="24"/>
          <w:szCs w:val="24"/>
          <w:lang w:val="en-US" w:eastAsia="zh-CN"/>
        </w:rPr>
        <w:t>7技术培训要求</w:t>
      </w:r>
      <w:bookmarkEnd w:id="110"/>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bookmarkStart w:id="111" w:name="_Toc276490915"/>
      <w:bookmarkStart w:id="112" w:name="_Toc276492433"/>
      <w:r>
        <w:rPr>
          <w:rFonts w:hint="eastAsia" w:ascii="宋体" w:hAnsi="宋体" w:eastAsia="宋体" w:cs="Times New Roman"/>
          <w:sz w:val="24"/>
          <w:szCs w:val="24"/>
        </w:rPr>
        <w:t>1）</w:t>
      </w:r>
      <w:r>
        <w:rPr>
          <w:rFonts w:hint="eastAsia"/>
          <w:sz w:val="24"/>
          <w:szCs w:val="24"/>
        </w:rPr>
        <w:t>投标方应选派有经验的技术人员, 对安装和运行人员免费培训。</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ascii="宋体" w:hAnsi="宋体" w:cs="Times New Roman"/>
          <w:sz w:val="24"/>
          <w:szCs w:val="24"/>
          <w:lang w:val="en-US" w:eastAsia="zh-CN"/>
        </w:rPr>
        <w:t>2</w:t>
      </w:r>
      <w:r>
        <w:rPr>
          <w:rFonts w:hint="eastAsia" w:ascii="宋体" w:hAnsi="宋体" w:eastAsia="宋体" w:cs="Times New Roman"/>
          <w:sz w:val="24"/>
          <w:szCs w:val="24"/>
        </w:rPr>
        <w:t>）</w:t>
      </w:r>
      <w:r>
        <w:rPr>
          <w:rFonts w:hint="eastAsia"/>
          <w:sz w:val="24"/>
          <w:szCs w:val="24"/>
        </w:rPr>
        <w:t>投标方负责对招标方的人员进行现场培训，培训内容包括：设备安装调试、运行维护等。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ascii="宋体" w:hAnsi="宋体" w:cs="Times New Roman"/>
          <w:sz w:val="24"/>
          <w:szCs w:val="24"/>
          <w:lang w:val="en-US" w:eastAsia="zh-CN"/>
        </w:rPr>
        <w:t>3</w:t>
      </w:r>
      <w:r>
        <w:rPr>
          <w:rFonts w:hint="eastAsia" w:ascii="宋体" w:hAnsi="宋体" w:eastAsia="宋体" w:cs="Times New Roman"/>
          <w:sz w:val="24"/>
          <w:szCs w:val="24"/>
        </w:rPr>
        <w:t>）</w:t>
      </w:r>
      <w:r>
        <w:rPr>
          <w:rFonts w:hint="eastAsia"/>
          <w:sz w:val="24"/>
          <w:szCs w:val="24"/>
        </w:rPr>
        <w:t>投标方应向受训人员提供必要的技术资料、图纸、参考材料、培训手册、工具等。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eastAsia="宋体"/>
          <w:sz w:val="24"/>
          <w:szCs w:val="24"/>
          <w:lang w:val="en-US"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rPr>
        <w:t>）</w:t>
      </w:r>
      <w:r>
        <w:rPr>
          <w:rFonts w:hint="eastAsia"/>
          <w:sz w:val="24"/>
          <w:szCs w:val="24"/>
        </w:rPr>
        <w:t>投标方应定出培训大纲及培训计划交招标方确认，根据招标方实际需求进行修改。</w:t>
      </w:r>
    </w:p>
    <w:p>
      <w:pPr>
        <w:pStyle w:val="4"/>
        <w:numPr>
          <w:ilvl w:val="0"/>
          <w:numId w:val="0"/>
        </w:numPr>
        <w:snapToGrid/>
        <w:spacing w:before="312"/>
        <w:rPr>
          <w:rFonts w:hint="eastAsia" w:hAnsi="宋体"/>
          <w:sz w:val="24"/>
          <w:szCs w:val="24"/>
        </w:rPr>
      </w:pPr>
      <w:bookmarkStart w:id="113" w:name="_Toc399493399"/>
      <w:bookmarkStart w:id="114" w:name="_Toc3631"/>
      <w:r>
        <w:rPr>
          <w:rFonts w:hint="eastAsia" w:hAnsi="宋体"/>
          <w:sz w:val="24"/>
          <w:szCs w:val="24"/>
          <w:lang w:val="en-US" w:eastAsia="zh-CN"/>
        </w:rPr>
        <w:t>8</w:t>
      </w:r>
      <w:r>
        <w:rPr>
          <w:rFonts w:hint="eastAsia" w:hAnsi="宋体"/>
          <w:sz w:val="24"/>
          <w:szCs w:val="24"/>
        </w:rPr>
        <w:t>技术文件要求</w:t>
      </w:r>
      <w:bookmarkEnd w:id="113"/>
      <w:bookmarkEnd w:id="114"/>
    </w:p>
    <w:p>
      <w:pPr>
        <w:adjustRightInd w:val="0"/>
        <w:snapToGrid w:val="0"/>
        <w:spacing w:line="360" w:lineRule="auto"/>
        <w:ind w:firstLine="480" w:firstLineChars="200"/>
        <w:rPr>
          <w:sz w:val="24"/>
          <w:szCs w:val="24"/>
        </w:rPr>
      </w:pPr>
      <w:r>
        <w:rPr>
          <w:rFonts w:hint="eastAsia"/>
          <w:sz w:val="24"/>
          <w:szCs w:val="24"/>
        </w:rPr>
        <w:t>在设备到货时，投标方应按招标方要求提供满足本次采购设备安装、调试、使用、维护所需要的相关技术文件纸质版至少3套，电子版资料2套。投标方提供的所有资料均应为中文版或中英文对照版。投标方提供本次采购设备所需的软件应为原装正版软件。具体要求提供资料如下：</w:t>
      </w:r>
    </w:p>
    <w:p>
      <w:pPr>
        <w:pStyle w:val="28"/>
        <w:adjustRightInd w:val="0"/>
        <w:snapToGrid w:val="0"/>
        <w:spacing w:line="360" w:lineRule="auto"/>
        <w:ind w:firstLine="480"/>
        <w:rPr>
          <w:rFonts w:eastAsia="宋体" w:cs="Times New Roman"/>
          <w:sz w:val="24"/>
          <w:szCs w:val="24"/>
        </w:rPr>
      </w:pPr>
      <w:r>
        <w:rPr>
          <w:rFonts w:eastAsia="宋体" w:cs="Times New Roman"/>
          <w:sz w:val="24"/>
          <w:szCs w:val="24"/>
        </w:rPr>
        <w:t>a</w:t>
      </w:r>
      <w:r>
        <w:rPr>
          <w:rFonts w:hint="eastAsia" w:eastAsia="宋体" w:cs="Times New Roman"/>
          <w:sz w:val="24"/>
          <w:szCs w:val="24"/>
        </w:rPr>
        <w:t>.出厂试验报告；</w:t>
      </w:r>
    </w:p>
    <w:p>
      <w:pPr>
        <w:pStyle w:val="28"/>
        <w:adjustRightInd w:val="0"/>
        <w:snapToGrid w:val="0"/>
        <w:spacing w:line="360" w:lineRule="auto"/>
        <w:ind w:firstLine="480"/>
        <w:rPr>
          <w:rFonts w:eastAsia="宋体" w:cs="Times New Roman"/>
          <w:sz w:val="24"/>
          <w:szCs w:val="24"/>
        </w:rPr>
      </w:pPr>
      <w:r>
        <w:rPr>
          <w:rFonts w:hint="eastAsia" w:eastAsia="宋体" w:cs="Times New Roman"/>
          <w:sz w:val="24"/>
          <w:szCs w:val="24"/>
        </w:rPr>
        <w:t>b.产品合格证；</w:t>
      </w:r>
    </w:p>
    <w:p>
      <w:pPr>
        <w:pStyle w:val="28"/>
        <w:adjustRightInd w:val="0"/>
        <w:snapToGrid w:val="0"/>
        <w:spacing w:line="360" w:lineRule="auto"/>
        <w:ind w:firstLine="480"/>
        <w:rPr>
          <w:rFonts w:eastAsia="宋体" w:cs="Times New Roman"/>
          <w:sz w:val="24"/>
          <w:szCs w:val="24"/>
        </w:rPr>
      </w:pPr>
      <w:r>
        <w:rPr>
          <w:rFonts w:hint="eastAsia" w:eastAsia="宋体" w:cs="Times New Roman"/>
          <w:sz w:val="24"/>
          <w:szCs w:val="24"/>
        </w:rPr>
        <w:t>c.产品安装说明书和产品使用手册（包括：软件和硬件安装使用说明、系统功能说明、调试方法、维护项目、培训教程等等）；</w:t>
      </w:r>
    </w:p>
    <w:p>
      <w:pPr>
        <w:pStyle w:val="28"/>
        <w:adjustRightInd w:val="0"/>
        <w:snapToGrid w:val="0"/>
        <w:spacing w:line="360" w:lineRule="auto"/>
        <w:ind w:firstLine="480"/>
        <w:rPr>
          <w:rFonts w:eastAsia="宋体" w:cs="Times New Roman"/>
          <w:sz w:val="24"/>
          <w:szCs w:val="24"/>
        </w:rPr>
      </w:pPr>
      <w:r>
        <w:rPr>
          <w:rFonts w:hint="eastAsia" w:eastAsia="宋体" w:cs="Times New Roman"/>
          <w:sz w:val="24"/>
          <w:szCs w:val="24"/>
        </w:rPr>
        <w:t>d.其它相关图纸资料、测试数据等</w:t>
      </w:r>
      <w:bookmarkEnd w:id="111"/>
      <w:bookmarkEnd w:id="112"/>
      <w:r>
        <w:rPr>
          <w:rFonts w:hint="eastAsia" w:eastAsia="宋体" w:cs="Times New Roman"/>
          <w:sz w:val="24"/>
          <w:szCs w:val="24"/>
        </w:rPr>
        <w:t>。</w:t>
      </w:r>
    </w:p>
    <w:p>
      <w:pPr>
        <w:pStyle w:val="4"/>
        <w:numPr>
          <w:ilvl w:val="0"/>
          <w:numId w:val="0"/>
        </w:numPr>
        <w:snapToGrid/>
        <w:spacing w:before="312" w:line="480" w:lineRule="auto"/>
        <w:rPr>
          <w:rFonts w:hint="eastAsia" w:hAnsi="宋体"/>
          <w:sz w:val="24"/>
          <w:szCs w:val="24"/>
        </w:rPr>
      </w:pPr>
      <w:bookmarkStart w:id="115" w:name="_Toc276492435"/>
      <w:bookmarkStart w:id="116" w:name="_Toc276490917"/>
      <w:bookmarkStart w:id="117" w:name="_Toc279695207"/>
      <w:bookmarkStart w:id="118" w:name="_Toc1968"/>
      <w:r>
        <w:rPr>
          <w:rFonts w:hint="eastAsia" w:hAnsi="宋体"/>
          <w:sz w:val="24"/>
          <w:szCs w:val="24"/>
          <w:lang w:val="en-US" w:eastAsia="zh-CN"/>
        </w:rPr>
        <w:t>9</w:t>
      </w:r>
      <w:r>
        <w:rPr>
          <w:rFonts w:hint="eastAsia" w:hAnsi="宋体"/>
          <w:sz w:val="24"/>
          <w:szCs w:val="24"/>
        </w:rPr>
        <w:t>监造、包装、运输、安装</w:t>
      </w:r>
      <w:bookmarkEnd w:id="115"/>
      <w:bookmarkEnd w:id="116"/>
      <w:bookmarkEnd w:id="117"/>
      <w:r>
        <w:rPr>
          <w:rFonts w:hint="eastAsia" w:hAnsi="宋体"/>
          <w:sz w:val="24"/>
          <w:szCs w:val="24"/>
        </w:rPr>
        <w:t>及质量保证</w:t>
      </w:r>
      <w:bookmarkEnd w:id="118"/>
    </w:p>
    <w:p>
      <w:pPr>
        <w:pStyle w:val="5"/>
        <w:numPr>
          <w:ilvl w:val="0"/>
          <w:numId w:val="0"/>
        </w:numPr>
        <w:rPr>
          <w:rFonts w:hint="eastAsia" w:hAnsi="宋体"/>
          <w:sz w:val="24"/>
          <w:szCs w:val="24"/>
        </w:rPr>
      </w:pPr>
      <w:bookmarkStart w:id="119" w:name="_Toc276492370"/>
      <w:bookmarkStart w:id="120" w:name="_Toc276490898"/>
      <w:bookmarkStart w:id="121" w:name="_Toc279695208"/>
      <w:bookmarkStart w:id="122" w:name="_Toc12798"/>
      <w:bookmarkStart w:id="123" w:name="_Toc53672785"/>
      <w:bookmarkStart w:id="124" w:name="_Toc472997247"/>
      <w:bookmarkStart w:id="125" w:name="_Toc200531202"/>
      <w:bookmarkStart w:id="126" w:name="_Toc471528253"/>
      <w:r>
        <w:rPr>
          <w:rFonts w:hint="eastAsia" w:hAnsi="宋体"/>
          <w:sz w:val="24"/>
          <w:szCs w:val="24"/>
          <w:lang w:val="en-US" w:eastAsia="zh-CN"/>
        </w:rPr>
        <w:t>9</w:t>
      </w:r>
      <w:r>
        <w:rPr>
          <w:rFonts w:hint="eastAsia" w:hAnsi="宋体"/>
          <w:sz w:val="24"/>
          <w:szCs w:val="24"/>
        </w:rPr>
        <w:t>.1监造</w:t>
      </w:r>
      <w:bookmarkEnd w:id="119"/>
      <w:bookmarkEnd w:id="120"/>
      <w:bookmarkEnd w:id="121"/>
      <w:bookmarkEnd w:id="122"/>
    </w:p>
    <w:p>
      <w:pPr>
        <w:ind w:firstLine="480" w:firstLineChars="200"/>
        <w:rPr>
          <w:rFonts w:hint="eastAsia" w:ascii="宋体" w:hAnsi="宋体"/>
          <w:sz w:val="24"/>
        </w:rPr>
      </w:pPr>
      <w:r>
        <w:rPr>
          <w:rFonts w:hint="eastAsia" w:ascii="宋体" w:hAnsi="宋体"/>
          <w:sz w:val="24"/>
        </w:rPr>
        <w:t>本标书采购设备无监造要求。</w:t>
      </w:r>
    </w:p>
    <w:p>
      <w:pPr>
        <w:pStyle w:val="5"/>
        <w:numPr>
          <w:ilvl w:val="0"/>
          <w:numId w:val="0"/>
        </w:numPr>
        <w:rPr>
          <w:rFonts w:hint="eastAsia" w:hAnsi="宋体"/>
          <w:sz w:val="24"/>
          <w:szCs w:val="24"/>
        </w:rPr>
      </w:pPr>
      <w:bookmarkStart w:id="127" w:name="_Toc21971"/>
      <w:bookmarkStart w:id="128" w:name="_Toc276492436"/>
      <w:bookmarkStart w:id="129" w:name="_Toc279695209"/>
      <w:bookmarkStart w:id="130" w:name="_Toc276301528"/>
      <w:bookmarkStart w:id="131" w:name="_Toc276490918"/>
      <w:r>
        <w:rPr>
          <w:rFonts w:hint="eastAsia" w:hAnsi="宋体"/>
          <w:sz w:val="24"/>
          <w:szCs w:val="24"/>
          <w:lang w:val="en-US" w:eastAsia="zh-CN"/>
        </w:rPr>
        <w:t>9</w:t>
      </w:r>
      <w:r>
        <w:rPr>
          <w:rFonts w:hint="eastAsia" w:hAnsi="宋体"/>
          <w:sz w:val="24"/>
          <w:szCs w:val="24"/>
        </w:rPr>
        <w:t>.2包装</w:t>
      </w:r>
      <w:bookmarkEnd w:id="123"/>
      <w:bookmarkEnd w:id="124"/>
      <w:bookmarkEnd w:id="125"/>
      <w:bookmarkEnd w:id="126"/>
      <w:bookmarkEnd w:id="127"/>
      <w:bookmarkEnd w:id="128"/>
      <w:bookmarkEnd w:id="129"/>
      <w:bookmarkEnd w:id="130"/>
      <w:bookmarkEnd w:id="131"/>
    </w:p>
    <w:p>
      <w:pPr>
        <w:pStyle w:val="28"/>
        <w:adjustRightInd w:val="0"/>
        <w:snapToGrid w:val="0"/>
        <w:spacing w:line="360" w:lineRule="auto"/>
        <w:ind w:firstLine="480"/>
        <w:rPr>
          <w:rFonts w:hint="eastAsia" w:ascii="宋体" w:hAnsi="宋体" w:eastAsia="宋体" w:cs="Times New Roman"/>
          <w:sz w:val="24"/>
          <w:szCs w:val="24"/>
        </w:rPr>
      </w:pPr>
      <w:bookmarkStart w:id="132" w:name="_Toc276301529"/>
      <w:bookmarkStart w:id="133" w:name="_Toc276490919"/>
      <w:bookmarkStart w:id="134" w:name="_Toc276492437"/>
      <w:r>
        <w:rPr>
          <w:rFonts w:hint="eastAsia" w:ascii="宋体" w:hAnsi="宋体" w:eastAsia="宋体" w:cs="Times New Roman"/>
          <w:sz w:val="24"/>
          <w:szCs w:val="24"/>
        </w:rPr>
        <w:t>1）</w:t>
      </w:r>
      <w:r>
        <w:rPr>
          <w:rFonts w:ascii="宋体" w:hAnsi="宋体" w:eastAsia="宋体" w:cs="Times New Roman"/>
          <w:sz w:val="24"/>
          <w:szCs w:val="24"/>
        </w:rPr>
        <w:t>要严格按照制造厂给出的说明书对设备进行包装、运输和储存。制造厂应在交货前的适当时间提供设备的运输和储存说明书。</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2）设备</w:t>
      </w:r>
      <w:r>
        <w:rPr>
          <w:rFonts w:ascii="宋体" w:hAnsi="宋体" w:eastAsia="宋体" w:cs="Times New Roman"/>
          <w:sz w:val="24"/>
          <w:szCs w:val="24"/>
        </w:rPr>
        <w:t>制造完成并通过试验后应及时包装，否则应得到切实的保护。其包装也应符合铁路、公路和海运部门的有关规定。</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包装箱上应有明显的包装储运图示标志，并应标明招标方的订货号和发货号。</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4）设备</w:t>
      </w:r>
      <w:r>
        <w:rPr>
          <w:rFonts w:ascii="宋体" w:hAnsi="宋体" w:eastAsia="宋体" w:cs="Times New Roman"/>
          <w:sz w:val="24"/>
          <w:szCs w:val="24"/>
        </w:rPr>
        <w:t>的包装应能保证</w:t>
      </w:r>
      <w:r>
        <w:rPr>
          <w:rFonts w:hint="eastAsia" w:ascii="宋体" w:hAnsi="宋体" w:eastAsia="宋体" w:cs="Times New Roman"/>
          <w:sz w:val="24"/>
          <w:szCs w:val="24"/>
        </w:rPr>
        <w:t>设备</w:t>
      </w:r>
      <w:r>
        <w:rPr>
          <w:rFonts w:ascii="宋体" w:hAnsi="宋体" w:eastAsia="宋体" w:cs="Times New Roman"/>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5"/>
        <w:numPr>
          <w:ilvl w:val="0"/>
          <w:numId w:val="0"/>
        </w:numPr>
        <w:rPr>
          <w:rFonts w:hint="eastAsia" w:hAnsi="宋体"/>
          <w:sz w:val="24"/>
          <w:szCs w:val="24"/>
        </w:rPr>
      </w:pPr>
      <w:bookmarkStart w:id="135" w:name="_Toc279695210"/>
      <w:bookmarkStart w:id="136" w:name="_Toc3207"/>
      <w:r>
        <w:rPr>
          <w:rFonts w:hint="eastAsia" w:hAnsi="宋体"/>
          <w:sz w:val="24"/>
          <w:szCs w:val="24"/>
          <w:lang w:val="en-US" w:eastAsia="zh-CN"/>
        </w:rPr>
        <w:t>9</w:t>
      </w:r>
      <w:r>
        <w:rPr>
          <w:rFonts w:hint="eastAsia" w:hAnsi="宋体"/>
          <w:sz w:val="24"/>
          <w:szCs w:val="24"/>
        </w:rPr>
        <w:t>.3运输</w:t>
      </w:r>
      <w:bookmarkEnd w:id="132"/>
      <w:bookmarkEnd w:id="133"/>
      <w:bookmarkEnd w:id="134"/>
      <w:bookmarkEnd w:id="135"/>
      <w:bookmarkEnd w:id="136"/>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1）设备</w:t>
      </w:r>
      <w:r>
        <w:rPr>
          <w:rFonts w:ascii="宋体" w:hAnsi="宋体" w:eastAsia="宋体" w:cs="Times New Roman"/>
          <w:sz w:val="24"/>
          <w:szCs w:val="24"/>
        </w:rPr>
        <w:t>单独运输的零部件应有标志，便于用户安装装配。</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整体产品或分别运输的部件，都要适合于运输及装卸的要求。</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制造厂应提供按全部解体检修用的备品备件和装用机具，随同产品发运。</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随同运输的产品应附有装箱清单，产品所需提供的技术资料应完整无缺。</w:t>
      </w:r>
    </w:p>
    <w:p>
      <w:pPr>
        <w:pStyle w:val="5"/>
        <w:numPr>
          <w:ilvl w:val="0"/>
          <w:numId w:val="0"/>
        </w:numPr>
        <w:rPr>
          <w:rFonts w:hint="eastAsia" w:hAnsi="宋体"/>
          <w:sz w:val="24"/>
          <w:szCs w:val="24"/>
        </w:rPr>
      </w:pPr>
      <w:bookmarkStart w:id="137" w:name="_Toc276492438"/>
      <w:bookmarkStart w:id="138" w:name="_Toc276490920"/>
      <w:bookmarkStart w:id="139" w:name="_Toc276301530"/>
      <w:bookmarkStart w:id="140" w:name="_Toc8841"/>
      <w:bookmarkStart w:id="141" w:name="_Toc279695211"/>
      <w:r>
        <w:rPr>
          <w:rFonts w:hint="eastAsia" w:hAnsi="宋体"/>
          <w:sz w:val="24"/>
          <w:szCs w:val="24"/>
          <w:lang w:val="en-US" w:eastAsia="zh-CN"/>
        </w:rPr>
        <w:t>9</w:t>
      </w:r>
      <w:r>
        <w:rPr>
          <w:rFonts w:hint="eastAsia" w:hAnsi="宋体"/>
          <w:sz w:val="24"/>
          <w:szCs w:val="24"/>
        </w:rPr>
        <w:t>.4安装</w:t>
      </w:r>
      <w:bookmarkEnd w:id="137"/>
      <w:bookmarkEnd w:id="138"/>
      <w:bookmarkEnd w:id="139"/>
      <w:r>
        <w:rPr>
          <w:rFonts w:hint="eastAsia" w:hAnsi="宋体"/>
          <w:sz w:val="24"/>
          <w:szCs w:val="24"/>
        </w:rPr>
        <w:t>使用指导</w:t>
      </w:r>
      <w:bookmarkEnd w:id="140"/>
      <w:bookmarkEnd w:id="141"/>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投标方应在本标书采购设备首次使用时或必要时，安排技术人员提供现场安装和技术指导服务，并确保招标方现场技术人员熟练掌握设备功能和使用。设备在现场搬运、吊装就位和安装、测试、试验时，应按照GB26164.1《电业安全工作规程第1部分：热力和机械》的要求进行。</w:t>
      </w:r>
    </w:p>
    <w:p>
      <w:pPr>
        <w:pStyle w:val="5"/>
        <w:numPr>
          <w:ilvl w:val="0"/>
          <w:numId w:val="0"/>
        </w:numPr>
        <w:rPr>
          <w:rFonts w:hint="eastAsia" w:hAnsi="宋体"/>
          <w:sz w:val="24"/>
          <w:szCs w:val="24"/>
        </w:rPr>
      </w:pPr>
      <w:bookmarkStart w:id="142" w:name="_Toc4118"/>
      <w:r>
        <w:rPr>
          <w:rFonts w:hint="eastAsia" w:hAnsi="宋体"/>
          <w:sz w:val="24"/>
          <w:szCs w:val="24"/>
          <w:lang w:val="en-US" w:eastAsia="zh-CN"/>
        </w:rPr>
        <w:t>9</w:t>
      </w:r>
      <w:r>
        <w:rPr>
          <w:rFonts w:hint="eastAsia" w:hAnsi="宋体"/>
          <w:sz w:val="24"/>
          <w:szCs w:val="24"/>
        </w:rPr>
        <w:t>.5质量保证</w:t>
      </w:r>
      <w:bookmarkEnd w:id="142"/>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1）全部设备必须是全新的，持久耐用的，应满足作为一个完整产品所能满足的全部要求。投标方应保证设备在规定的使用条件下运行、并按使用说明书进行安装和维护、预期使用寿命应不少于12年</w:t>
      </w:r>
      <w:r>
        <w:rPr>
          <w:rFonts w:ascii="宋体" w:hAnsi="宋体" w:eastAsia="宋体" w:cs="Times New Roman"/>
          <w:sz w:val="24"/>
          <w:szCs w:val="24"/>
        </w:rPr>
        <w:t>。</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2）投标方应对其整组设备在到货后提供不少于3年的“三包”质量保证。之后如发生产品损坏，投标方应及时为本组装置提供维修部件，并按最近的投标价提供。</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3）投标方应保证制造过程中的所有工艺、材料试验等</w:t>
      </w:r>
      <w:r>
        <w:rPr>
          <w:rFonts w:ascii="宋体" w:hAnsi="宋体" w:eastAsia="宋体" w:cs="Times New Roman"/>
          <w:sz w:val="24"/>
          <w:szCs w:val="24"/>
        </w:rPr>
        <w:t>（</w:t>
      </w:r>
      <w:r>
        <w:rPr>
          <w:rFonts w:hint="eastAsia" w:ascii="宋体" w:hAnsi="宋体" w:eastAsia="宋体" w:cs="Times New Roman"/>
          <w:sz w:val="24"/>
          <w:szCs w:val="24"/>
        </w:rPr>
        <w:t>包括投标方的外购件在内</w:t>
      </w:r>
      <w:r>
        <w:rPr>
          <w:rFonts w:ascii="宋体" w:hAnsi="宋体" w:eastAsia="宋体" w:cs="Times New Roman"/>
          <w:sz w:val="24"/>
          <w:szCs w:val="24"/>
        </w:rPr>
        <w:t>）</w:t>
      </w:r>
      <w:r>
        <w:rPr>
          <w:rFonts w:hint="eastAsia" w:ascii="宋体" w:hAnsi="宋体" w:eastAsia="宋体" w:cs="Times New Roman"/>
          <w:sz w:val="24"/>
          <w:szCs w:val="24"/>
        </w:rPr>
        <w:t>均应符合本标准的规定。若招标方根据运行经验指定投标方提供某种外购零部件</w:t>
      </w:r>
      <w:r>
        <w:rPr>
          <w:rFonts w:ascii="宋体" w:hAnsi="宋体" w:eastAsia="宋体" w:cs="Times New Roman"/>
          <w:sz w:val="24"/>
          <w:szCs w:val="24"/>
        </w:rPr>
        <w:t>，</w:t>
      </w:r>
      <w:r>
        <w:rPr>
          <w:rFonts w:hint="eastAsia" w:ascii="宋体" w:hAnsi="宋体" w:eastAsia="宋体" w:cs="Times New Roman"/>
          <w:sz w:val="24"/>
          <w:szCs w:val="24"/>
        </w:rPr>
        <w:t>投标方应积极配合。</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4）附属及配套设备必须满足有关行业标准的要求</w:t>
      </w:r>
      <w:r>
        <w:rPr>
          <w:rFonts w:ascii="宋体" w:hAnsi="宋体" w:eastAsia="宋体" w:cs="Times New Roman"/>
          <w:sz w:val="24"/>
          <w:szCs w:val="24"/>
        </w:rPr>
        <w:t>，</w:t>
      </w:r>
      <w:r>
        <w:rPr>
          <w:rFonts w:hint="eastAsia" w:ascii="宋体" w:hAnsi="宋体" w:eastAsia="宋体" w:cs="Times New Roman"/>
          <w:sz w:val="24"/>
          <w:szCs w:val="24"/>
        </w:rPr>
        <w:t>并提供试验报告和产品合格证。</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5）投标方应有遵守本标准中各条款和工作项目的</w:t>
      </w:r>
      <w:r>
        <w:rPr>
          <w:rFonts w:ascii="宋体" w:hAnsi="宋体" w:eastAsia="宋体" w:cs="Times New Roman"/>
          <w:sz w:val="24"/>
          <w:szCs w:val="24"/>
        </w:rPr>
        <w:t>ISO900</w:t>
      </w:r>
      <w:r>
        <w:rPr>
          <w:rFonts w:hint="eastAsia" w:ascii="宋体" w:hAnsi="宋体" w:eastAsia="宋体" w:cs="Times New Roman"/>
          <w:sz w:val="24"/>
          <w:szCs w:val="24"/>
        </w:rPr>
        <w:t>0-</w:t>
      </w:r>
      <w:r>
        <w:rPr>
          <w:rFonts w:ascii="宋体" w:hAnsi="宋体" w:eastAsia="宋体" w:cs="Times New Roman"/>
          <w:sz w:val="24"/>
          <w:szCs w:val="24"/>
        </w:rPr>
        <w:t>GB/T1900</w:t>
      </w:r>
      <w:r>
        <w:rPr>
          <w:rFonts w:hint="eastAsia" w:ascii="宋体" w:hAnsi="宋体" w:eastAsia="宋体" w:cs="Times New Roman"/>
          <w:sz w:val="24"/>
          <w:szCs w:val="24"/>
        </w:rPr>
        <w:t>0质量保证体系</w:t>
      </w:r>
      <w:r>
        <w:rPr>
          <w:rFonts w:ascii="宋体" w:hAnsi="宋体" w:eastAsia="宋体" w:cs="Times New Roman"/>
          <w:sz w:val="24"/>
          <w:szCs w:val="24"/>
        </w:rPr>
        <w:t>，</w:t>
      </w:r>
      <w:r>
        <w:rPr>
          <w:rFonts w:hint="eastAsia" w:ascii="宋体" w:hAnsi="宋体" w:eastAsia="宋体" w:cs="Times New Roman"/>
          <w:sz w:val="24"/>
          <w:szCs w:val="24"/>
        </w:rPr>
        <w:t>该质量保证体系已经通过国家认证并在正常运转。</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6）仪器到达用户所在地后,由投标方的技术人员前往现场进行仪器的安装、测试,并免费对招标方技术人员进行软硬件操作、仪器的保养、日常维护等方面的培训。</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7）对仪器在质保期内出现的故障,投标方人员在接到通知后应在2工作日内派技术人员到现场检查处理,并立刻提出处理意见,免费进行维修。</w:t>
      </w:r>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8）对于质保期已过的仪器,厂家将负责终身维修。对于一般的故障,处理时间15工作日内。对于严重的故障，将根据情况安排维修时间的长短。</w:t>
      </w:r>
    </w:p>
    <w:p>
      <w:pPr>
        <w:pStyle w:val="4"/>
        <w:numPr>
          <w:ilvl w:val="0"/>
          <w:numId w:val="0"/>
        </w:numPr>
        <w:snapToGrid/>
        <w:spacing w:before="312" w:line="480" w:lineRule="auto"/>
        <w:rPr>
          <w:rFonts w:hint="eastAsia" w:hAnsi="宋体"/>
          <w:sz w:val="24"/>
          <w:szCs w:val="24"/>
        </w:rPr>
      </w:pPr>
      <w:bookmarkStart w:id="143" w:name="_Toc24292"/>
      <w:bookmarkStart w:id="144" w:name="_Toc287602849"/>
      <w:r>
        <w:rPr>
          <w:rFonts w:hint="eastAsia" w:hAnsi="宋体"/>
          <w:sz w:val="24"/>
          <w:szCs w:val="24"/>
          <w:lang w:val="en-US" w:eastAsia="zh-CN"/>
        </w:rPr>
        <w:t>10</w:t>
      </w:r>
      <w:r>
        <w:rPr>
          <w:rFonts w:hint="eastAsia" w:hAnsi="宋体"/>
          <w:sz w:val="24"/>
          <w:szCs w:val="24"/>
        </w:rPr>
        <w:t>技术差异表</w:t>
      </w:r>
      <w:bookmarkEnd w:id="143"/>
      <w:bookmarkEnd w:id="144"/>
    </w:p>
    <w:p>
      <w:pPr>
        <w:pStyle w:val="28"/>
        <w:adjustRightInd w:val="0"/>
        <w:snapToGrid w:val="0"/>
        <w:spacing w:line="360" w:lineRule="auto"/>
        <w:ind w:firstLine="480"/>
        <w:rPr>
          <w:rFonts w:hint="eastAsia" w:ascii="宋体" w:hAnsi="宋体" w:eastAsia="宋体" w:cs="Times New Roman"/>
          <w:sz w:val="24"/>
          <w:szCs w:val="24"/>
        </w:rPr>
      </w:pPr>
      <w:bookmarkStart w:id="145" w:name="_Toc226362579"/>
      <w:r>
        <w:rPr>
          <w:rFonts w:hint="eastAsia" w:ascii="宋体" w:hAnsi="宋体" w:eastAsia="宋体" w:cs="Times New Roman"/>
          <w:sz w:val="24"/>
          <w:szCs w:val="24"/>
        </w:rPr>
        <w:t>投标方应将所供设备与本招标书技术文件有差异之处，无论优于或劣于本招标书技术文件要求，均汇集至表</w:t>
      </w:r>
      <w:r>
        <w:rPr>
          <w:rFonts w:ascii="宋体" w:hAnsi="宋体" w:eastAsia="宋体" w:cs="Times New Roman"/>
          <w:sz w:val="24"/>
          <w:szCs w:val="24"/>
        </w:rPr>
        <w:t>9</w:t>
      </w:r>
      <w:r>
        <w:rPr>
          <w:rFonts w:hint="eastAsia" w:ascii="宋体" w:hAnsi="宋体" w:eastAsia="宋体" w:cs="Times New Roman"/>
          <w:sz w:val="24"/>
          <w:szCs w:val="24"/>
        </w:rPr>
        <w:t>.1。</w:t>
      </w:r>
    </w:p>
    <w:p>
      <w:pPr>
        <w:adjustRightInd w:val="0"/>
        <w:snapToGrid w:val="0"/>
        <w:spacing w:line="360" w:lineRule="auto"/>
        <w:ind w:firstLine="199"/>
        <w:jc w:val="center"/>
        <w:rPr>
          <w:rFonts w:hint="eastAsia" w:ascii="宋体" w:hAnsi="宋体"/>
          <w:sz w:val="24"/>
        </w:rPr>
      </w:pPr>
      <w:r>
        <w:rPr>
          <w:rFonts w:hint="eastAsia" w:ascii="宋体" w:hAnsi="宋体"/>
          <w:sz w:val="24"/>
        </w:rPr>
        <w:t>表</w:t>
      </w:r>
      <w:r>
        <w:rPr>
          <w:rFonts w:ascii="宋体" w:hAnsi="宋体"/>
          <w:sz w:val="24"/>
        </w:rPr>
        <w:t>9</w:t>
      </w:r>
      <w:r>
        <w:rPr>
          <w:rFonts w:hint="eastAsia" w:ascii="宋体" w:hAnsi="宋体"/>
          <w:sz w:val="24"/>
        </w:rPr>
        <w:t>.1技术差异表</w:t>
      </w:r>
      <w:bookmarkEnd w:id="145"/>
      <w:r>
        <w:rPr>
          <w:rFonts w:hint="eastAsia" w:ascii="宋体" w:hAnsi="宋体"/>
          <w:sz w:val="24"/>
        </w:rPr>
        <w:t>（投标方填写）</w:t>
      </w:r>
    </w:p>
    <w:tbl>
      <w:tblPr>
        <w:tblStyle w:val="23"/>
        <w:tblW w:w="83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2"/>
        <w:gridCol w:w="2711"/>
        <w:gridCol w:w="1257"/>
        <w:gridCol w:w="257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pPr>
              <w:jc w:val="center"/>
              <w:rPr>
                <w:rFonts w:hint="eastAsia" w:ascii="宋体" w:hAnsi="宋体"/>
                <w:szCs w:val="21"/>
              </w:rPr>
            </w:pPr>
            <w:r>
              <w:rPr>
                <w:rFonts w:hint="eastAsia" w:ascii="宋体" w:hAnsi="宋体"/>
                <w:szCs w:val="21"/>
              </w:rPr>
              <w:t>序</w:t>
            </w:r>
          </w:p>
          <w:p>
            <w:pPr>
              <w:jc w:val="center"/>
              <w:rPr>
                <w:rFonts w:hint="eastAsia" w:ascii="宋体" w:hAnsi="宋体"/>
                <w:szCs w:val="21"/>
              </w:rPr>
            </w:pPr>
            <w:r>
              <w:rPr>
                <w:rFonts w:hint="eastAsia" w:ascii="宋体" w:hAnsi="宋体"/>
                <w:szCs w:val="21"/>
              </w:rPr>
              <w:t>号</w:t>
            </w:r>
          </w:p>
        </w:tc>
        <w:tc>
          <w:tcPr>
            <w:tcW w:w="3873" w:type="dxa"/>
            <w:gridSpan w:val="2"/>
            <w:vAlign w:val="center"/>
          </w:tcPr>
          <w:p>
            <w:pPr>
              <w:jc w:val="center"/>
              <w:rPr>
                <w:rFonts w:hint="eastAsia" w:ascii="宋体" w:hAnsi="宋体"/>
                <w:szCs w:val="21"/>
              </w:rPr>
            </w:pPr>
            <w:r>
              <w:rPr>
                <w:rFonts w:hint="eastAsia" w:ascii="宋体" w:hAnsi="宋体"/>
                <w:szCs w:val="21"/>
              </w:rPr>
              <w:t>招标文件</w:t>
            </w:r>
          </w:p>
        </w:tc>
        <w:tc>
          <w:tcPr>
            <w:tcW w:w="3830" w:type="dxa"/>
            <w:gridSpan w:val="2"/>
            <w:vAlign w:val="center"/>
          </w:tcPr>
          <w:p>
            <w:pPr>
              <w:jc w:val="center"/>
              <w:rPr>
                <w:rFonts w:hint="eastAsia" w:ascii="宋体" w:hAnsi="宋体"/>
                <w:szCs w:val="21"/>
              </w:rPr>
            </w:pPr>
            <w:r>
              <w:rPr>
                <w:rFonts w:hint="eastAsia" w:ascii="宋体" w:hAnsi="宋体"/>
                <w:szCs w:val="21"/>
              </w:rPr>
              <w:t>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pPr>
              <w:jc w:val="center"/>
              <w:rPr>
                <w:rFonts w:hint="eastAsia" w:ascii="宋体" w:hAnsi="宋体"/>
                <w:szCs w:val="21"/>
              </w:rPr>
            </w:pPr>
          </w:p>
        </w:tc>
        <w:tc>
          <w:tcPr>
            <w:tcW w:w="1162" w:type="dxa"/>
            <w:vAlign w:val="center"/>
          </w:tcPr>
          <w:p>
            <w:pPr>
              <w:jc w:val="center"/>
              <w:rPr>
                <w:rFonts w:hint="eastAsia" w:ascii="宋体" w:hAnsi="宋体"/>
                <w:szCs w:val="21"/>
              </w:rPr>
            </w:pPr>
            <w:r>
              <w:rPr>
                <w:rFonts w:hint="eastAsia" w:ascii="宋体" w:hAnsi="宋体"/>
                <w:szCs w:val="21"/>
              </w:rPr>
              <w:t>条目</w:t>
            </w:r>
          </w:p>
        </w:tc>
        <w:tc>
          <w:tcPr>
            <w:tcW w:w="2711" w:type="dxa"/>
            <w:vAlign w:val="center"/>
          </w:tcPr>
          <w:p>
            <w:pPr>
              <w:jc w:val="center"/>
              <w:rPr>
                <w:rFonts w:hint="eastAsia" w:ascii="宋体" w:hAnsi="宋体"/>
                <w:szCs w:val="21"/>
              </w:rPr>
            </w:pPr>
            <w:r>
              <w:rPr>
                <w:rFonts w:hint="eastAsia" w:ascii="宋体" w:hAnsi="宋体"/>
                <w:szCs w:val="21"/>
              </w:rPr>
              <w:t>简要内容</w:t>
            </w:r>
          </w:p>
        </w:tc>
        <w:tc>
          <w:tcPr>
            <w:tcW w:w="1257" w:type="dxa"/>
            <w:vAlign w:val="center"/>
          </w:tcPr>
          <w:p>
            <w:pPr>
              <w:jc w:val="center"/>
              <w:rPr>
                <w:rFonts w:hint="eastAsia" w:ascii="宋体" w:hAnsi="宋体"/>
                <w:szCs w:val="21"/>
              </w:rPr>
            </w:pPr>
            <w:r>
              <w:rPr>
                <w:rFonts w:hint="eastAsia" w:ascii="宋体" w:hAnsi="宋体"/>
                <w:szCs w:val="21"/>
              </w:rPr>
              <w:t>条目</w:t>
            </w:r>
          </w:p>
        </w:tc>
        <w:tc>
          <w:tcPr>
            <w:tcW w:w="2573" w:type="dxa"/>
            <w:vAlign w:val="center"/>
          </w:tcPr>
          <w:p>
            <w:pPr>
              <w:jc w:val="center"/>
              <w:rPr>
                <w:rFonts w:hint="eastAsia" w:ascii="宋体" w:hAnsi="宋体"/>
                <w:szCs w:val="21"/>
              </w:rPr>
            </w:pPr>
            <w:r>
              <w:rPr>
                <w:rFonts w:hint="eastAsia" w:ascii="宋体" w:hAnsi="宋体"/>
                <w:szCs w:val="21"/>
              </w:rPr>
              <w:t>简要内容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hint="eastAsia" w:ascii="宋体" w:hAnsi="宋体"/>
                <w:sz w:val="24"/>
              </w:rPr>
            </w:pPr>
          </w:p>
        </w:tc>
        <w:tc>
          <w:tcPr>
            <w:tcW w:w="1162" w:type="dxa"/>
            <w:vAlign w:val="center"/>
          </w:tcPr>
          <w:p>
            <w:pPr>
              <w:widowControl/>
              <w:autoSpaceDE w:val="0"/>
              <w:autoSpaceDN w:val="0"/>
              <w:jc w:val="center"/>
              <w:textAlignment w:val="bottom"/>
              <w:rPr>
                <w:rFonts w:hint="eastAsia" w:ascii="宋体" w:hAnsi="宋体"/>
                <w:sz w:val="24"/>
              </w:rPr>
            </w:pPr>
          </w:p>
        </w:tc>
        <w:tc>
          <w:tcPr>
            <w:tcW w:w="2711" w:type="dxa"/>
            <w:vAlign w:val="center"/>
          </w:tcPr>
          <w:p>
            <w:pPr>
              <w:widowControl/>
              <w:autoSpaceDE w:val="0"/>
              <w:autoSpaceDN w:val="0"/>
              <w:jc w:val="center"/>
              <w:textAlignment w:val="bottom"/>
              <w:rPr>
                <w:rFonts w:hint="eastAsia" w:ascii="宋体" w:hAnsi="宋体"/>
                <w:sz w:val="24"/>
              </w:rPr>
            </w:pPr>
          </w:p>
        </w:tc>
        <w:tc>
          <w:tcPr>
            <w:tcW w:w="1257" w:type="dxa"/>
            <w:vAlign w:val="center"/>
          </w:tcPr>
          <w:p>
            <w:pPr>
              <w:widowControl/>
              <w:autoSpaceDE w:val="0"/>
              <w:autoSpaceDN w:val="0"/>
              <w:jc w:val="center"/>
              <w:textAlignment w:val="bottom"/>
              <w:rPr>
                <w:rFonts w:hint="eastAsia" w:ascii="宋体" w:hAnsi="宋体"/>
                <w:sz w:val="24"/>
              </w:rPr>
            </w:pPr>
          </w:p>
        </w:tc>
        <w:tc>
          <w:tcPr>
            <w:tcW w:w="2573" w:type="dxa"/>
            <w:vAlign w:val="center"/>
          </w:tcPr>
          <w:p>
            <w:pPr>
              <w:widowControl/>
              <w:autoSpaceDE w:val="0"/>
              <w:autoSpaceDN w:val="0"/>
              <w:jc w:val="center"/>
              <w:textAlignment w:val="bottom"/>
              <w:rPr>
                <w:rFonts w:hint="eastAsia" w:ascii="宋体" w:hAnsi="宋体"/>
                <w:sz w:val="24"/>
              </w:rPr>
            </w:pPr>
          </w:p>
        </w:tc>
      </w:tr>
    </w:tbl>
    <w:p>
      <w:pPr>
        <w:pStyle w:val="16"/>
        <w:adjustRightInd w:val="0"/>
        <w:snapToGrid w:val="0"/>
        <w:spacing w:before="156" w:beforeLines="50" w:line="360" w:lineRule="auto"/>
        <w:rPr>
          <w:rFonts w:hint="eastAsia" w:hAnsi="宋体"/>
          <w:sz w:val="24"/>
        </w:rPr>
      </w:pPr>
      <w:r>
        <w:rPr>
          <w:rFonts w:hAnsi="宋体"/>
          <w:sz w:val="24"/>
        </w:rPr>
        <w:t>投标</w:t>
      </w:r>
      <w:r>
        <w:rPr>
          <w:rFonts w:hint="eastAsia" w:hAnsi="宋体"/>
          <w:sz w:val="24"/>
        </w:rPr>
        <w:t>方</w:t>
      </w:r>
      <w:r>
        <w:rPr>
          <w:rFonts w:hAnsi="宋体"/>
          <w:sz w:val="24"/>
        </w:rPr>
        <w:t>：盖章：</w:t>
      </w:r>
    </w:p>
    <w:p>
      <w:pPr>
        <w:pStyle w:val="4"/>
        <w:numPr>
          <w:ilvl w:val="0"/>
          <w:numId w:val="0"/>
        </w:numPr>
        <w:snapToGrid/>
        <w:spacing w:before="312"/>
        <w:rPr>
          <w:rFonts w:hint="eastAsia" w:hAnsi="宋体"/>
          <w:sz w:val="24"/>
          <w:szCs w:val="24"/>
        </w:rPr>
      </w:pPr>
      <w:bookmarkStart w:id="146" w:name="_Toc31115"/>
      <w:bookmarkStart w:id="147" w:name="_Toc282421446"/>
      <w:bookmarkStart w:id="148" w:name="_Toc282420857"/>
      <w:bookmarkStart w:id="149" w:name="_Toc287602850"/>
      <w:r>
        <w:rPr>
          <w:rFonts w:hint="eastAsia" w:hAnsi="宋体"/>
          <w:sz w:val="24"/>
          <w:szCs w:val="24"/>
        </w:rPr>
        <w:t>1</w:t>
      </w:r>
      <w:r>
        <w:rPr>
          <w:rFonts w:hint="eastAsia" w:hAnsi="宋体"/>
          <w:sz w:val="24"/>
          <w:szCs w:val="24"/>
          <w:lang w:val="en-US" w:eastAsia="zh-CN"/>
        </w:rPr>
        <w:t>1</w:t>
      </w:r>
      <w:r>
        <w:rPr>
          <w:rFonts w:hint="eastAsia" w:hAnsi="宋体"/>
          <w:sz w:val="24"/>
          <w:szCs w:val="24"/>
        </w:rPr>
        <w:t>投标方需说明的其他问题</w:t>
      </w:r>
      <w:bookmarkEnd w:id="146"/>
      <w:bookmarkEnd w:id="147"/>
      <w:bookmarkEnd w:id="148"/>
      <w:bookmarkEnd w:id="149"/>
    </w:p>
    <w:p>
      <w:pPr>
        <w:pStyle w:val="2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如有需说明的其他问题，投标方应通过书面形式提交，并加盖公章。</w:t>
      </w: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罗湖供电局营销工作配套设备（电能计量智能仿真培训设备）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kern w:val="0"/>
                <w:sz w:val="18"/>
                <w:szCs w:val="18"/>
                <w:u w:val="none"/>
                <w:lang w:val="en-US" w:eastAsia="zh-CN" w:bidi="ar"/>
              </w:rPr>
            </w:pPr>
            <w:r>
              <w:rPr>
                <w:rFonts w:hint="eastAsia" w:ascii="仿宋_GB2312" w:hAnsi="仿宋_GB2312" w:eastAsia="仿宋_GB2312" w:cs="仿宋_GB2312"/>
                <w:b w:val="0"/>
                <w:b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bl>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left="0" w:leftChars="0" w:firstLine="0" w:firstLineChars="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福田供电局营销工作配套设备（电能计量智能仿真培训设备）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6</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低压配电柜实训系统（含AR系统）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kern w:val="0"/>
                <w:sz w:val="18"/>
                <w:szCs w:val="18"/>
                <w:u w:val="none"/>
                <w:lang w:val="en-US" w:eastAsia="zh-CN" w:bidi="ar"/>
              </w:rPr>
            </w:pPr>
            <w:r>
              <w:rPr>
                <w:rFonts w:hint="eastAsia" w:ascii="仿宋_GB2312" w:hAnsi="仿宋_GB2312" w:eastAsia="仿宋_GB2312" w:cs="仿宋_GB2312"/>
                <w:b w:val="0"/>
                <w:b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bl>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宋体" w:hAnsi="宋体" w:eastAsia="宋体" w:cs="Times New Roman"/>
          <w:sz w:val="24"/>
          <w:szCs w:val="24"/>
        </w:rPr>
      </w:pPr>
      <w:r>
        <w:rPr>
          <w:rFonts w:hint="eastAsia" w:ascii="Times New Roman" w:eastAsia="宋体"/>
          <w:b/>
          <w:szCs w:val="21"/>
          <w:lang w:val="en-US" w:eastAsia="zh-CN"/>
        </w:rPr>
        <w:t>南山供电局营销工作配套设备（电能计量智能仿真培训设备）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kern w:val="0"/>
                <w:sz w:val="18"/>
                <w:szCs w:val="18"/>
                <w:u w:val="none"/>
                <w:lang w:val="en-US" w:eastAsia="zh-CN" w:bidi="ar"/>
              </w:rPr>
            </w:pPr>
            <w:r>
              <w:rPr>
                <w:rFonts w:hint="eastAsia" w:ascii="仿宋_GB2312" w:hAnsi="仿宋_GB2312" w:eastAsia="仿宋_GB2312" w:cs="仿宋_GB2312"/>
                <w:b w:val="0"/>
                <w:b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bl>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宋体" w:hAnsi="宋体" w:eastAsia="宋体" w:cs="Times New Roman"/>
          <w:sz w:val="24"/>
          <w:szCs w:val="24"/>
        </w:rPr>
      </w:pPr>
      <w:r>
        <w:rPr>
          <w:rFonts w:hint="eastAsia" w:ascii="Times New Roman" w:eastAsia="宋体"/>
          <w:b/>
          <w:szCs w:val="21"/>
          <w:lang w:val="en-US" w:eastAsia="zh-CN"/>
        </w:rPr>
        <w:t>宝安供电局营销工作配套设备（电能计量智能仿真培训设备）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kern w:val="0"/>
                <w:sz w:val="18"/>
                <w:szCs w:val="18"/>
                <w:u w:val="none"/>
                <w:lang w:val="en-US" w:eastAsia="zh-CN" w:bidi="ar"/>
              </w:rPr>
            </w:pPr>
            <w:r>
              <w:rPr>
                <w:rFonts w:hint="eastAsia" w:ascii="仿宋_GB2312" w:hAnsi="仿宋_GB2312" w:eastAsia="仿宋_GB2312" w:cs="仿宋_GB2312"/>
                <w:b w:val="0"/>
                <w:b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bl>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龙岗供电局营销工作配套设备（电能计量智能仿真培训设备）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高压装表接电培训装置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5</w:t>
            </w:r>
          </w:p>
        </w:tc>
        <w:tc>
          <w:tcPr>
            <w:tcW w:w="1504" w:type="dxa"/>
            <w:shd w:val="clear" w:color="auto" w:fill="FFFFFF"/>
            <w:vAlign w:val="center"/>
          </w:tcPr>
          <w:p>
            <w:pPr>
              <w:jc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厂站计量培训装置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color w:val="000000"/>
                <w:kern w:val="0"/>
                <w:sz w:val="18"/>
                <w:szCs w:val="18"/>
                <w:u w:val="none"/>
                <w:lang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2</w:t>
            </w:r>
          </w:p>
        </w:tc>
      </w:tr>
    </w:tbl>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28"/>
        <w:adjustRightInd w:val="0"/>
        <w:snapToGrid w:val="0"/>
        <w:spacing w:line="360" w:lineRule="auto"/>
        <w:ind w:firstLine="480"/>
        <w:rPr>
          <w:rFonts w:hint="eastAsia" w:ascii="宋体" w:hAnsi="宋体" w:eastAsia="宋体" w:cs="Times New Roman"/>
          <w:sz w:val="24"/>
          <w:szCs w:val="24"/>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龙华供电局营销工作配套设备（电能计量智能仿真培训设备）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高压装表接电培训装置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6</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低压配电柜实训系统（含AR系统）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p>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光明供电局营销工作配套设备（电能计量智能仿真培训设备）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高压装表接电培训装置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坪山供电局营销工作配套设备（电能计量智能仿真培训设备）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高压装表接电培训装置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5</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厂站计量培训装置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盐田供电局营销工作配套设备（电能计量智能仿真培训设备）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3</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低压集抄培训装置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大鹏供电局营销工作配套设备（电能计量智能仿真培训设备）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低压装表接电培训装置</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计量管理所营销工作配套设备（电能计量智能仿真培训设备）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高压装表接电培训装置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4</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智能电能表接线仿真系统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5</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厂站计量培训装置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pStyle w:val="38"/>
        <w:numPr>
          <w:ilvl w:val="0"/>
          <w:numId w:val="23"/>
        </w:numPr>
        <w:spacing w:before="156" w:after="156" w:line="240" w:lineRule="auto"/>
        <w:ind w:left="425" w:hanging="425"/>
        <w:rPr>
          <w:rFonts w:hint="eastAsia" w:ascii="Times New Roman" w:eastAsia="宋体"/>
          <w:b/>
          <w:szCs w:val="21"/>
        </w:rPr>
      </w:pPr>
      <w:r>
        <w:rPr>
          <w:rFonts w:hint="eastAsia" w:ascii="Times New Roman" w:eastAsia="宋体"/>
          <w:b/>
          <w:szCs w:val="21"/>
          <w:lang w:val="en-US" w:eastAsia="zh-CN"/>
        </w:rPr>
        <w:t>人才发展中心营销工作配套设备（电能计量智能仿真培训设备）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5</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厂站计量培训装置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6</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低压配电柜实训系统（含AR系统）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7</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异常用电数据综合分析及现场检查仿真培训系统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8</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10kV配电室用电检查服务仿真培训装置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82"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9</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电缆绝缘测试仿真装置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82"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10</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局放模拟仿真装置</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07"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11</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分布式光伏仿真培训系统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417" w:hRule="atLeast"/>
          <w:jc w:val="center"/>
        </w:trPr>
        <w:tc>
          <w:tcPr>
            <w:tcW w:w="972"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w:t>
            </w:r>
          </w:p>
        </w:tc>
      </w:tr>
    </w:tbl>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8"/>
        <w:numPr>
          <w:ilvl w:val="0"/>
          <w:numId w:val="23"/>
        </w:numPr>
        <w:spacing w:before="156" w:after="156" w:line="240" w:lineRule="auto"/>
        <w:ind w:left="425" w:hanging="425"/>
        <w:rPr>
          <w:rFonts w:hint="eastAsia" w:ascii="宋体" w:hAnsi="宋体" w:eastAsia="宋体" w:cs="Times New Roman"/>
          <w:sz w:val="24"/>
          <w:szCs w:val="24"/>
        </w:rPr>
      </w:pPr>
      <w:r>
        <w:rPr>
          <w:rFonts w:hint="eastAsia" w:ascii="Times New Roman" w:eastAsia="宋体"/>
          <w:b/>
          <w:szCs w:val="21"/>
          <w:lang w:val="en-US" w:eastAsia="zh-CN"/>
        </w:rPr>
        <w:t>2025年深圳宝安供电局电能计量智能仿真培训设备购置：营销工作配套设备（电能计量智能仿真培训设备）</w:t>
      </w:r>
      <w:r>
        <w:rPr>
          <w:rFonts w:ascii="Times New Roman" w:eastAsia="宋体"/>
          <w:b/>
          <w:szCs w:val="21"/>
        </w:rPr>
        <w:t>配置表</w:t>
      </w:r>
    </w:p>
    <w:tbl>
      <w:tblPr>
        <w:tblStyle w:val="23"/>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2"/>
        <w:gridCol w:w="1504"/>
        <w:gridCol w:w="2614"/>
        <w:gridCol w:w="93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74" w:hRule="atLeast"/>
          <w:tblHeader/>
          <w:jc w:val="center"/>
        </w:trPr>
        <w:tc>
          <w:tcPr>
            <w:tcW w:w="972"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序号</w:t>
            </w:r>
          </w:p>
        </w:tc>
        <w:tc>
          <w:tcPr>
            <w:tcW w:w="1504"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hint="eastAsia" w:ascii="Times New Roman" w:hAnsi="Times New Roman"/>
                <w:b/>
                <w:color w:val="auto"/>
                <w:sz w:val="18"/>
                <w:szCs w:val="18"/>
                <w:lang w:val="en-US" w:eastAsia="zh-CN"/>
              </w:rPr>
              <w:t>设备</w:t>
            </w:r>
            <w:r>
              <w:rPr>
                <w:rFonts w:ascii="Times New Roman" w:hAnsi="Times New Roman"/>
                <w:b/>
                <w:color w:val="auto"/>
                <w:sz w:val="18"/>
                <w:szCs w:val="18"/>
              </w:rPr>
              <w:t>名称</w:t>
            </w:r>
          </w:p>
        </w:tc>
        <w:tc>
          <w:tcPr>
            <w:tcW w:w="2614" w:type="dxa"/>
            <w:tcBorders>
              <w:bottom w:val="single" w:color="auto" w:sz="4" w:space="0"/>
            </w:tcBorders>
            <w:shd w:val="clear" w:color="auto" w:fill="FFFFFF"/>
            <w:vAlign w:val="center"/>
          </w:tcPr>
          <w:p>
            <w:pPr>
              <w:pStyle w:val="40"/>
              <w:spacing w:line="240" w:lineRule="auto"/>
              <w:rPr>
                <w:rFonts w:ascii="Times New Roman" w:hAnsi="Times New Roman" w:eastAsia="宋体"/>
                <w:b/>
                <w:color w:val="auto"/>
                <w:sz w:val="18"/>
                <w:szCs w:val="18"/>
              </w:rPr>
            </w:pPr>
            <w:r>
              <w:rPr>
                <w:rFonts w:hint="eastAsia" w:ascii="Times New Roman" w:hAnsi="Times New Roman" w:eastAsia="宋体"/>
                <w:b/>
                <w:color w:val="auto"/>
                <w:sz w:val="18"/>
                <w:szCs w:val="18"/>
              </w:rPr>
              <w:t>型式、规格</w:t>
            </w:r>
          </w:p>
        </w:tc>
        <w:tc>
          <w:tcPr>
            <w:tcW w:w="931"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单位</w:t>
            </w:r>
          </w:p>
        </w:tc>
        <w:tc>
          <w:tcPr>
            <w:tcW w:w="1735" w:type="dxa"/>
            <w:tcBorders>
              <w:bottom w:val="single" w:color="auto" w:sz="4" w:space="0"/>
            </w:tcBorders>
            <w:shd w:val="clear" w:color="auto" w:fill="FFFFFF"/>
            <w:vAlign w:val="center"/>
          </w:tcPr>
          <w:p>
            <w:pPr>
              <w:pStyle w:val="40"/>
              <w:spacing w:line="240" w:lineRule="auto"/>
              <w:rPr>
                <w:rFonts w:ascii="Times New Roman" w:hAnsi="Times New Roman"/>
                <w:b/>
                <w:color w:val="auto"/>
                <w:sz w:val="18"/>
                <w:szCs w:val="18"/>
              </w:rPr>
            </w:pPr>
            <w:r>
              <w:rPr>
                <w:rFonts w:ascii="Times New Roman" w:hAnsi="Times New Roman"/>
                <w:b/>
                <w:color w:val="auto"/>
                <w:sz w:val="18"/>
                <w:szCs w:val="18"/>
              </w:rPr>
              <w:t>配置数量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984" w:hRule="atLeast"/>
          <w:jc w:val="center"/>
        </w:trPr>
        <w:tc>
          <w:tcPr>
            <w:tcW w:w="972"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12</w:t>
            </w:r>
          </w:p>
        </w:tc>
        <w:tc>
          <w:tcPr>
            <w:tcW w:w="1504" w:type="dxa"/>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新型电力负荷管理仿真培训系统</w:t>
            </w:r>
          </w:p>
        </w:tc>
        <w:tc>
          <w:tcPr>
            <w:tcW w:w="2614"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bidi="ar"/>
              </w:rPr>
            </w:pPr>
            <w:r>
              <w:rPr>
                <w:rFonts w:hint="eastAsia" w:ascii="仿宋_GB2312" w:hAnsi="仿宋_GB2312" w:eastAsia="仿宋_GB2312" w:cs="仿宋_GB2312"/>
                <w:i w:val="0"/>
                <w:iCs w:val="0"/>
                <w:color w:val="000000"/>
                <w:kern w:val="0"/>
                <w:sz w:val="18"/>
                <w:szCs w:val="18"/>
                <w:u w:val="none"/>
                <w:lang w:val="en-US" w:eastAsia="zh-CN" w:bidi="ar"/>
              </w:rPr>
              <w:t>见技术参数</w:t>
            </w:r>
          </w:p>
        </w:tc>
        <w:tc>
          <w:tcPr>
            <w:tcW w:w="931"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i w:val="0"/>
                <w:iCs w:val="0"/>
                <w:color w:val="000000"/>
                <w:kern w:val="0"/>
                <w:sz w:val="18"/>
                <w:szCs w:val="18"/>
                <w:u w:val="none"/>
                <w:lang w:val="en-US" w:eastAsia="zh-CN" w:bidi="ar"/>
              </w:rPr>
              <w:t>套</w:t>
            </w:r>
          </w:p>
        </w:tc>
        <w:tc>
          <w:tcPr>
            <w:tcW w:w="1735" w:type="dxa"/>
            <w:shd w:val="clear" w:color="auto" w:fill="FFFFFF"/>
            <w:vAlign w:val="center"/>
          </w:tcPr>
          <w:p>
            <w:pPr>
              <w:keepNext w:val="0"/>
              <w:keepLines w:val="0"/>
              <w:widowControl/>
              <w:suppressLineNumbers w:val="0"/>
              <w:jc w:val="center"/>
              <w:textAlignment w:val="center"/>
              <w:rPr>
                <w:rFonts w:hint="default" w:ascii="仿宋_GB2312" w:hAnsi="仿宋_GB2312" w:eastAsia="仿宋_GB2312" w:cs="仿宋_GB2312"/>
                <w:color w:val="000000"/>
                <w:kern w:val="0"/>
                <w:sz w:val="18"/>
                <w:szCs w:val="18"/>
                <w:u w:val="none"/>
                <w:lang w:val="en-US" w:eastAsia="zh-CN" w:bidi="ar"/>
              </w:rPr>
            </w:pPr>
            <w:r>
              <w:rPr>
                <w:rFonts w:hint="eastAsia" w:ascii="仿宋_GB2312" w:hAnsi="仿宋_GB2312" w:eastAsia="仿宋_GB2312" w:cs="仿宋_GB2312"/>
                <w:color w:val="000000"/>
                <w:kern w:val="0"/>
                <w:sz w:val="18"/>
                <w:szCs w:val="18"/>
                <w:u w:val="none"/>
                <w:lang w:val="en-US" w:eastAsia="zh-CN" w:bidi="ar"/>
              </w:rPr>
              <w:t>3</w:t>
            </w:r>
          </w:p>
        </w:tc>
      </w:tr>
    </w:tbl>
    <w:p>
      <w:pPr>
        <w:pStyle w:val="3"/>
        <w:rPr>
          <w:rFonts w:hint="eastAsia"/>
          <w:lang w:val="en-US" w:eastAsia="zh-CN"/>
        </w:rPr>
      </w:pPr>
      <w:bookmarkStart w:id="150" w:name="_GoBack"/>
      <w:bookmarkEnd w:id="150"/>
    </w:p>
    <w:sectPr>
      <w:head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微软雅黑"/>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hint="eastAsia"/>
      </w:rPr>
      <w:t>一</w:t>
    </w:r>
    <w:r>
      <w:rPr>
        <w:rFonts w:hint="eastAsia"/>
        <w:lang w:val="en-US" w:eastAsia="zh-CN"/>
      </w:rPr>
      <w:t>所</w:t>
    </w:r>
    <w:r>
      <w:rPr>
        <w:rFonts w:hint="eastAsia"/>
      </w:rPr>
      <w:t>一</w:t>
    </w:r>
    <w:r>
      <w:rPr>
        <w:rFonts w:hint="eastAsia"/>
        <w:lang w:val="en-US" w:eastAsia="zh-CN"/>
      </w:rPr>
      <w:t>场</w:t>
    </w:r>
    <w:r>
      <w:rPr>
        <w:rFonts w:hint="eastAsia"/>
      </w:rPr>
      <w:t>技术条件书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hint="eastAsia"/>
      </w:rPr>
      <w:t>一</w:t>
    </w:r>
    <w:r>
      <w:rPr>
        <w:rFonts w:hint="eastAsia"/>
        <w:lang w:val="en-US" w:eastAsia="zh-CN"/>
      </w:rPr>
      <w:t>所</w:t>
    </w:r>
    <w:r>
      <w:rPr>
        <w:rFonts w:hint="eastAsia"/>
      </w:rPr>
      <w:t>一</w:t>
    </w:r>
    <w:r>
      <w:rPr>
        <w:rFonts w:hint="eastAsia"/>
        <w:lang w:val="en-US" w:eastAsia="zh-CN"/>
      </w:rPr>
      <w:t>场</w:t>
    </w:r>
    <w:r>
      <w:rPr>
        <w:rFonts w:hint="eastAsia"/>
      </w:rPr>
      <w:t>技术条件书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E89FC"/>
    <w:multiLevelType w:val="singleLevel"/>
    <w:tmpl w:val="830E89FC"/>
    <w:lvl w:ilvl="0" w:tentative="0">
      <w:start w:val="1"/>
      <w:numFmt w:val="decimalEnclosedCircleChinese"/>
      <w:suff w:val="nothing"/>
      <w:lvlText w:val="%1　"/>
      <w:lvlJc w:val="left"/>
      <w:pPr>
        <w:ind w:left="0" w:firstLine="400"/>
      </w:pPr>
      <w:rPr>
        <w:rFonts w:hint="eastAsia"/>
      </w:rPr>
    </w:lvl>
  </w:abstractNum>
  <w:abstractNum w:abstractNumId="1">
    <w:nsid w:val="91611330"/>
    <w:multiLevelType w:val="singleLevel"/>
    <w:tmpl w:val="91611330"/>
    <w:lvl w:ilvl="0" w:tentative="0">
      <w:start w:val="1"/>
      <w:numFmt w:val="decimal"/>
      <w:lvlText w:val="%1)"/>
      <w:lvlJc w:val="left"/>
      <w:pPr>
        <w:ind w:left="425" w:hanging="425"/>
      </w:pPr>
      <w:rPr>
        <w:rFonts w:hint="default"/>
      </w:rPr>
    </w:lvl>
  </w:abstractNum>
  <w:abstractNum w:abstractNumId="2">
    <w:nsid w:val="9CE05C21"/>
    <w:multiLevelType w:val="singleLevel"/>
    <w:tmpl w:val="9CE05C21"/>
    <w:lvl w:ilvl="0" w:tentative="0">
      <w:start w:val="1"/>
      <w:numFmt w:val="decimal"/>
      <w:suff w:val="nothing"/>
      <w:lvlText w:val="%1）"/>
      <w:lvlJc w:val="left"/>
    </w:lvl>
  </w:abstractNum>
  <w:abstractNum w:abstractNumId="3">
    <w:nsid w:val="A470BFA2"/>
    <w:multiLevelType w:val="multilevel"/>
    <w:tmpl w:val="A470BFA2"/>
    <w:lvl w:ilvl="0" w:tentative="0">
      <w:start w:val="1"/>
      <w:numFmt w:val="upperLetter"/>
      <w:lvlText w:val="附录%1"/>
      <w:lvlJc w:val="left"/>
      <w:pPr>
        <w:tabs>
          <w:tab w:val="left" w:pos="420"/>
        </w:tabs>
        <w:ind w:left="425" w:hanging="425"/>
      </w:pPr>
      <w:rPr>
        <w:rFonts w:hint="default"/>
        <w:b/>
        <w:bCs/>
      </w:rPr>
    </w:lvl>
    <w:lvl w:ilvl="1" w:tentative="0">
      <w:start w:val="1"/>
      <w:numFmt w:val="decimal"/>
      <w:suff w:val="space"/>
      <w:lvlText w:val="附录%1.%2"/>
      <w:lvlJc w:val="left"/>
      <w:pPr>
        <w:tabs>
          <w:tab w:val="left" w:pos="420"/>
        </w:tabs>
        <w:ind w:left="0" w:firstLine="0"/>
      </w:pPr>
      <w:rPr>
        <w:rFonts w:hint="default"/>
      </w:rPr>
    </w:lvl>
    <w:lvl w:ilvl="2" w:tentative="0">
      <w:start w:val="1"/>
      <w:numFmt w:val="decimal"/>
      <w:suff w:val="space"/>
      <w:lvlText w:val="附录%1.%2.%3"/>
      <w:lvlJc w:val="left"/>
      <w:pPr>
        <w:tabs>
          <w:tab w:val="left" w:pos="0"/>
        </w:tabs>
        <w:ind w:left="709" w:hanging="709"/>
      </w:pPr>
      <w:rPr>
        <w:rFonts w:hint="default"/>
      </w:rPr>
    </w:lvl>
    <w:lvl w:ilvl="3" w:tentative="0">
      <w:start w:val="1"/>
      <w:numFmt w:val="decimal"/>
      <w:lvlText w:val="附录%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A51B8E8B"/>
    <w:multiLevelType w:val="singleLevel"/>
    <w:tmpl w:val="A51B8E8B"/>
    <w:lvl w:ilvl="0" w:tentative="0">
      <w:start w:val="1"/>
      <w:numFmt w:val="decimalEnclosedCircleChinese"/>
      <w:suff w:val="nothing"/>
      <w:lvlText w:val="%1　"/>
      <w:lvlJc w:val="left"/>
      <w:pPr>
        <w:ind w:left="0" w:firstLine="400"/>
      </w:pPr>
      <w:rPr>
        <w:rFonts w:hint="eastAsia"/>
      </w:rPr>
    </w:lvl>
  </w:abstractNum>
  <w:abstractNum w:abstractNumId="5">
    <w:nsid w:val="AF4122CD"/>
    <w:multiLevelType w:val="singleLevel"/>
    <w:tmpl w:val="AF4122CD"/>
    <w:lvl w:ilvl="0" w:tentative="0">
      <w:start w:val="1"/>
      <w:numFmt w:val="decimalEnclosedCircleChinese"/>
      <w:suff w:val="nothing"/>
      <w:lvlText w:val="%1　"/>
      <w:lvlJc w:val="left"/>
      <w:pPr>
        <w:ind w:left="0" w:firstLine="400"/>
      </w:pPr>
      <w:rPr>
        <w:rFonts w:hint="eastAsia"/>
      </w:rPr>
    </w:lvl>
  </w:abstractNum>
  <w:abstractNum w:abstractNumId="6">
    <w:nsid w:val="BA75DEA7"/>
    <w:multiLevelType w:val="singleLevel"/>
    <w:tmpl w:val="BA75DEA7"/>
    <w:lvl w:ilvl="0" w:tentative="0">
      <w:start w:val="1"/>
      <w:numFmt w:val="decimal"/>
      <w:lvlText w:val="%1)"/>
      <w:lvlJc w:val="left"/>
      <w:pPr>
        <w:ind w:left="425" w:hanging="425"/>
      </w:pPr>
      <w:rPr>
        <w:rFonts w:hint="default"/>
      </w:rPr>
    </w:lvl>
  </w:abstractNum>
  <w:abstractNum w:abstractNumId="7">
    <w:nsid w:val="C2F07AA8"/>
    <w:multiLevelType w:val="singleLevel"/>
    <w:tmpl w:val="C2F07AA8"/>
    <w:lvl w:ilvl="0" w:tentative="0">
      <w:start w:val="1"/>
      <w:numFmt w:val="decimalEnclosedCircleChinese"/>
      <w:suff w:val="nothing"/>
      <w:lvlText w:val="%1　"/>
      <w:lvlJc w:val="left"/>
      <w:pPr>
        <w:ind w:left="0" w:firstLine="400"/>
      </w:pPr>
      <w:rPr>
        <w:rFonts w:hint="eastAsia"/>
      </w:rPr>
    </w:lvl>
  </w:abstractNum>
  <w:abstractNum w:abstractNumId="8">
    <w:nsid w:val="D03436C2"/>
    <w:multiLevelType w:val="multilevel"/>
    <w:tmpl w:val="D03436C2"/>
    <w:lvl w:ilvl="0" w:tentative="0">
      <w:start w:val="1"/>
      <w:numFmt w:val="decimal"/>
      <w:lvlText w:val="%1)"/>
      <w:lvlJc w:val="left"/>
      <w:pPr>
        <w:tabs>
          <w:tab w:val="left" w:pos="256"/>
        </w:tabs>
        <w:ind w:left="420" w:hanging="17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DDAA2994"/>
    <w:multiLevelType w:val="multilevel"/>
    <w:tmpl w:val="DDAA2994"/>
    <w:lvl w:ilvl="0" w:tentative="0">
      <w:start w:val="1"/>
      <w:numFmt w:val="chineseCounting"/>
      <w:suff w:val="nothing"/>
      <w:lvlText w:val="第%1部分 "/>
      <w:lvlJc w:val="left"/>
      <w:pPr>
        <w:tabs>
          <w:tab w:val="left" w:pos="420"/>
        </w:tabs>
        <w:ind w:left="432" w:hanging="432"/>
      </w:pPr>
      <w:rPr>
        <w:rFonts w:hint="eastAsia" w:ascii="宋体" w:hAnsi="宋体" w:eastAsia="黑体" w:cs="宋体"/>
        <w:b/>
        <w:sz w:val="30"/>
      </w:rPr>
    </w:lvl>
    <w:lvl w:ilvl="1" w:tentative="0">
      <w:start w:val="1"/>
      <w:numFmt w:val="chineseCounting"/>
      <w:lvlRestart w:val="0"/>
      <w:suff w:val="space"/>
      <w:lvlText w:val="第%2章"/>
      <w:lvlJc w:val="left"/>
      <w:pPr>
        <w:tabs>
          <w:tab w:val="left" w:pos="0"/>
        </w:tabs>
        <w:ind w:left="575" w:hanging="575"/>
      </w:pPr>
      <w:rPr>
        <w:rFonts w:hint="eastAsia" w:ascii="宋体" w:hAnsi="宋体" w:eastAsia="黑体" w:cs="宋体"/>
        <w:b/>
        <w:sz w:val="28"/>
      </w:rPr>
    </w:lvl>
    <w:lvl w:ilvl="2" w:tentative="0">
      <w:start w:val="1"/>
      <w:numFmt w:val="decimal"/>
      <w:isLgl/>
      <w:suff w:val="space"/>
      <w:lvlText w:val="%2.%3"/>
      <w:lvlJc w:val="left"/>
      <w:pPr>
        <w:tabs>
          <w:tab w:val="left" w:pos="0"/>
        </w:tabs>
        <w:ind w:left="720" w:hanging="720"/>
      </w:pPr>
      <w:rPr>
        <w:rFonts w:hint="eastAsia" w:ascii="宋体" w:hAnsi="宋体" w:eastAsia="宋体" w:cs="宋体"/>
      </w:rPr>
    </w:lvl>
    <w:lvl w:ilvl="3" w:tentative="0">
      <w:start w:val="1"/>
      <w:numFmt w:val="decimal"/>
      <w:isLgl/>
      <w:suff w:val="space"/>
      <w:lvlText w:val="%2.%3.%4"/>
      <w:lvlJc w:val="left"/>
      <w:pPr>
        <w:tabs>
          <w:tab w:val="left" w:pos="420"/>
        </w:tabs>
        <w:ind w:left="864" w:hanging="864"/>
      </w:pPr>
      <w:rPr>
        <w:rFonts w:hint="eastAsia" w:ascii="宋体" w:hAnsi="宋体" w:eastAsia="宋体" w:cs="宋体"/>
      </w:rPr>
    </w:lvl>
    <w:lvl w:ilvl="4" w:tentative="0">
      <w:start w:val="1"/>
      <w:numFmt w:val="decimal"/>
      <w:pStyle w:val="8"/>
      <w:isLgl/>
      <w:lvlText w:val="%2.%3.%4.%5"/>
      <w:lvlJc w:val="left"/>
      <w:pPr>
        <w:tabs>
          <w:tab w:val="left" w:pos="420"/>
        </w:tabs>
        <w:ind w:left="1008" w:hanging="1008"/>
      </w:pPr>
      <w:rPr>
        <w:rFonts w:hint="eastAsia" w:ascii="宋体" w:hAnsi="宋体" w:eastAsia="宋体" w:cs="宋体"/>
        <w:sz w:val="28"/>
        <w:szCs w:val="28"/>
      </w:rPr>
    </w:lvl>
    <w:lvl w:ilvl="5" w:tentative="0">
      <w:start w:val="1"/>
      <w:numFmt w:val="decimal"/>
      <w:isLgl/>
      <w:lvlText w:val="%2.%3.%4.%5.%6"/>
      <w:lvlJc w:val="left"/>
      <w:pPr>
        <w:ind w:left="1151" w:hanging="1151"/>
      </w:pPr>
      <w:rPr>
        <w:rFonts w:hint="eastAsia" w:ascii="宋体" w:hAnsi="宋体" w:eastAsia="宋体" w:cs="宋体"/>
      </w:rPr>
    </w:lvl>
    <w:lvl w:ilvl="6" w:tentative="0">
      <w:start w:val="1"/>
      <w:numFmt w:val="decimal"/>
      <w:isLgl/>
      <w:lvlText w:val="%2.%3.%4.%5.%6.%7."/>
      <w:lvlJc w:val="left"/>
      <w:pPr>
        <w:ind w:left="1296" w:hanging="1296"/>
      </w:pPr>
      <w:rPr>
        <w:rFonts w:hint="eastAsia" w:ascii="宋体" w:hAnsi="宋体" w:eastAsia="宋体" w:cs="宋体"/>
      </w:rPr>
    </w:lvl>
    <w:lvl w:ilvl="7" w:tentative="0">
      <w:start w:val="1"/>
      <w:numFmt w:val="decimal"/>
      <w:isLgl/>
      <w:lvlText w:val="%2.%3.%4.%5.%6.%7.%8."/>
      <w:lvlJc w:val="left"/>
      <w:pPr>
        <w:ind w:left="1440" w:hanging="1440"/>
      </w:pPr>
      <w:rPr>
        <w:rFonts w:hint="eastAsia" w:ascii="宋体" w:hAnsi="宋体" w:eastAsia="宋体" w:cs="宋体"/>
      </w:rPr>
    </w:lvl>
    <w:lvl w:ilvl="8" w:tentative="0">
      <w:start w:val="1"/>
      <w:numFmt w:val="decimal"/>
      <w:isLgl/>
      <w:lvlText w:val="%1.%2.%3.%4.%5.%6.%7.%8.%9."/>
      <w:lvlJc w:val="left"/>
      <w:pPr>
        <w:ind w:left="1583" w:hanging="1583"/>
      </w:pPr>
      <w:rPr>
        <w:rFonts w:hint="eastAsia" w:ascii="宋体" w:hAnsi="宋体" w:eastAsia="宋体" w:cs="宋体"/>
      </w:rPr>
    </w:lvl>
  </w:abstractNum>
  <w:abstractNum w:abstractNumId="10">
    <w:nsid w:val="DE3056A6"/>
    <w:multiLevelType w:val="singleLevel"/>
    <w:tmpl w:val="DE3056A6"/>
    <w:lvl w:ilvl="0" w:tentative="0">
      <w:start w:val="1"/>
      <w:numFmt w:val="decimal"/>
      <w:lvlText w:val="%1)"/>
      <w:lvlJc w:val="left"/>
      <w:pPr>
        <w:ind w:left="425" w:hanging="425"/>
      </w:pPr>
      <w:rPr>
        <w:rFonts w:hint="default"/>
      </w:rPr>
    </w:lvl>
  </w:abstractNum>
  <w:abstractNum w:abstractNumId="11">
    <w:nsid w:val="F4BEB707"/>
    <w:multiLevelType w:val="singleLevel"/>
    <w:tmpl w:val="F4BEB707"/>
    <w:lvl w:ilvl="0" w:tentative="0">
      <w:start w:val="1"/>
      <w:numFmt w:val="decimal"/>
      <w:lvlText w:val="%1)"/>
      <w:lvlJc w:val="left"/>
      <w:pPr>
        <w:ind w:left="425" w:hanging="425"/>
      </w:pPr>
      <w:rPr>
        <w:rFonts w:hint="default"/>
      </w:rPr>
    </w:lvl>
  </w:abstractNum>
  <w:abstractNum w:abstractNumId="12">
    <w:nsid w:val="FB8B00A3"/>
    <w:multiLevelType w:val="multilevel"/>
    <w:tmpl w:val="FB8B00A3"/>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00000001"/>
    <w:multiLevelType w:val="multilevel"/>
    <w:tmpl w:val="00000001"/>
    <w:lvl w:ilvl="0" w:tentative="0">
      <w:start w:val="1"/>
      <w:numFmt w:val="decimal"/>
      <w:pStyle w:val="4"/>
      <w:suff w:val="space"/>
      <w:lvlText w:val="%1"/>
      <w:lvlJc w:val="left"/>
      <w:pPr>
        <w:ind w:left="0" w:firstLine="0"/>
      </w:pPr>
      <w:rPr>
        <w:rFonts w:hint="default" w:ascii="Times New Roman" w:hAnsi="Times New Roman" w:eastAsia="宋体" w:cs="Times New Roman"/>
        <w:b/>
        <w:i w:val="0"/>
        <w:color w:val="auto"/>
        <w:sz w:val="21"/>
      </w:rPr>
    </w:lvl>
    <w:lvl w:ilvl="1" w:tentative="0">
      <w:start w:val="2"/>
      <w:numFmt w:val="decimal"/>
      <w:pStyle w:val="5"/>
      <w:suff w:val="space"/>
      <w:lvlText w:val="%1.%2"/>
      <w:lvlJc w:val="left"/>
      <w:pPr>
        <w:ind w:left="1134" w:firstLine="0"/>
      </w:pPr>
      <w:rPr>
        <w:rFonts w:hint="default" w:ascii="Times New Roman" w:hAnsi="Times New Roman" w:eastAsia="宋体" w:cs="Times New Roman"/>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vanish w:val="0"/>
        <w:color w:val="auto"/>
        <w:spacing w:val="0"/>
        <w:w w:val="100"/>
        <w:kern w:val="2"/>
        <w:position w:val="0"/>
        <w:sz w:val="21"/>
        <w:u w:val="none"/>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vanish w:val="0"/>
        <w:color w:val="auto"/>
        <w:spacing w:val="0"/>
        <w:w w:val="100"/>
        <w:kern w:val="2"/>
        <w:position w:val="0"/>
        <w:sz w:val="21"/>
        <w:szCs w:val="21"/>
        <w:u w:val="none"/>
        <w:vertAlign w:val="baseline"/>
        <w:lang w:val="en-US" w:eastAsia="zh-CN" w:bidi="ar-SA"/>
      </w:rPr>
    </w:lvl>
    <w:lvl w:ilvl="4" w:tentative="0">
      <w:start w:val="1"/>
      <w:numFmt w:val="decimal"/>
      <w:suff w:val="space"/>
      <w:lvlText w:val="%1.%2.%3.%4.%5"/>
      <w:lvlJc w:val="left"/>
      <w:pPr>
        <w:ind w:left="-180" w:firstLine="0"/>
      </w:pPr>
    </w:lvl>
    <w:lvl w:ilvl="5" w:tentative="0">
      <w:start w:val="1"/>
      <w:numFmt w:val="decimal"/>
      <w:lvlText w:val="%1.%2.%3.%4.%5.%6"/>
      <w:lvlJc w:val="left"/>
      <w:pPr>
        <w:tabs>
          <w:tab w:val="left" w:pos="3746"/>
        </w:tabs>
        <w:ind w:left="3080" w:hanging="1134"/>
      </w:pPr>
    </w:lvl>
    <w:lvl w:ilvl="6" w:tentative="0">
      <w:start w:val="1"/>
      <w:numFmt w:val="decimal"/>
      <w:lvlText w:val="%1.%2.%3.%4.%5.%6.%7"/>
      <w:lvlJc w:val="left"/>
      <w:pPr>
        <w:tabs>
          <w:tab w:val="left" w:pos="4531"/>
        </w:tabs>
        <w:ind w:left="3647" w:hanging="1276"/>
      </w:pPr>
    </w:lvl>
    <w:lvl w:ilvl="7" w:tentative="0">
      <w:start w:val="1"/>
      <w:numFmt w:val="decimal"/>
      <w:lvlText w:val="%1.%2.%3.%4.%5.%6.%7.%8"/>
      <w:lvlJc w:val="left"/>
      <w:pPr>
        <w:tabs>
          <w:tab w:val="left" w:pos="5316"/>
        </w:tabs>
        <w:ind w:left="4214" w:hanging="1418"/>
      </w:pPr>
    </w:lvl>
    <w:lvl w:ilvl="8" w:tentative="0">
      <w:start w:val="1"/>
      <w:numFmt w:val="decimal"/>
      <w:lvlText w:val="%1.%2.%3.%4.%5.%6.%7.%8.%9"/>
      <w:lvlJc w:val="left"/>
      <w:pPr>
        <w:tabs>
          <w:tab w:val="left" w:pos="6102"/>
        </w:tabs>
        <w:ind w:left="4922" w:hanging="1700"/>
      </w:pPr>
    </w:lvl>
  </w:abstractNum>
  <w:abstractNum w:abstractNumId="14">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142" w:firstLine="0"/>
      </w:pPr>
      <w:rPr>
        <w:rFonts w:hint="eastAsia"/>
        <w:b w:val="0"/>
      </w:rPr>
    </w:lvl>
    <w:lvl w:ilvl="2" w:tentative="0">
      <w:start w:val="1"/>
      <w:numFmt w:val="decimal"/>
      <w:pStyle w:val="51"/>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5">
    <w:nsid w:val="0AF51D70"/>
    <w:multiLevelType w:val="multilevel"/>
    <w:tmpl w:val="0AF51D70"/>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6">
    <w:nsid w:val="20731BE3"/>
    <w:multiLevelType w:val="multilevel"/>
    <w:tmpl w:val="20731BE3"/>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7">
    <w:nsid w:val="410D4A38"/>
    <w:multiLevelType w:val="multilevel"/>
    <w:tmpl w:val="410D4A38"/>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8">
    <w:nsid w:val="45DA046E"/>
    <w:multiLevelType w:val="multilevel"/>
    <w:tmpl w:val="45DA046E"/>
    <w:lvl w:ilvl="0" w:tentative="0">
      <w:start w:val="1"/>
      <w:numFmt w:val="decimal"/>
      <w:lvlText w:val="%1)"/>
      <w:lvlJc w:val="left"/>
      <w:pPr>
        <w:ind w:left="425" w:hanging="42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171CBA2"/>
    <w:multiLevelType w:val="singleLevel"/>
    <w:tmpl w:val="5171CBA2"/>
    <w:lvl w:ilvl="0" w:tentative="0">
      <w:start w:val="1"/>
      <w:numFmt w:val="decimalEnclosedCircleChinese"/>
      <w:suff w:val="nothing"/>
      <w:lvlText w:val="%1　"/>
      <w:lvlJc w:val="left"/>
      <w:pPr>
        <w:ind w:left="0" w:firstLine="400"/>
      </w:pPr>
      <w:rPr>
        <w:rFonts w:hint="eastAsia"/>
      </w:rPr>
    </w:lvl>
  </w:abstractNum>
  <w:abstractNum w:abstractNumId="20">
    <w:nsid w:val="5C2E30BC"/>
    <w:multiLevelType w:val="singleLevel"/>
    <w:tmpl w:val="5C2E30BC"/>
    <w:lvl w:ilvl="0" w:tentative="0">
      <w:start w:val="1"/>
      <w:numFmt w:val="decimal"/>
      <w:lvlText w:val="%1)"/>
      <w:lvlJc w:val="left"/>
      <w:pPr>
        <w:ind w:left="425" w:hanging="425"/>
      </w:pPr>
      <w:rPr>
        <w:rFonts w:hint="default"/>
      </w:rPr>
    </w:lvl>
  </w:abstractNum>
  <w:abstractNum w:abstractNumId="21">
    <w:nsid w:val="66E9543B"/>
    <w:multiLevelType w:val="multilevel"/>
    <w:tmpl w:val="66E9543B"/>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2">
    <w:nsid w:val="77694DB2"/>
    <w:multiLevelType w:val="multilevel"/>
    <w:tmpl w:val="77694DB2"/>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13"/>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4"/>
  </w:num>
  <w:num w:numId="4">
    <w:abstractNumId w:val="6"/>
  </w:num>
  <w:num w:numId="5">
    <w:abstractNumId w:val="15"/>
  </w:num>
  <w:num w:numId="6">
    <w:abstractNumId w:val="2"/>
  </w:num>
  <w:num w:numId="7">
    <w:abstractNumId w:val="20"/>
  </w:num>
  <w:num w:numId="8">
    <w:abstractNumId w:val="11"/>
  </w:num>
  <w:num w:numId="9">
    <w:abstractNumId w:val="18"/>
  </w:num>
  <w:num w:numId="10">
    <w:abstractNumId w:val="10"/>
  </w:num>
  <w:num w:numId="11">
    <w:abstractNumId w:val="17"/>
  </w:num>
  <w:num w:numId="12">
    <w:abstractNumId w:val="16"/>
  </w:num>
  <w:num w:numId="13">
    <w:abstractNumId w:val="12"/>
  </w:num>
  <w:num w:numId="14">
    <w:abstractNumId w:val="1"/>
  </w:num>
  <w:num w:numId="15">
    <w:abstractNumId w:val="21"/>
  </w:num>
  <w:num w:numId="16">
    <w:abstractNumId w:val="8"/>
  </w:num>
  <w:num w:numId="17">
    <w:abstractNumId w:val="22"/>
  </w:num>
  <w:num w:numId="18">
    <w:abstractNumId w:val="19"/>
  </w:num>
  <w:num w:numId="19">
    <w:abstractNumId w:val="4"/>
  </w:num>
  <w:num w:numId="20">
    <w:abstractNumId w:val="5"/>
  </w:num>
  <w:num w:numId="21">
    <w:abstractNumId w:val="0"/>
  </w:num>
  <w:num w:numId="22">
    <w:abstractNumId w:val="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5ODM0YmMxOWJiYWQyNDU4MGIzYWRmYTA0ZmI5NDcifQ=="/>
  </w:docVars>
  <w:rsids>
    <w:rsidRoot w:val="0060059E"/>
    <w:rsid w:val="00055C6D"/>
    <w:rsid w:val="0008265A"/>
    <w:rsid w:val="000F6E9E"/>
    <w:rsid w:val="000F781F"/>
    <w:rsid w:val="0014100F"/>
    <w:rsid w:val="001414F1"/>
    <w:rsid w:val="00157A88"/>
    <w:rsid w:val="00164E2F"/>
    <w:rsid w:val="00172A3E"/>
    <w:rsid w:val="001B05E3"/>
    <w:rsid w:val="001B3421"/>
    <w:rsid w:val="001E1601"/>
    <w:rsid w:val="001F5660"/>
    <w:rsid w:val="001F7B2B"/>
    <w:rsid w:val="00253379"/>
    <w:rsid w:val="00255C95"/>
    <w:rsid w:val="002B3589"/>
    <w:rsid w:val="002D2729"/>
    <w:rsid w:val="002E0020"/>
    <w:rsid w:val="003153FD"/>
    <w:rsid w:val="0035154C"/>
    <w:rsid w:val="003608B0"/>
    <w:rsid w:val="00362596"/>
    <w:rsid w:val="00393A13"/>
    <w:rsid w:val="003A2AF6"/>
    <w:rsid w:val="003E5EF6"/>
    <w:rsid w:val="003F1FD2"/>
    <w:rsid w:val="003F3510"/>
    <w:rsid w:val="00415AAC"/>
    <w:rsid w:val="00477618"/>
    <w:rsid w:val="004807A0"/>
    <w:rsid w:val="004A359E"/>
    <w:rsid w:val="004B3900"/>
    <w:rsid w:val="004D0656"/>
    <w:rsid w:val="004F5B1E"/>
    <w:rsid w:val="00522BD4"/>
    <w:rsid w:val="00530FC8"/>
    <w:rsid w:val="005468E5"/>
    <w:rsid w:val="005472C2"/>
    <w:rsid w:val="005741B6"/>
    <w:rsid w:val="0058429F"/>
    <w:rsid w:val="005A58BB"/>
    <w:rsid w:val="005A73B4"/>
    <w:rsid w:val="005C02BC"/>
    <w:rsid w:val="0060059E"/>
    <w:rsid w:val="0060126E"/>
    <w:rsid w:val="00615DD2"/>
    <w:rsid w:val="006327ED"/>
    <w:rsid w:val="00680863"/>
    <w:rsid w:val="00682F6C"/>
    <w:rsid w:val="006D0CE4"/>
    <w:rsid w:val="006F205E"/>
    <w:rsid w:val="007168A6"/>
    <w:rsid w:val="00733841"/>
    <w:rsid w:val="00756AEC"/>
    <w:rsid w:val="00756C7C"/>
    <w:rsid w:val="00804836"/>
    <w:rsid w:val="00807581"/>
    <w:rsid w:val="0082526E"/>
    <w:rsid w:val="008547EB"/>
    <w:rsid w:val="0086162F"/>
    <w:rsid w:val="008843AF"/>
    <w:rsid w:val="008A3E56"/>
    <w:rsid w:val="008C7FB4"/>
    <w:rsid w:val="008D2E0C"/>
    <w:rsid w:val="008E5ED5"/>
    <w:rsid w:val="00915ED6"/>
    <w:rsid w:val="009209A2"/>
    <w:rsid w:val="00936AFB"/>
    <w:rsid w:val="00954991"/>
    <w:rsid w:val="00994756"/>
    <w:rsid w:val="009B6033"/>
    <w:rsid w:val="009D13F8"/>
    <w:rsid w:val="00A0487B"/>
    <w:rsid w:val="00A60F70"/>
    <w:rsid w:val="00A84C38"/>
    <w:rsid w:val="00AA546B"/>
    <w:rsid w:val="00AC6A32"/>
    <w:rsid w:val="00AF1CAE"/>
    <w:rsid w:val="00B55738"/>
    <w:rsid w:val="00B76755"/>
    <w:rsid w:val="00B8101D"/>
    <w:rsid w:val="00BB7237"/>
    <w:rsid w:val="00BC5707"/>
    <w:rsid w:val="00BF1197"/>
    <w:rsid w:val="00C143EC"/>
    <w:rsid w:val="00C2588D"/>
    <w:rsid w:val="00C36992"/>
    <w:rsid w:val="00C85044"/>
    <w:rsid w:val="00C8778C"/>
    <w:rsid w:val="00CC6E02"/>
    <w:rsid w:val="00D05A84"/>
    <w:rsid w:val="00D43D73"/>
    <w:rsid w:val="00D44694"/>
    <w:rsid w:val="00D46446"/>
    <w:rsid w:val="00D471DE"/>
    <w:rsid w:val="00D56725"/>
    <w:rsid w:val="00D76CC9"/>
    <w:rsid w:val="00D95C8F"/>
    <w:rsid w:val="00DE479A"/>
    <w:rsid w:val="00E20060"/>
    <w:rsid w:val="00E4255F"/>
    <w:rsid w:val="00E5570B"/>
    <w:rsid w:val="00E5746B"/>
    <w:rsid w:val="00E71B9D"/>
    <w:rsid w:val="00E81669"/>
    <w:rsid w:val="00E9076D"/>
    <w:rsid w:val="00EB7A62"/>
    <w:rsid w:val="00ED1058"/>
    <w:rsid w:val="00EE44B7"/>
    <w:rsid w:val="00F20690"/>
    <w:rsid w:val="00F379B7"/>
    <w:rsid w:val="00F456AD"/>
    <w:rsid w:val="00F551E1"/>
    <w:rsid w:val="00F73DA6"/>
    <w:rsid w:val="00F92FB1"/>
    <w:rsid w:val="010A36F1"/>
    <w:rsid w:val="0126649C"/>
    <w:rsid w:val="01362446"/>
    <w:rsid w:val="024A6C6E"/>
    <w:rsid w:val="02EB7596"/>
    <w:rsid w:val="030D40BE"/>
    <w:rsid w:val="038575BD"/>
    <w:rsid w:val="044156F0"/>
    <w:rsid w:val="056B3DE5"/>
    <w:rsid w:val="058A5E9A"/>
    <w:rsid w:val="05DD030C"/>
    <w:rsid w:val="062849FD"/>
    <w:rsid w:val="06355981"/>
    <w:rsid w:val="07726BF9"/>
    <w:rsid w:val="07830DF3"/>
    <w:rsid w:val="07F92796"/>
    <w:rsid w:val="086F75C9"/>
    <w:rsid w:val="089E0E96"/>
    <w:rsid w:val="08A76D63"/>
    <w:rsid w:val="08D062B9"/>
    <w:rsid w:val="09175198"/>
    <w:rsid w:val="09223F94"/>
    <w:rsid w:val="0A14667A"/>
    <w:rsid w:val="0A8B4F1A"/>
    <w:rsid w:val="0B3A3EBE"/>
    <w:rsid w:val="0C2506CA"/>
    <w:rsid w:val="0CD50225"/>
    <w:rsid w:val="0D7C4392"/>
    <w:rsid w:val="0DE87C01"/>
    <w:rsid w:val="0EA43128"/>
    <w:rsid w:val="0FFB63F9"/>
    <w:rsid w:val="10865C7F"/>
    <w:rsid w:val="10A342B4"/>
    <w:rsid w:val="10C71F5E"/>
    <w:rsid w:val="10CC55B8"/>
    <w:rsid w:val="113D447D"/>
    <w:rsid w:val="11B40DFE"/>
    <w:rsid w:val="11BD04D5"/>
    <w:rsid w:val="11BD735F"/>
    <w:rsid w:val="11F476D0"/>
    <w:rsid w:val="12597320"/>
    <w:rsid w:val="12ED600D"/>
    <w:rsid w:val="13033248"/>
    <w:rsid w:val="132C0590"/>
    <w:rsid w:val="13987F9F"/>
    <w:rsid w:val="13C0543D"/>
    <w:rsid w:val="13D3257C"/>
    <w:rsid w:val="13E12787"/>
    <w:rsid w:val="13FD3A62"/>
    <w:rsid w:val="1467597B"/>
    <w:rsid w:val="15992C68"/>
    <w:rsid w:val="164D7133"/>
    <w:rsid w:val="1699418F"/>
    <w:rsid w:val="17084E70"/>
    <w:rsid w:val="171A2056"/>
    <w:rsid w:val="173D7210"/>
    <w:rsid w:val="17DD00AB"/>
    <w:rsid w:val="182C5FCC"/>
    <w:rsid w:val="185A079F"/>
    <w:rsid w:val="189A41EE"/>
    <w:rsid w:val="19133753"/>
    <w:rsid w:val="1966169D"/>
    <w:rsid w:val="19766A09"/>
    <w:rsid w:val="19A05BB5"/>
    <w:rsid w:val="1AD65874"/>
    <w:rsid w:val="1AE300CE"/>
    <w:rsid w:val="1B666609"/>
    <w:rsid w:val="1B89014D"/>
    <w:rsid w:val="1BB2184F"/>
    <w:rsid w:val="1BFA034E"/>
    <w:rsid w:val="1C281B11"/>
    <w:rsid w:val="1CA64290"/>
    <w:rsid w:val="1D547061"/>
    <w:rsid w:val="1DDE4B7D"/>
    <w:rsid w:val="1E1862E1"/>
    <w:rsid w:val="1F556044"/>
    <w:rsid w:val="1FBE20C7"/>
    <w:rsid w:val="219043E0"/>
    <w:rsid w:val="21A32365"/>
    <w:rsid w:val="21AC74F8"/>
    <w:rsid w:val="2208041A"/>
    <w:rsid w:val="223A40EF"/>
    <w:rsid w:val="22D92223"/>
    <w:rsid w:val="231D7EF5"/>
    <w:rsid w:val="233063FB"/>
    <w:rsid w:val="23AF0C28"/>
    <w:rsid w:val="24FE5B05"/>
    <w:rsid w:val="2503092F"/>
    <w:rsid w:val="26320E59"/>
    <w:rsid w:val="266A3452"/>
    <w:rsid w:val="28697739"/>
    <w:rsid w:val="289C7722"/>
    <w:rsid w:val="28BB5EEC"/>
    <w:rsid w:val="296319FD"/>
    <w:rsid w:val="29D929DE"/>
    <w:rsid w:val="2B41674B"/>
    <w:rsid w:val="2B5B221A"/>
    <w:rsid w:val="2B6C7A10"/>
    <w:rsid w:val="2B852ADC"/>
    <w:rsid w:val="2B9F3B9D"/>
    <w:rsid w:val="2C1D1D4B"/>
    <w:rsid w:val="2C843361"/>
    <w:rsid w:val="2CED26E7"/>
    <w:rsid w:val="2D5A7455"/>
    <w:rsid w:val="2DA97C89"/>
    <w:rsid w:val="2E115E8A"/>
    <w:rsid w:val="2EB45DFB"/>
    <w:rsid w:val="2EC27BA3"/>
    <w:rsid w:val="2EC54988"/>
    <w:rsid w:val="2EFC30B5"/>
    <w:rsid w:val="2F012479"/>
    <w:rsid w:val="2F1F77A0"/>
    <w:rsid w:val="303A175E"/>
    <w:rsid w:val="30517430"/>
    <w:rsid w:val="30977539"/>
    <w:rsid w:val="30A6777C"/>
    <w:rsid w:val="30C108D6"/>
    <w:rsid w:val="311E37FC"/>
    <w:rsid w:val="313A4C23"/>
    <w:rsid w:val="31A87524"/>
    <w:rsid w:val="31D85915"/>
    <w:rsid w:val="32580D2A"/>
    <w:rsid w:val="32AF463E"/>
    <w:rsid w:val="33214207"/>
    <w:rsid w:val="33B975EB"/>
    <w:rsid w:val="34907485"/>
    <w:rsid w:val="35444468"/>
    <w:rsid w:val="3582021A"/>
    <w:rsid w:val="361A2073"/>
    <w:rsid w:val="36423808"/>
    <w:rsid w:val="366118FB"/>
    <w:rsid w:val="36C84B60"/>
    <w:rsid w:val="36E6103A"/>
    <w:rsid w:val="37406C32"/>
    <w:rsid w:val="37415551"/>
    <w:rsid w:val="37C13FF1"/>
    <w:rsid w:val="37EF1B97"/>
    <w:rsid w:val="38284F1B"/>
    <w:rsid w:val="38ED5655"/>
    <w:rsid w:val="38F73483"/>
    <w:rsid w:val="397424AA"/>
    <w:rsid w:val="39A71E6F"/>
    <w:rsid w:val="39E11825"/>
    <w:rsid w:val="3A531A26"/>
    <w:rsid w:val="3A7758CE"/>
    <w:rsid w:val="3AEF4F64"/>
    <w:rsid w:val="3B4262F3"/>
    <w:rsid w:val="3BD80A06"/>
    <w:rsid w:val="3BF470B0"/>
    <w:rsid w:val="3C4A30C0"/>
    <w:rsid w:val="3C97441D"/>
    <w:rsid w:val="3CC504A1"/>
    <w:rsid w:val="3D2E14E1"/>
    <w:rsid w:val="3D314198"/>
    <w:rsid w:val="3DA05C59"/>
    <w:rsid w:val="3DDEEE4A"/>
    <w:rsid w:val="3E261EFC"/>
    <w:rsid w:val="3E374CB6"/>
    <w:rsid w:val="3EBD5BD8"/>
    <w:rsid w:val="3ECA2888"/>
    <w:rsid w:val="3EDD6FEC"/>
    <w:rsid w:val="3F3D4BED"/>
    <w:rsid w:val="3F5D194E"/>
    <w:rsid w:val="3F6ED354"/>
    <w:rsid w:val="3FD3401C"/>
    <w:rsid w:val="40847499"/>
    <w:rsid w:val="4162149D"/>
    <w:rsid w:val="41970A1B"/>
    <w:rsid w:val="41DF2AEE"/>
    <w:rsid w:val="4300047E"/>
    <w:rsid w:val="440656C2"/>
    <w:rsid w:val="44CA41F5"/>
    <w:rsid w:val="45084014"/>
    <w:rsid w:val="45436DA3"/>
    <w:rsid w:val="45CB0699"/>
    <w:rsid w:val="45F53824"/>
    <w:rsid w:val="462F66AF"/>
    <w:rsid w:val="463F3083"/>
    <w:rsid w:val="47482EE3"/>
    <w:rsid w:val="478D08F6"/>
    <w:rsid w:val="48135B10"/>
    <w:rsid w:val="48D47327"/>
    <w:rsid w:val="48D80F37"/>
    <w:rsid w:val="496549D0"/>
    <w:rsid w:val="4983155E"/>
    <w:rsid w:val="49A92DA5"/>
    <w:rsid w:val="4A365275"/>
    <w:rsid w:val="4AE7656F"/>
    <w:rsid w:val="4B1E2A8F"/>
    <w:rsid w:val="4B9D1856"/>
    <w:rsid w:val="4C96024D"/>
    <w:rsid w:val="4D190CBF"/>
    <w:rsid w:val="4D565246"/>
    <w:rsid w:val="4DB57527"/>
    <w:rsid w:val="4DEA79B1"/>
    <w:rsid w:val="4DEE5E67"/>
    <w:rsid w:val="4E3E1419"/>
    <w:rsid w:val="4E581E19"/>
    <w:rsid w:val="4FC07CDE"/>
    <w:rsid w:val="4FC31E08"/>
    <w:rsid w:val="507A1151"/>
    <w:rsid w:val="51FB17DE"/>
    <w:rsid w:val="52552450"/>
    <w:rsid w:val="526130AB"/>
    <w:rsid w:val="53D245D5"/>
    <w:rsid w:val="547355A6"/>
    <w:rsid w:val="550C5017"/>
    <w:rsid w:val="55AF412E"/>
    <w:rsid w:val="565D5647"/>
    <w:rsid w:val="58124259"/>
    <w:rsid w:val="58C571AA"/>
    <w:rsid w:val="590D1F2D"/>
    <w:rsid w:val="59723D50"/>
    <w:rsid w:val="5A137381"/>
    <w:rsid w:val="5A6279C1"/>
    <w:rsid w:val="5ACC7530"/>
    <w:rsid w:val="5B7A6590"/>
    <w:rsid w:val="5C2C64D8"/>
    <w:rsid w:val="5C8E2CEF"/>
    <w:rsid w:val="5D7F482C"/>
    <w:rsid w:val="5D867E6A"/>
    <w:rsid w:val="5DBD5E39"/>
    <w:rsid w:val="5EAA6F92"/>
    <w:rsid w:val="5EB561D4"/>
    <w:rsid w:val="5F126F11"/>
    <w:rsid w:val="5F41673E"/>
    <w:rsid w:val="5FE146A2"/>
    <w:rsid w:val="5FE84E0C"/>
    <w:rsid w:val="5FF213B9"/>
    <w:rsid w:val="60841BD2"/>
    <w:rsid w:val="60B7606B"/>
    <w:rsid w:val="60FE2878"/>
    <w:rsid w:val="61C566A5"/>
    <w:rsid w:val="61DF5D9B"/>
    <w:rsid w:val="624F4055"/>
    <w:rsid w:val="625F49F0"/>
    <w:rsid w:val="62D1322E"/>
    <w:rsid w:val="62EF3C7E"/>
    <w:rsid w:val="63040FB0"/>
    <w:rsid w:val="638D6ECA"/>
    <w:rsid w:val="64080B2E"/>
    <w:rsid w:val="640B266D"/>
    <w:rsid w:val="64654FB0"/>
    <w:rsid w:val="646B7DB9"/>
    <w:rsid w:val="648669A1"/>
    <w:rsid w:val="6534525A"/>
    <w:rsid w:val="653D1756"/>
    <w:rsid w:val="661E50E3"/>
    <w:rsid w:val="66CD24A8"/>
    <w:rsid w:val="66DC0AFB"/>
    <w:rsid w:val="67615E1B"/>
    <w:rsid w:val="67C43C72"/>
    <w:rsid w:val="683B7691"/>
    <w:rsid w:val="68530F51"/>
    <w:rsid w:val="689057C7"/>
    <w:rsid w:val="68D20D01"/>
    <w:rsid w:val="69E44B6C"/>
    <w:rsid w:val="6B171D92"/>
    <w:rsid w:val="6B744D35"/>
    <w:rsid w:val="6C9B5116"/>
    <w:rsid w:val="6CDF4640"/>
    <w:rsid w:val="6D116053"/>
    <w:rsid w:val="6D6F4477"/>
    <w:rsid w:val="6D821A44"/>
    <w:rsid w:val="6DC571F9"/>
    <w:rsid w:val="6E0252EB"/>
    <w:rsid w:val="6E405E13"/>
    <w:rsid w:val="6E8C7238"/>
    <w:rsid w:val="6E9F2B3A"/>
    <w:rsid w:val="6EF01D3A"/>
    <w:rsid w:val="6F361C7B"/>
    <w:rsid w:val="6F7A7103"/>
    <w:rsid w:val="6F8445F7"/>
    <w:rsid w:val="6F8D30A5"/>
    <w:rsid w:val="6FE80510"/>
    <w:rsid w:val="70DA6015"/>
    <w:rsid w:val="7121017E"/>
    <w:rsid w:val="715E0F62"/>
    <w:rsid w:val="71F96A05"/>
    <w:rsid w:val="722F2130"/>
    <w:rsid w:val="72721B99"/>
    <w:rsid w:val="72A2709C"/>
    <w:rsid w:val="72E50FAD"/>
    <w:rsid w:val="7315161C"/>
    <w:rsid w:val="731C29AB"/>
    <w:rsid w:val="734D1457"/>
    <w:rsid w:val="73C5163E"/>
    <w:rsid w:val="741C5549"/>
    <w:rsid w:val="741F7660"/>
    <w:rsid w:val="74261CF7"/>
    <w:rsid w:val="7487479C"/>
    <w:rsid w:val="7537793E"/>
    <w:rsid w:val="754E2B32"/>
    <w:rsid w:val="75671ED7"/>
    <w:rsid w:val="75727CFA"/>
    <w:rsid w:val="75836366"/>
    <w:rsid w:val="75A018B0"/>
    <w:rsid w:val="7621477C"/>
    <w:rsid w:val="768E1E11"/>
    <w:rsid w:val="76B31878"/>
    <w:rsid w:val="773F310C"/>
    <w:rsid w:val="77444D05"/>
    <w:rsid w:val="77DF23F6"/>
    <w:rsid w:val="78BC0AF2"/>
    <w:rsid w:val="78FE572E"/>
    <w:rsid w:val="792255B9"/>
    <w:rsid w:val="7ABD59BE"/>
    <w:rsid w:val="7B0556E1"/>
    <w:rsid w:val="7B5C38F7"/>
    <w:rsid w:val="7B713AB0"/>
    <w:rsid w:val="7BEF357A"/>
    <w:rsid w:val="7C744059"/>
    <w:rsid w:val="7C9931A2"/>
    <w:rsid w:val="7CB03315"/>
    <w:rsid w:val="7D802572"/>
    <w:rsid w:val="7DFF8921"/>
    <w:rsid w:val="7E9A3A9C"/>
    <w:rsid w:val="7F2449DC"/>
    <w:rsid w:val="7F35A404"/>
    <w:rsid w:val="7F3ABAE6"/>
    <w:rsid w:val="7F5160D2"/>
    <w:rsid w:val="7FE39481"/>
    <w:rsid w:val="7FE60E8E"/>
    <w:rsid w:val="7FEFB8EB"/>
    <w:rsid w:val="CAFE9D24"/>
    <w:rsid w:val="CFFFD5B3"/>
    <w:rsid w:val="D7F7EFEC"/>
    <w:rsid w:val="DFE7AFB8"/>
    <w:rsid w:val="EBFEE6DE"/>
    <w:rsid w:val="EEEECF78"/>
    <w:rsid w:val="F1DF3F9A"/>
    <w:rsid w:val="FAEF97AB"/>
    <w:rsid w:val="FAFF7E2D"/>
    <w:rsid w:val="FBFBE000"/>
    <w:rsid w:val="FEA52B4D"/>
    <w:rsid w:val="FEFD934F"/>
    <w:rsid w:val="FF6363FA"/>
    <w:rsid w:val="FFF30FB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Calibri" w:hAnsi="Calibri" w:eastAsia="宋体" w:cs="宋体"/>
      <w:kern w:val="2"/>
      <w:sz w:val="21"/>
      <w:szCs w:val="22"/>
      <w:lang w:val="en-US" w:eastAsia="zh-CN" w:bidi="ar-SA"/>
    </w:rPr>
  </w:style>
  <w:style w:type="paragraph" w:styleId="4">
    <w:name w:val="heading 1"/>
    <w:basedOn w:val="1"/>
    <w:next w:val="1"/>
    <w:qFormat/>
    <w:uiPriority w:val="0"/>
    <w:pPr>
      <w:keepNext/>
      <w:keepLines/>
      <w:numPr>
        <w:ilvl w:val="0"/>
        <w:numId w:val="1"/>
      </w:numPr>
      <w:snapToGrid w:val="0"/>
      <w:spacing w:beforeLines="100" w:line="360" w:lineRule="auto"/>
      <w:outlineLvl w:val="0"/>
    </w:pPr>
    <w:rPr>
      <w:rFonts w:ascii="宋体" w:hAnsi="Times New Roman"/>
      <w:b/>
      <w:bCs/>
      <w:kern w:val="44"/>
      <w:szCs w:val="21"/>
    </w:rPr>
  </w:style>
  <w:style w:type="paragraph" w:styleId="5">
    <w:name w:val="heading 2"/>
    <w:basedOn w:val="1"/>
    <w:next w:val="1"/>
    <w:unhideWhenUsed/>
    <w:qFormat/>
    <w:uiPriority w:val="0"/>
    <w:pPr>
      <w:keepLines/>
      <w:numPr>
        <w:ilvl w:val="1"/>
        <w:numId w:val="1"/>
      </w:numPr>
      <w:adjustRightInd w:val="0"/>
      <w:snapToGrid w:val="0"/>
      <w:spacing w:line="360" w:lineRule="auto"/>
      <w:outlineLvl w:val="1"/>
    </w:pPr>
    <w:rPr>
      <w:rFonts w:ascii="宋体" w:hAnsi="Times New Roman"/>
      <w:bCs/>
      <w:szCs w:val="21"/>
    </w:rPr>
  </w:style>
  <w:style w:type="paragraph" w:styleId="6">
    <w:name w:val="heading 3"/>
    <w:basedOn w:val="1"/>
    <w:next w:val="1"/>
    <w:link w:val="44"/>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45"/>
    <w:unhideWhenUsed/>
    <w:qFormat/>
    <w:uiPriority w:val="0"/>
    <w:pPr>
      <w:keepNext/>
      <w:keepLines/>
      <w:spacing w:before="280" w:after="290" w:line="372" w:lineRule="auto"/>
      <w:ind w:left="864" w:hanging="864"/>
      <w:outlineLvl w:val="3"/>
    </w:pPr>
    <w:rPr>
      <w:rFonts w:ascii="Arial" w:hAnsi="Arial" w:eastAsia="黑体" w:cstheme="minorBidi"/>
      <w:b/>
      <w:sz w:val="28"/>
      <w:szCs w:val="24"/>
    </w:rPr>
  </w:style>
  <w:style w:type="paragraph" w:styleId="8">
    <w:name w:val="heading 5"/>
    <w:basedOn w:val="1"/>
    <w:next w:val="1"/>
    <w:unhideWhenUsed/>
    <w:qFormat/>
    <w:uiPriority w:val="0"/>
    <w:pPr>
      <w:keepNext/>
      <w:keepLines/>
      <w:numPr>
        <w:ilvl w:val="4"/>
        <w:numId w:val="2"/>
      </w:numPr>
      <w:spacing w:before="120" w:after="120"/>
      <w:ind w:firstLine="0"/>
      <w:outlineLvl w:val="4"/>
    </w:pPr>
    <w:rPr>
      <w:rFonts w:ascii="黑体" w:hAnsi="黑体" w:eastAsia="黑体" w:cs="黑体"/>
      <w:szCs w:val="28"/>
    </w:rPr>
  </w:style>
  <w:style w:type="paragraph" w:styleId="9">
    <w:name w:val="heading 6"/>
    <w:basedOn w:val="1"/>
    <w:next w:val="1"/>
    <w:link w:val="46"/>
    <w:unhideWhenUsed/>
    <w:qFormat/>
    <w:uiPriority w:val="0"/>
    <w:pPr>
      <w:keepNext/>
      <w:keepLines/>
      <w:spacing w:before="240" w:after="64" w:line="317" w:lineRule="auto"/>
      <w:ind w:left="1151" w:hanging="1151"/>
      <w:outlineLvl w:val="5"/>
    </w:pPr>
    <w:rPr>
      <w:rFonts w:ascii="Arial" w:hAnsi="Arial" w:eastAsia="黑体" w:cstheme="minorBidi"/>
      <w:b/>
      <w:sz w:val="24"/>
      <w:szCs w:val="24"/>
    </w:rPr>
  </w:style>
  <w:style w:type="paragraph" w:styleId="10">
    <w:name w:val="heading 7"/>
    <w:basedOn w:val="1"/>
    <w:next w:val="1"/>
    <w:link w:val="47"/>
    <w:unhideWhenUsed/>
    <w:qFormat/>
    <w:uiPriority w:val="0"/>
    <w:pPr>
      <w:keepNext/>
      <w:keepLines/>
      <w:spacing w:before="240" w:after="64" w:line="317" w:lineRule="auto"/>
      <w:ind w:left="1296" w:hanging="1296"/>
      <w:outlineLvl w:val="6"/>
    </w:pPr>
    <w:rPr>
      <w:rFonts w:asciiTheme="minorHAnsi" w:hAnsiTheme="minorHAnsi" w:eastAsiaTheme="minorEastAsia" w:cstheme="minorBidi"/>
      <w:b/>
      <w:sz w:val="24"/>
      <w:szCs w:val="24"/>
    </w:rPr>
  </w:style>
  <w:style w:type="paragraph" w:styleId="11">
    <w:name w:val="heading 8"/>
    <w:basedOn w:val="1"/>
    <w:next w:val="1"/>
    <w:link w:val="48"/>
    <w:unhideWhenUsed/>
    <w:qFormat/>
    <w:uiPriority w:val="0"/>
    <w:pPr>
      <w:keepNext/>
      <w:keepLines/>
      <w:spacing w:before="240" w:after="64" w:line="317" w:lineRule="auto"/>
      <w:ind w:left="1440" w:hanging="1440"/>
      <w:outlineLvl w:val="7"/>
    </w:pPr>
    <w:rPr>
      <w:rFonts w:ascii="Arial" w:hAnsi="Arial" w:eastAsia="黑体" w:cstheme="minorBidi"/>
      <w:sz w:val="24"/>
      <w:szCs w:val="24"/>
    </w:rPr>
  </w:style>
  <w:style w:type="paragraph" w:styleId="12">
    <w:name w:val="heading 9"/>
    <w:basedOn w:val="1"/>
    <w:next w:val="1"/>
    <w:link w:val="49"/>
    <w:unhideWhenUsed/>
    <w:qFormat/>
    <w:uiPriority w:val="0"/>
    <w:pPr>
      <w:keepNext/>
      <w:keepLines/>
      <w:spacing w:before="240" w:after="64" w:line="317" w:lineRule="auto"/>
      <w:ind w:left="1583" w:hanging="1583"/>
      <w:outlineLvl w:val="8"/>
    </w:pPr>
    <w:rPr>
      <w:rFonts w:ascii="Arial" w:hAnsi="Arial" w:eastAsia="黑体" w:cstheme="minorBidi"/>
      <w:szCs w:val="24"/>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0"/>
    <w:pPr>
      <w:spacing w:after="120" w:line="412" w:lineRule="atLeast"/>
    </w:pPr>
    <w:rPr>
      <w:sz w:val="24"/>
    </w:rPr>
  </w:style>
  <w:style w:type="paragraph" w:styleId="3">
    <w:name w:val="Title"/>
    <w:basedOn w:val="1"/>
    <w:next w:val="1"/>
    <w:qFormat/>
    <w:uiPriority w:val="0"/>
    <w:pPr>
      <w:spacing w:before="240" w:after="60" w:line="412" w:lineRule="atLeast"/>
      <w:jc w:val="center"/>
    </w:pPr>
    <w:rPr>
      <w:rFonts w:ascii="Arial" w:hAnsi="Arial" w:cs="Arial"/>
      <w:sz w:val="32"/>
      <w:szCs w:val="32"/>
    </w:rPr>
  </w:style>
  <w:style w:type="paragraph" w:styleId="13">
    <w:name w:val="Normal Indent"/>
    <w:basedOn w:val="1"/>
    <w:qFormat/>
    <w:uiPriority w:val="0"/>
    <w:pPr>
      <w:ind w:firstLine="420" w:firstLineChars="200"/>
    </w:pPr>
  </w:style>
  <w:style w:type="paragraph" w:styleId="14">
    <w:name w:val="annotation text"/>
    <w:basedOn w:val="1"/>
    <w:qFormat/>
    <w:uiPriority w:val="0"/>
    <w:pPr>
      <w:jc w:val="left"/>
    </w:pPr>
  </w:style>
  <w:style w:type="paragraph" w:styleId="15">
    <w:name w:val="Body Text Indent"/>
    <w:basedOn w:val="1"/>
    <w:semiHidden/>
    <w:unhideWhenUsed/>
    <w:qFormat/>
    <w:uiPriority w:val="99"/>
    <w:pPr>
      <w:spacing w:after="120"/>
      <w:ind w:left="420" w:leftChars="200"/>
    </w:pPr>
  </w:style>
  <w:style w:type="paragraph" w:styleId="16">
    <w:name w:val="Plain Text"/>
    <w:basedOn w:val="1"/>
    <w:qFormat/>
    <w:uiPriority w:val="0"/>
    <w:rPr>
      <w:rFonts w:ascii="宋体" w:hAnsi="Courier New" w:cs="Times New Roman"/>
      <w:szCs w:val="24"/>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spacing w:before="120" w:after="120"/>
      <w:jc w:val="left"/>
    </w:pPr>
    <w:rPr>
      <w:rFonts w:ascii="Times New Roman" w:hAnsi="Times New Roman" w:cs="Times New Roman"/>
      <w:b/>
      <w:bCs/>
      <w:caps/>
      <w:sz w:val="20"/>
      <w:szCs w:val="20"/>
    </w:rPr>
  </w:style>
  <w:style w:type="paragraph" w:styleId="20">
    <w:name w:val="toc 2"/>
    <w:basedOn w:val="1"/>
    <w:next w:val="1"/>
    <w:qFormat/>
    <w:uiPriority w:val="0"/>
    <w:pPr>
      <w:tabs>
        <w:tab w:val="left" w:pos="900"/>
        <w:tab w:val="right" w:leader="dot" w:pos="8296"/>
      </w:tabs>
      <w:ind w:left="420" w:leftChars="200"/>
    </w:pPr>
    <w:rPr>
      <w:rFonts w:ascii="Times New Roman" w:hAnsi="Times New Roman" w:cs="Times New Roman"/>
      <w:szCs w:val="24"/>
    </w:rPr>
  </w:style>
  <w:style w:type="paragraph" w:styleId="21">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2">
    <w:name w:val="Body Text First Indent 2"/>
    <w:basedOn w:val="15"/>
    <w:semiHidden/>
    <w:unhideWhenUsed/>
    <w:qFormat/>
    <w:uiPriority w:val="99"/>
    <w:pPr>
      <w:ind w:firstLine="420" w:firstLineChars="200"/>
    </w:p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qFormat/>
    <w:uiPriority w:val="0"/>
    <w:rPr>
      <w:color w:val="0000FF"/>
      <w:u w:val="single"/>
    </w:rPr>
  </w:style>
  <w:style w:type="character" w:styleId="27">
    <w:name w:val="annotation reference"/>
    <w:basedOn w:val="25"/>
    <w:semiHidden/>
    <w:unhideWhenUsed/>
    <w:qFormat/>
    <w:uiPriority w:val="99"/>
    <w:rPr>
      <w:sz w:val="21"/>
      <w:szCs w:val="21"/>
    </w:rPr>
  </w:style>
  <w:style w:type="paragraph" w:customStyle="1" w:styleId="28">
    <w:name w:val="首行缩进"/>
    <w:basedOn w:val="1"/>
    <w:qFormat/>
    <w:uiPriority w:val="0"/>
    <w:pPr>
      <w:spacing w:line="300" w:lineRule="auto"/>
      <w:ind w:firstLine="420" w:firstLineChars="200"/>
    </w:pPr>
    <w:rPr>
      <w:rFonts w:ascii="方正书宋简体" w:eastAsia="方正书宋简体"/>
    </w:rPr>
  </w:style>
  <w:style w:type="paragraph" w:customStyle="1" w:styleId="29">
    <w:name w:val="段"/>
    <w:qFormat/>
    <w:uiPriority w:val="0"/>
    <w:pPr>
      <w:spacing w:after="160" w:line="278" w:lineRule="auto"/>
      <w:ind w:firstLine="200" w:firstLineChars="200"/>
      <w:jc w:val="both"/>
    </w:pPr>
    <w:rPr>
      <w:rFonts w:ascii="宋体" w:hAnsi="Times New Roman" w:eastAsia="宋体" w:cs="Times New Roman"/>
      <w:sz w:val="21"/>
      <w:lang w:val="en-US" w:eastAsia="zh-CN" w:bidi="ar-SA"/>
    </w:rPr>
  </w:style>
  <w:style w:type="paragraph" w:customStyle="1" w:styleId="30">
    <w:name w:val="列表段落1"/>
    <w:basedOn w:val="1"/>
    <w:qFormat/>
    <w:uiPriority w:val="34"/>
    <w:pPr>
      <w:ind w:firstLine="420" w:firstLineChars="200"/>
    </w:pPr>
    <w:rPr>
      <w:rFonts w:ascii="Times New Roman" w:hAnsi="Times New Roman" w:cs="Times New Roman"/>
      <w:szCs w:val="20"/>
    </w:rPr>
  </w:style>
  <w:style w:type="paragraph" w:customStyle="1" w:styleId="31">
    <w:name w:val="r"/>
    <w:basedOn w:val="1"/>
    <w:qFormat/>
    <w:uiPriority w:val="0"/>
    <w:pPr>
      <w:widowControl/>
      <w:topLinePunct/>
      <w:snapToGrid w:val="0"/>
      <w:spacing w:before="60" w:after="60"/>
      <w:jc w:val="center"/>
    </w:pPr>
    <w:rPr>
      <w:rFonts w:ascii="宋体"/>
      <w:kern w:val="0"/>
      <w:sz w:val="18"/>
      <w:szCs w:val="18"/>
    </w:rPr>
  </w:style>
  <w:style w:type="paragraph" w:customStyle="1" w:styleId="32">
    <w:name w:val="正文加标号"/>
    <w:qFormat/>
    <w:uiPriority w:val="0"/>
    <w:pPr>
      <w:tabs>
        <w:tab w:val="left" w:pos="662"/>
      </w:tabs>
      <w:spacing w:after="160" w:line="360" w:lineRule="auto"/>
    </w:pPr>
    <w:rPr>
      <w:rFonts w:ascii="Calibri" w:hAnsi="Calibri" w:eastAsia="宋体" w:cs="Times New Roman"/>
      <w:lang w:val="en-US" w:eastAsia="zh-CN" w:bidi="ar-SA"/>
    </w:rPr>
  </w:style>
  <w:style w:type="paragraph" w:customStyle="1" w:styleId="33">
    <w:name w:val="列表段落2"/>
    <w:basedOn w:val="1"/>
    <w:qFormat/>
    <w:uiPriority w:val="99"/>
    <w:pPr>
      <w:ind w:firstLine="420" w:firstLineChars="200"/>
    </w:pPr>
  </w:style>
  <w:style w:type="paragraph" w:customStyle="1" w:styleId="34">
    <w:name w:val="修订1"/>
    <w:hidden/>
    <w:semiHidden/>
    <w:qFormat/>
    <w:uiPriority w:val="99"/>
    <w:pPr>
      <w:spacing w:after="160" w:line="278" w:lineRule="auto"/>
    </w:pPr>
    <w:rPr>
      <w:rFonts w:ascii="Calibri" w:hAnsi="Calibri" w:eastAsia="宋体" w:cs="宋体"/>
      <w:kern w:val="2"/>
      <w:sz w:val="21"/>
      <w:szCs w:val="22"/>
      <w:lang w:val="en-US" w:eastAsia="zh-CN" w:bidi="ar-SA"/>
    </w:rPr>
  </w:style>
  <w:style w:type="paragraph" w:styleId="35">
    <w:name w:val="List Paragraph"/>
    <w:basedOn w:val="1"/>
    <w:qFormat/>
    <w:uiPriority w:val="99"/>
    <w:pPr>
      <w:ind w:firstLine="420" w:firstLineChars="200"/>
    </w:pPr>
  </w:style>
  <w:style w:type="character" w:customStyle="1" w:styleId="36">
    <w:name w:val="页眉 字符"/>
    <w:basedOn w:val="25"/>
    <w:link w:val="18"/>
    <w:qFormat/>
    <w:uiPriority w:val="99"/>
    <w:rPr>
      <w:rFonts w:eastAsia="宋体"/>
      <w:kern w:val="2"/>
      <w:sz w:val="18"/>
      <w:szCs w:val="18"/>
    </w:rPr>
  </w:style>
  <w:style w:type="character" w:customStyle="1" w:styleId="37">
    <w:name w:val="页脚 字符"/>
    <w:basedOn w:val="25"/>
    <w:link w:val="17"/>
    <w:qFormat/>
    <w:uiPriority w:val="99"/>
    <w:rPr>
      <w:rFonts w:eastAsia="宋体"/>
      <w:kern w:val="2"/>
      <w:sz w:val="18"/>
      <w:szCs w:val="18"/>
    </w:rPr>
  </w:style>
  <w:style w:type="paragraph" w:customStyle="1" w:styleId="38">
    <w:name w:val="标准1级标题"/>
    <w:basedOn w:val="1"/>
    <w:qFormat/>
    <w:uiPriority w:val="0"/>
    <w:pPr>
      <w:keepNext/>
      <w:keepLines/>
      <w:widowControl/>
      <w:spacing w:before="50" w:beforeLines="50" w:after="50" w:afterLines="50" w:line="360" w:lineRule="auto"/>
      <w:jc w:val="left"/>
      <w:outlineLvl w:val="0"/>
    </w:pPr>
    <w:rPr>
      <w:rFonts w:ascii="黑体" w:hAnsi="黑体" w:eastAsia="黑体"/>
      <w:kern w:val="0"/>
      <w:szCs w:val="20"/>
    </w:rPr>
  </w:style>
  <w:style w:type="paragraph" w:customStyle="1" w:styleId="39">
    <w:name w:val="列出段落1"/>
    <w:basedOn w:val="1"/>
    <w:qFormat/>
    <w:uiPriority w:val="34"/>
    <w:pPr>
      <w:ind w:firstLine="420" w:firstLineChars="200"/>
    </w:pPr>
  </w:style>
  <w:style w:type="paragraph" w:customStyle="1" w:styleId="40">
    <w:name w:val="表格"/>
    <w:basedOn w:val="1"/>
    <w:qFormat/>
    <w:uiPriority w:val="0"/>
    <w:pPr>
      <w:spacing w:line="360" w:lineRule="auto"/>
      <w:jc w:val="center"/>
    </w:pPr>
    <w:rPr>
      <w:rFonts w:ascii="宋体" w:hAnsi="宋体"/>
      <w:color w:val="000000"/>
      <w:sz w:val="24"/>
      <w:szCs w:val="18"/>
    </w:rPr>
  </w:style>
  <w:style w:type="character" w:customStyle="1" w:styleId="41">
    <w:name w:val="font21"/>
    <w:basedOn w:val="25"/>
    <w:qFormat/>
    <w:uiPriority w:val="0"/>
    <w:rPr>
      <w:rFonts w:hint="default" w:ascii="仿宋_GB2312" w:eastAsia="仿宋_GB2312" w:cs="仿宋_GB2312"/>
      <w:color w:val="000000"/>
      <w:sz w:val="28"/>
      <w:szCs w:val="28"/>
      <w:u w:val="none"/>
    </w:rPr>
  </w:style>
  <w:style w:type="character" w:customStyle="1" w:styleId="42">
    <w:name w:val="font31"/>
    <w:basedOn w:val="25"/>
    <w:qFormat/>
    <w:uiPriority w:val="0"/>
    <w:rPr>
      <w:rFonts w:hint="default" w:ascii="仿宋_GB2312" w:eastAsia="仿宋_GB2312" w:cs="仿宋_GB2312"/>
      <w:b/>
      <w:bCs/>
      <w:color w:val="FF0000"/>
      <w:sz w:val="28"/>
      <w:szCs w:val="28"/>
      <w:u w:val="none"/>
    </w:rPr>
  </w:style>
  <w:style w:type="paragraph" w:customStyle="1" w:styleId="43">
    <w:name w:val="Revision"/>
    <w:hidden/>
    <w:unhideWhenUsed/>
    <w:qFormat/>
    <w:uiPriority w:val="99"/>
    <w:rPr>
      <w:rFonts w:ascii="Calibri" w:hAnsi="Calibri" w:eastAsia="宋体" w:cs="宋体"/>
      <w:kern w:val="2"/>
      <w:sz w:val="21"/>
      <w:szCs w:val="22"/>
      <w:lang w:val="en-US" w:eastAsia="zh-CN" w:bidi="ar-SA"/>
    </w:rPr>
  </w:style>
  <w:style w:type="character" w:customStyle="1" w:styleId="44">
    <w:name w:val="标题 3 字符"/>
    <w:basedOn w:val="25"/>
    <w:link w:val="6"/>
    <w:semiHidden/>
    <w:qFormat/>
    <w:uiPriority w:val="9"/>
    <w:rPr>
      <w:rFonts w:ascii="Calibri" w:hAnsi="Calibri" w:cs="宋体"/>
      <w:b/>
      <w:bCs/>
      <w:kern w:val="2"/>
      <w:sz w:val="32"/>
      <w:szCs w:val="32"/>
    </w:rPr>
  </w:style>
  <w:style w:type="character" w:customStyle="1" w:styleId="45">
    <w:name w:val="标题 4 字符"/>
    <w:basedOn w:val="25"/>
    <w:link w:val="7"/>
    <w:qFormat/>
    <w:uiPriority w:val="0"/>
    <w:rPr>
      <w:rFonts w:ascii="Arial" w:hAnsi="Arial" w:eastAsia="黑体" w:cstheme="minorBidi"/>
      <w:b/>
      <w:kern w:val="2"/>
      <w:sz w:val="28"/>
      <w:szCs w:val="24"/>
    </w:rPr>
  </w:style>
  <w:style w:type="character" w:customStyle="1" w:styleId="46">
    <w:name w:val="标题 6 字符"/>
    <w:basedOn w:val="25"/>
    <w:link w:val="9"/>
    <w:qFormat/>
    <w:uiPriority w:val="0"/>
    <w:rPr>
      <w:rFonts w:ascii="Arial" w:hAnsi="Arial" w:eastAsia="黑体" w:cstheme="minorBidi"/>
      <w:b/>
      <w:kern w:val="2"/>
      <w:sz w:val="24"/>
      <w:szCs w:val="24"/>
    </w:rPr>
  </w:style>
  <w:style w:type="character" w:customStyle="1" w:styleId="47">
    <w:name w:val="标题 7 字符"/>
    <w:basedOn w:val="25"/>
    <w:link w:val="10"/>
    <w:qFormat/>
    <w:uiPriority w:val="0"/>
    <w:rPr>
      <w:rFonts w:asciiTheme="minorHAnsi" w:hAnsiTheme="minorHAnsi" w:eastAsiaTheme="minorEastAsia" w:cstheme="minorBidi"/>
      <w:b/>
      <w:kern w:val="2"/>
      <w:sz w:val="24"/>
      <w:szCs w:val="24"/>
    </w:rPr>
  </w:style>
  <w:style w:type="character" w:customStyle="1" w:styleId="48">
    <w:name w:val="标题 8 字符"/>
    <w:basedOn w:val="25"/>
    <w:link w:val="11"/>
    <w:qFormat/>
    <w:uiPriority w:val="0"/>
    <w:rPr>
      <w:rFonts w:ascii="Arial" w:hAnsi="Arial" w:eastAsia="黑体" w:cstheme="minorBidi"/>
      <w:kern w:val="2"/>
      <w:sz w:val="24"/>
      <w:szCs w:val="24"/>
    </w:rPr>
  </w:style>
  <w:style w:type="character" w:customStyle="1" w:styleId="49">
    <w:name w:val="标题 9 字符"/>
    <w:basedOn w:val="25"/>
    <w:link w:val="12"/>
    <w:qFormat/>
    <w:uiPriority w:val="0"/>
    <w:rPr>
      <w:rFonts w:ascii="Arial" w:hAnsi="Arial" w:eastAsia="黑体" w:cstheme="minorBidi"/>
      <w:kern w:val="2"/>
      <w:sz w:val="21"/>
      <w:szCs w:val="24"/>
    </w:rPr>
  </w:style>
  <w:style w:type="paragraph" w:customStyle="1" w:styleId="50">
    <w:name w:val="！表格"/>
    <w:basedOn w:val="1"/>
    <w:qFormat/>
    <w:uiPriority w:val="0"/>
    <w:pPr>
      <w:spacing w:line="240" w:lineRule="auto"/>
      <w:jc w:val="center"/>
    </w:pPr>
    <w:rPr>
      <w:rFonts w:eastAsia="仿宋"/>
      <w:sz w:val="21"/>
      <w:szCs w:val="20"/>
    </w:rPr>
  </w:style>
  <w:style w:type="paragraph" w:customStyle="1" w:styleId="51">
    <w:name w:val="样式1"/>
    <w:basedOn w:val="1"/>
    <w:qFormat/>
    <w:uiPriority w:val="0"/>
    <w:pPr>
      <w:numPr>
        <w:ilvl w:val="2"/>
        <w:numId w:val="3"/>
      </w:numPr>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1</Company>
  <Pages>56</Pages>
  <Words>8097</Words>
  <Characters>10076</Characters>
  <Lines>48</Lines>
  <Paragraphs>13</Paragraphs>
  <TotalTime>2</TotalTime>
  <ScaleCrop>false</ScaleCrop>
  <LinksUpToDate>false</LinksUpToDate>
  <CharactersWithSpaces>10280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2024-03-11T20:26:00Z</dcterms:created>
  <dc:creator>徐启源</dc:creator>
  <cp:lastModifiedBy>caimengjie0203</cp:lastModifiedBy>
  <dcterms:modified xsi:type="dcterms:W3CDTF">2026-06-17T01:44:29Z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9C84D1F61E84465DA2E18305AF1172B1</vt:lpwstr>
  </property>
  <property fmtid="{D5CDD505-2E9C-101B-9397-08002B2CF9AE}" pid="4" name="KSOTemplateDocerSaveRecord">
    <vt:lpwstr>eyJoZGlkIjoiNjE5NzM0NzQ2YzI0ZjQzM2E2YTIxNDM2MWY0MWQzNmYiLCJ1c2VySWQiOiIzNzM2Nzg3NTUifQ==</vt:lpwstr>
  </property>
</Properties>
</file>