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849BF3">
      <w:r>
        <w:rPr>
          <w:color w:val="000000"/>
        </w:rPr>
        <w:drawing>
          <wp:anchor distT="0" distB="0" distL="114300" distR="114300" simplePos="0" relativeHeight="251659264" behindDoc="0" locked="0" layoutInCell="1" allowOverlap="1">
            <wp:simplePos x="0" y="0"/>
            <wp:positionH relativeFrom="column">
              <wp:posOffset>-1409700</wp:posOffset>
            </wp:positionH>
            <wp:positionV relativeFrom="paragraph">
              <wp:posOffset>-854710</wp:posOffset>
            </wp:positionV>
            <wp:extent cx="7753350" cy="2733675"/>
            <wp:effectExtent l="0" t="0" r="3810" b="9525"/>
            <wp:wrapNone/>
            <wp:docPr id="1" name="图片 6"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 descr="模板-3"/>
                    <pic:cNvPicPr>
                      <a:picLocks noChangeAspect="1"/>
                    </pic:cNvPicPr>
                  </pic:nvPicPr>
                  <pic:blipFill>
                    <a:blip r:embed="rId7"/>
                    <a:stretch>
                      <a:fillRect/>
                    </a:stretch>
                  </pic:blipFill>
                  <pic:spPr>
                    <a:xfrm>
                      <a:off x="0" y="0"/>
                      <a:ext cx="7753350" cy="2733675"/>
                    </a:xfrm>
                    <a:prstGeom prst="rect">
                      <a:avLst/>
                    </a:prstGeom>
                    <a:noFill/>
                    <a:ln>
                      <a:noFill/>
                    </a:ln>
                  </pic:spPr>
                </pic:pic>
              </a:graphicData>
            </a:graphic>
          </wp:anchor>
        </w:drawing>
      </w:r>
    </w:p>
    <w:p w14:paraId="5F5F8CF8">
      <w:pPr>
        <w:pStyle w:val="3"/>
        <w:ind w:firstLine="964"/>
        <w:outlineLvl w:val="9"/>
      </w:pPr>
    </w:p>
    <w:p w14:paraId="6FB0022C"/>
    <w:p w14:paraId="4E504A65"/>
    <w:p w14:paraId="7942DAA2"/>
    <w:p w14:paraId="14CA5FCE"/>
    <w:p w14:paraId="32CA2B7E"/>
    <w:p w14:paraId="10F34975"/>
    <w:p w14:paraId="6055C852"/>
    <w:p w14:paraId="55F2E22E"/>
    <w:p w14:paraId="61DBEA3B"/>
    <w:p w14:paraId="4CB5CC60"/>
    <w:p w14:paraId="756E4AC6"/>
    <w:p w14:paraId="23378E36">
      <w:pPr>
        <w:pStyle w:val="3"/>
        <w:ind w:right="103" w:rightChars="49" w:firstLine="0" w:firstLineChars="0"/>
        <w:rPr>
          <w:highlight w:val="none"/>
        </w:rPr>
      </w:pPr>
      <w:bookmarkStart w:id="0" w:name="_Toc83844212"/>
      <w:bookmarkStart w:id="1" w:name="_Toc13046"/>
      <w:bookmarkStart w:id="2" w:name="_Toc84839217"/>
      <w:bookmarkStart w:id="3" w:name="_Toc83660200"/>
      <w:bookmarkStart w:id="4" w:name="_Toc84596621"/>
      <w:bookmarkStart w:id="5" w:name="_Toc21372"/>
      <w:bookmarkStart w:id="6" w:name="_Hlk83729626"/>
      <w:bookmarkStart w:id="7" w:name="_Toc83732157"/>
      <w:r>
        <w:rPr>
          <w:rFonts w:hint="eastAsia"/>
          <w:highlight w:val="none"/>
          <w:lang w:eastAsia="zh-CN"/>
        </w:rPr>
        <w:t>广东电网220kV天河棠下柔直背靠背工程数字孪生应用及智能运维系统工程设计施工总承包项目</w:t>
      </w:r>
    </w:p>
    <w:bookmarkEnd w:id="0"/>
    <w:bookmarkEnd w:id="1"/>
    <w:bookmarkEnd w:id="2"/>
    <w:bookmarkEnd w:id="3"/>
    <w:bookmarkEnd w:id="4"/>
    <w:bookmarkEnd w:id="5"/>
    <w:bookmarkEnd w:id="6"/>
    <w:bookmarkEnd w:id="7"/>
    <w:p w14:paraId="25575FE5"/>
    <w:p w14:paraId="2406A976">
      <w:pPr>
        <w:pStyle w:val="3"/>
        <w:ind w:firstLine="0" w:firstLineChars="0"/>
      </w:pPr>
      <w:bookmarkStart w:id="8" w:name="_Toc226110464"/>
      <w:bookmarkStart w:id="9" w:name="_Toc84596623"/>
      <w:bookmarkStart w:id="10" w:name="_Toc84839218"/>
      <w:bookmarkStart w:id="11" w:name="_Toc5891"/>
      <w:bookmarkStart w:id="12" w:name="_Toc83732159"/>
      <w:bookmarkStart w:id="13" w:name="_Toc83660201"/>
      <w:bookmarkStart w:id="14" w:name="_Toc83844214"/>
      <w:bookmarkStart w:id="15" w:name="_Toc19552"/>
      <w:r>
        <w:rPr>
          <w:rFonts w:hint="eastAsia"/>
        </w:rPr>
        <w:t>技术规范书</w:t>
      </w:r>
      <w:bookmarkEnd w:id="8"/>
      <w:bookmarkEnd w:id="9"/>
      <w:bookmarkEnd w:id="10"/>
      <w:bookmarkEnd w:id="11"/>
      <w:bookmarkEnd w:id="12"/>
      <w:bookmarkEnd w:id="13"/>
      <w:bookmarkEnd w:id="14"/>
      <w:bookmarkEnd w:id="15"/>
    </w:p>
    <w:p w14:paraId="2E9FE278">
      <w:pPr>
        <w:spacing w:line="360" w:lineRule="auto"/>
        <w:ind w:firstLine="480"/>
      </w:pPr>
    </w:p>
    <w:p w14:paraId="46BFDDD3">
      <w:pPr>
        <w:spacing w:line="360" w:lineRule="auto"/>
        <w:ind w:firstLine="480"/>
      </w:pPr>
    </w:p>
    <w:p w14:paraId="49ADC563">
      <w:pPr>
        <w:spacing w:line="360" w:lineRule="auto"/>
        <w:ind w:firstLine="480"/>
      </w:pPr>
    </w:p>
    <w:p w14:paraId="2A7A49B9">
      <w:pPr>
        <w:spacing w:line="360" w:lineRule="auto"/>
        <w:ind w:firstLine="480"/>
      </w:pPr>
    </w:p>
    <w:p w14:paraId="306B011F">
      <w:pPr>
        <w:spacing w:line="360" w:lineRule="auto"/>
        <w:ind w:firstLine="480"/>
      </w:pPr>
    </w:p>
    <w:p w14:paraId="1416BD9C">
      <w:pPr>
        <w:spacing w:line="360" w:lineRule="auto"/>
        <w:ind w:firstLine="480"/>
      </w:pPr>
    </w:p>
    <w:p w14:paraId="4774B7C1">
      <w:pPr>
        <w:spacing w:line="360" w:lineRule="auto"/>
        <w:ind w:firstLine="480"/>
      </w:pPr>
    </w:p>
    <w:p w14:paraId="63BA35C9">
      <w:pPr>
        <w:spacing w:line="360" w:lineRule="auto"/>
        <w:ind w:firstLine="480"/>
      </w:pPr>
    </w:p>
    <w:p w14:paraId="79AE5594">
      <w:pPr>
        <w:spacing w:before="652" w:beforeLines="200"/>
        <w:jc w:val="center"/>
        <w:rPr>
          <w:rFonts w:eastAsia="黑体"/>
          <w:b/>
          <w:color w:val="000000"/>
          <w:spacing w:val="20"/>
          <w:w w:val="135"/>
          <w:sz w:val="30"/>
        </w:rPr>
      </w:pPr>
      <w:r>
        <w:rPr>
          <w:rFonts w:hint="eastAsia" w:eastAsia="黑体"/>
          <w:b/>
          <w:color w:val="000000"/>
          <w:spacing w:val="20"/>
          <w:w w:val="135"/>
          <w:sz w:val="30"/>
        </w:rPr>
        <w:t>广东电网有限责任公司广州供电局</w:t>
      </w:r>
    </w:p>
    <w:p w14:paraId="30160EBF">
      <w:pPr>
        <w:spacing w:line="360" w:lineRule="auto"/>
        <w:ind w:firstLine="480"/>
        <w:jc w:val="center"/>
        <w:rPr>
          <w:rFonts w:eastAsia="黑体"/>
          <w:b/>
          <w:color w:val="000000"/>
          <w:spacing w:val="20"/>
          <w:w w:val="135"/>
          <w:sz w:val="30"/>
        </w:rPr>
      </w:pPr>
      <w:r>
        <w:rPr>
          <w:rFonts w:eastAsia="黑体"/>
          <w:b/>
          <w:color w:val="000000"/>
          <w:spacing w:val="20"/>
          <w:w w:val="135"/>
          <w:sz w:val="30"/>
        </w:rPr>
        <w:t>20</w:t>
      </w:r>
      <w:r>
        <w:rPr>
          <w:rFonts w:hint="eastAsia" w:eastAsia="黑体"/>
          <w:b/>
          <w:color w:val="000000"/>
          <w:spacing w:val="20"/>
          <w:w w:val="135"/>
          <w:sz w:val="30"/>
        </w:rPr>
        <w:t>26</w:t>
      </w:r>
      <w:r>
        <w:rPr>
          <w:rFonts w:eastAsia="黑体"/>
          <w:b/>
          <w:color w:val="000000"/>
          <w:spacing w:val="20"/>
          <w:w w:val="135"/>
          <w:sz w:val="30"/>
        </w:rPr>
        <w:t>年4月</w:t>
      </w:r>
    </w:p>
    <w:p w14:paraId="59407227">
      <w:pPr>
        <w:spacing w:line="360" w:lineRule="auto"/>
      </w:pPr>
    </w:p>
    <w:sdt>
      <w:sdtPr>
        <w:rPr>
          <w:rFonts w:ascii="宋体" w:hAnsi="宋体" w:eastAsiaTheme="majorEastAsia" w:cstheme="majorBidi"/>
          <w:color w:val="376092" w:themeColor="accent1" w:themeShade="BF"/>
          <w:kern w:val="0"/>
          <w:sz w:val="32"/>
          <w:szCs w:val="21"/>
          <w:lang w:val="zh-CN"/>
        </w:rPr>
        <w:id w:val="1835876355"/>
        <w:docPartObj>
          <w:docPartGallery w:val="Table of Contents"/>
          <w:docPartUnique/>
        </w:docPartObj>
      </w:sdtPr>
      <w:sdtEndPr>
        <w:rPr>
          <w:rFonts w:hint="eastAsia" w:ascii="宋体" w:hAnsi="宋体" w:cs="宋体" w:eastAsiaTheme="majorEastAsia"/>
          <w:color w:val="376092" w:themeColor="accent1" w:themeShade="BF"/>
          <w:kern w:val="0"/>
          <w:sz w:val="32"/>
          <w:szCs w:val="21"/>
          <w:lang w:val="zh-CN"/>
        </w:rPr>
      </w:sdtEndPr>
      <w:sdtContent>
        <w:p w14:paraId="5A2B6AE5">
          <w:pPr>
            <w:pStyle w:val="25"/>
            <w:rPr>
              <w:rFonts w:asciiTheme="minorHAnsi" w:hAnsiTheme="minorHAnsi" w:eastAsiaTheme="minorEastAsia" w:cstheme="minorBidi"/>
              <w:sz w:val="21"/>
              <w:szCs w:val="22"/>
            </w:rPr>
          </w:pPr>
          <w:r>
            <w:rPr>
              <w:rFonts w:hint="eastAsia" w:ascii="宋体" w:hAnsi="宋体" w:cs="宋体" w:eastAsiaTheme="majorEastAsia"/>
              <w:color w:val="376092" w:themeColor="accent1" w:themeShade="BF"/>
              <w:kern w:val="0"/>
              <w:sz w:val="32"/>
              <w:szCs w:val="21"/>
            </w:rPr>
            <w:fldChar w:fldCharType="begin"/>
          </w:r>
          <w:r>
            <w:rPr>
              <w:rFonts w:hint="eastAsia" w:ascii="宋体" w:hAnsi="宋体" w:cs="宋体"/>
              <w:szCs w:val="21"/>
            </w:rPr>
            <w:instrText xml:space="preserve"> TOC \o "1-3" \h \z \u </w:instrText>
          </w:r>
          <w:r>
            <w:rPr>
              <w:rFonts w:hint="eastAsia" w:ascii="宋体" w:hAnsi="宋体" w:cs="宋体" w:eastAsiaTheme="majorEastAsia"/>
              <w:color w:val="376092" w:themeColor="accent1" w:themeShade="BF"/>
              <w:kern w:val="0"/>
              <w:sz w:val="32"/>
              <w:szCs w:val="21"/>
            </w:rPr>
            <w:fldChar w:fldCharType="separate"/>
          </w:r>
          <w:r>
            <w:rPr>
              <w:rStyle w:val="35"/>
              <w:rFonts w:hint="eastAsia" w:eastAsia="宋体"/>
              <w:b/>
              <w:bCs/>
              <w:lang w:eastAsia="zh-CN"/>
            </w:rPr>
            <w:t>广东电网220kV天河棠下柔直背靠背工程数字孪生应用及智能运维系统工程设计施工总承包项目</w:t>
          </w:r>
          <w:r>
            <w:fldChar w:fldCharType="begin"/>
          </w:r>
          <w:r>
            <w:instrText xml:space="preserve"> HYPERLINK \l "_Toc226110464" </w:instrText>
          </w:r>
          <w:r>
            <w:fldChar w:fldCharType="separate"/>
          </w:r>
          <w:r>
            <w:rPr>
              <w:rStyle w:val="35"/>
            </w:rPr>
            <w:t>技术规范书</w:t>
          </w:r>
          <w:r>
            <w:tab/>
          </w:r>
          <w:r>
            <w:fldChar w:fldCharType="begin"/>
          </w:r>
          <w:r>
            <w:instrText xml:space="preserve"> PAGEREF _Toc226110464 \h </w:instrText>
          </w:r>
          <w:r>
            <w:fldChar w:fldCharType="separate"/>
          </w:r>
          <w:r>
            <w:t>1</w:t>
          </w:r>
          <w:r>
            <w:fldChar w:fldCharType="end"/>
          </w:r>
          <w:r>
            <w:fldChar w:fldCharType="end"/>
          </w:r>
        </w:p>
        <w:p w14:paraId="4EB0BC51">
          <w:pPr>
            <w:pStyle w:val="25"/>
            <w:rPr>
              <w:rFonts w:asciiTheme="minorHAnsi" w:hAnsiTheme="minorHAnsi" w:eastAsiaTheme="minorEastAsia" w:cstheme="minorBidi"/>
              <w:sz w:val="21"/>
              <w:szCs w:val="22"/>
            </w:rPr>
          </w:pPr>
          <w:r>
            <w:fldChar w:fldCharType="begin"/>
          </w:r>
          <w:r>
            <w:instrText xml:space="preserve"> HYPERLINK \l "_Toc226110465" </w:instrText>
          </w:r>
          <w:r>
            <w:fldChar w:fldCharType="separate"/>
          </w:r>
          <w:r>
            <w:rPr>
              <w:rStyle w:val="35"/>
            </w:rPr>
            <w:t>1</w:t>
          </w:r>
          <w:r>
            <w:rPr>
              <w:rFonts w:asciiTheme="minorHAnsi" w:hAnsiTheme="minorHAnsi" w:eastAsiaTheme="minorEastAsia" w:cstheme="minorBidi"/>
              <w:sz w:val="21"/>
              <w:szCs w:val="22"/>
            </w:rPr>
            <w:tab/>
          </w:r>
          <w:r>
            <w:rPr>
              <w:rStyle w:val="35"/>
            </w:rPr>
            <w:t>总则</w:t>
          </w:r>
          <w:r>
            <w:tab/>
          </w:r>
          <w:r>
            <w:fldChar w:fldCharType="begin"/>
          </w:r>
          <w:r>
            <w:instrText xml:space="preserve"> PAGEREF _Toc226110465 \h </w:instrText>
          </w:r>
          <w:r>
            <w:fldChar w:fldCharType="separate"/>
          </w:r>
          <w:r>
            <w:t>1</w:t>
          </w:r>
          <w:r>
            <w:fldChar w:fldCharType="end"/>
          </w:r>
          <w:r>
            <w:fldChar w:fldCharType="end"/>
          </w:r>
        </w:p>
        <w:p w14:paraId="6D354331">
          <w:pPr>
            <w:pStyle w:val="25"/>
            <w:rPr>
              <w:rFonts w:asciiTheme="minorHAnsi" w:hAnsiTheme="minorHAnsi" w:eastAsiaTheme="minorEastAsia" w:cstheme="minorBidi"/>
              <w:sz w:val="21"/>
              <w:szCs w:val="22"/>
            </w:rPr>
          </w:pPr>
          <w:r>
            <w:fldChar w:fldCharType="begin"/>
          </w:r>
          <w:r>
            <w:instrText xml:space="preserve"> HYPERLINK \l "_Toc226110466" </w:instrText>
          </w:r>
          <w:r>
            <w:fldChar w:fldCharType="separate"/>
          </w:r>
          <w:r>
            <w:rPr>
              <w:rStyle w:val="35"/>
            </w:rPr>
            <w:t>2</w:t>
          </w:r>
          <w:r>
            <w:rPr>
              <w:rFonts w:asciiTheme="minorHAnsi" w:hAnsiTheme="minorHAnsi" w:eastAsiaTheme="minorEastAsia" w:cstheme="minorBidi"/>
              <w:sz w:val="21"/>
              <w:szCs w:val="22"/>
            </w:rPr>
            <w:tab/>
          </w:r>
          <w:r>
            <w:rPr>
              <w:rStyle w:val="35"/>
            </w:rPr>
            <w:t>工作范围</w:t>
          </w:r>
          <w:r>
            <w:tab/>
          </w:r>
          <w:r>
            <w:fldChar w:fldCharType="begin"/>
          </w:r>
          <w:r>
            <w:instrText xml:space="preserve"> PAGEREF _Toc226110466 \h </w:instrText>
          </w:r>
          <w:r>
            <w:fldChar w:fldCharType="separate"/>
          </w:r>
          <w:r>
            <w:t>1</w:t>
          </w:r>
          <w:r>
            <w:fldChar w:fldCharType="end"/>
          </w:r>
          <w:r>
            <w:fldChar w:fldCharType="end"/>
          </w:r>
        </w:p>
        <w:p w14:paraId="2F5FB1DA">
          <w:pPr>
            <w:pStyle w:val="28"/>
            <w:rPr>
              <w:rFonts w:asciiTheme="minorHAnsi" w:hAnsiTheme="minorHAnsi" w:eastAsiaTheme="minorEastAsia" w:cstheme="minorBidi"/>
              <w:kern w:val="2"/>
              <w:szCs w:val="22"/>
            </w:rPr>
          </w:pPr>
          <w:r>
            <w:fldChar w:fldCharType="begin"/>
          </w:r>
          <w:r>
            <w:instrText xml:space="preserve"> HYPERLINK \l "_Toc226110467" </w:instrText>
          </w:r>
          <w:r>
            <w:fldChar w:fldCharType="separate"/>
          </w:r>
          <w:r>
            <w:rPr>
              <w:rStyle w:val="35"/>
            </w:rPr>
            <w:t>2.1 工程概况</w:t>
          </w:r>
          <w:r>
            <w:tab/>
          </w:r>
          <w:r>
            <w:fldChar w:fldCharType="begin"/>
          </w:r>
          <w:r>
            <w:instrText xml:space="preserve"> PAGEREF _Toc226110467 \h </w:instrText>
          </w:r>
          <w:r>
            <w:fldChar w:fldCharType="separate"/>
          </w:r>
          <w:r>
            <w:t>1</w:t>
          </w:r>
          <w:r>
            <w:fldChar w:fldCharType="end"/>
          </w:r>
          <w:r>
            <w:fldChar w:fldCharType="end"/>
          </w:r>
        </w:p>
        <w:p w14:paraId="0536C633">
          <w:pPr>
            <w:pStyle w:val="28"/>
            <w:rPr>
              <w:rFonts w:asciiTheme="minorHAnsi" w:hAnsiTheme="minorHAnsi" w:eastAsiaTheme="minorEastAsia" w:cstheme="minorBidi"/>
              <w:kern w:val="2"/>
              <w:szCs w:val="22"/>
            </w:rPr>
          </w:pPr>
          <w:r>
            <w:fldChar w:fldCharType="begin"/>
          </w:r>
          <w:r>
            <w:instrText xml:space="preserve"> HYPERLINK \l "_Toc226110468" </w:instrText>
          </w:r>
          <w:r>
            <w:fldChar w:fldCharType="separate"/>
          </w:r>
          <w:r>
            <w:rPr>
              <w:rStyle w:val="35"/>
            </w:rPr>
            <w:t>2.2 范围和界限</w:t>
          </w:r>
          <w:r>
            <w:tab/>
          </w:r>
          <w:r>
            <w:fldChar w:fldCharType="begin"/>
          </w:r>
          <w:r>
            <w:instrText xml:space="preserve"> PAGEREF _Toc226110468 \h </w:instrText>
          </w:r>
          <w:r>
            <w:fldChar w:fldCharType="separate"/>
          </w:r>
          <w:r>
            <w:t>2</w:t>
          </w:r>
          <w:r>
            <w:fldChar w:fldCharType="end"/>
          </w:r>
          <w:r>
            <w:fldChar w:fldCharType="end"/>
          </w:r>
        </w:p>
        <w:p w14:paraId="215E4961">
          <w:pPr>
            <w:pStyle w:val="28"/>
            <w:rPr>
              <w:rFonts w:asciiTheme="minorHAnsi" w:hAnsiTheme="minorHAnsi" w:eastAsiaTheme="minorEastAsia" w:cstheme="minorBidi"/>
              <w:kern w:val="2"/>
              <w:szCs w:val="22"/>
            </w:rPr>
          </w:pPr>
          <w:r>
            <w:fldChar w:fldCharType="begin"/>
          </w:r>
          <w:r>
            <w:instrText xml:space="preserve"> HYPERLINK \l "_Toc226110469" </w:instrText>
          </w:r>
          <w:r>
            <w:fldChar w:fldCharType="separate"/>
          </w:r>
          <w:r>
            <w:rPr>
              <w:rStyle w:val="35"/>
            </w:rPr>
            <w:t>2.3 服务范围</w:t>
          </w:r>
          <w:r>
            <w:tab/>
          </w:r>
          <w:r>
            <w:fldChar w:fldCharType="begin"/>
          </w:r>
          <w:r>
            <w:instrText xml:space="preserve"> PAGEREF _Toc226110469 \h </w:instrText>
          </w:r>
          <w:r>
            <w:fldChar w:fldCharType="separate"/>
          </w:r>
          <w:r>
            <w:t>2</w:t>
          </w:r>
          <w:r>
            <w:fldChar w:fldCharType="end"/>
          </w:r>
          <w:r>
            <w:fldChar w:fldCharType="end"/>
          </w:r>
        </w:p>
        <w:p w14:paraId="3931C037">
          <w:pPr>
            <w:pStyle w:val="25"/>
            <w:rPr>
              <w:rFonts w:asciiTheme="minorHAnsi" w:hAnsiTheme="minorHAnsi" w:eastAsiaTheme="minorEastAsia" w:cstheme="minorBidi"/>
              <w:sz w:val="21"/>
              <w:szCs w:val="22"/>
            </w:rPr>
          </w:pPr>
          <w:r>
            <w:fldChar w:fldCharType="begin"/>
          </w:r>
          <w:r>
            <w:instrText xml:space="preserve"> HYPERLINK \l "_Toc226110470" </w:instrText>
          </w:r>
          <w:r>
            <w:fldChar w:fldCharType="separate"/>
          </w:r>
          <w:r>
            <w:rPr>
              <w:rStyle w:val="35"/>
            </w:rPr>
            <w:t>3</w:t>
          </w:r>
          <w:r>
            <w:rPr>
              <w:rFonts w:asciiTheme="minorHAnsi" w:hAnsiTheme="minorHAnsi" w:eastAsiaTheme="minorEastAsia" w:cstheme="minorBidi"/>
              <w:sz w:val="21"/>
              <w:szCs w:val="22"/>
            </w:rPr>
            <w:tab/>
          </w:r>
          <w:r>
            <w:rPr>
              <w:rStyle w:val="35"/>
            </w:rPr>
            <w:t>应遵循的主要标准</w:t>
          </w:r>
          <w:r>
            <w:tab/>
          </w:r>
          <w:r>
            <w:fldChar w:fldCharType="begin"/>
          </w:r>
          <w:r>
            <w:instrText xml:space="preserve"> PAGEREF _Toc226110470 \h </w:instrText>
          </w:r>
          <w:r>
            <w:fldChar w:fldCharType="separate"/>
          </w:r>
          <w:r>
            <w:t>17</w:t>
          </w:r>
          <w:r>
            <w:fldChar w:fldCharType="end"/>
          </w:r>
          <w:r>
            <w:fldChar w:fldCharType="end"/>
          </w:r>
        </w:p>
        <w:p w14:paraId="44A7DDBD">
          <w:pPr>
            <w:pStyle w:val="25"/>
            <w:rPr>
              <w:rFonts w:asciiTheme="minorHAnsi" w:hAnsiTheme="minorHAnsi" w:eastAsiaTheme="minorEastAsia" w:cstheme="minorBidi"/>
              <w:sz w:val="21"/>
              <w:szCs w:val="22"/>
            </w:rPr>
          </w:pPr>
          <w:r>
            <w:fldChar w:fldCharType="begin"/>
          </w:r>
          <w:r>
            <w:instrText xml:space="preserve"> HYPERLINK \l "_Toc226110471" </w:instrText>
          </w:r>
          <w:r>
            <w:fldChar w:fldCharType="separate"/>
          </w:r>
          <w:r>
            <w:rPr>
              <w:rStyle w:val="35"/>
            </w:rPr>
            <w:t>4</w:t>
          </w:r>
          <w:r>
            <w:rPr>
              <w:rFonts w:asciiTheme="minorHAnsi" w:hAnsiTheme="minorHAnsi" w:eastAsiaTheme="minorEastAsia" w:cstheme="minorBidi"/>
              <w:sz w:val="21"/>
              <w:szCs w:val="22"/>
            </w:rPr>
            <w:tab/>
          </w:r>
          <w:r>
            <w:rPr>
              <w:rStyle w:val="35"/>
            </w:rPr>
            <w:t>使用条件</w:t>
          </w:r>
          <w:r>
            <w:tab/>
          </w:r>
          <w:r>
            <w:fldChar w:fldCharType="begin"/>
          </w:r>
          <w:r>
            <w:instrText xml:space="preserve"> PAGEREF _Toc226110471 \h </w:instrText>
          </w:r>
          <w:r>
            <w:fldChar w:fldCharType="separate"/>
          </w:r>
          <w:r>
            <w:t>19</w:t>
          </w:r>
          <w:r>
            <w:fldChar w:fldCharType="end"/>
          </w:r>
          <w:r>
            <w:fldChar w:fldCharType="end"/>
          </w:r>
        </w:p>
        <w:p w14:paraId="76F27ABE">
          <w:pPr>
            <w:pStyle w:val="28"/>
            <w:rPr>
              <w:rFonts w:asciiTheme="minorHAnsi" w:hAnsiTheme="minorHAnsi" w:eastAsiaTheme="minorEastAsia" w:cstheme="minorBidi"/>
              <w:kern w:val="2"/>
              <w:szCs w:val="22"/>
            </w:rPr>
          </w:pPr>
          <w:r>
            <w:fldChar w:fldCharType="begin"/>
          </w:r>
          <w:r>
            <w:instrText xml:space="preserve"> HYPERLINK \l "_Toc226110472" </w:instrText>
          </w:r>
          <w:r>
            <w:fldChar w:fldCharType="separate"/>
          </w:r>
          <w:r>
            <w:rPr>
              <w:rStyle w:val="35"/>
            </w:rPr>
            <w:t>4.1 正常条件</w:t>
          </w:r>
          <w:r>
            <w:tab/>
          </w:r>
          <w:r>
            <w:fldChar w:fldCharType="begin"/>
          </w:r>
          <w:r>
            <w:instrText xml:space="preserve"> PAGEREF _Toc226110472 \h </w:instrText>
          </w:r>
          <w:r>
            <w:fldChar w:fldCharType="separate"/>
          </w:r>
          <w:r>
            <w:t>19</w:t>
          </w:r>
          <w:r>
            <w:fldChar w:fldCharType="end"/>
          </w:r>
          <w:r>
            <w:fldChar w:fldCharType="end"/>
          </w:r>
        </w:p>
        <w:p w14:paraId="4F5BB81E">
          <w:pPr>
            <w:pStyle w:val="28"/>
            <w:rPr>
              <w:rFonts w:asciiTheme="minorHAnsi" w:hAnsiTheme="minorHAnsi" w:eastAsiaTheme="minorEastAsia" w:cstheme="minorBidi"/>
              <w:kern w:val="2"/>
              <w:szCs w:val="22"/>
            </w:rPr>
          </w:pPr>
          <w:r>
            <w:fldChar w:fldCharType="begin"/>
          </w:r>
          <w:r>
            <w:instrText xml:space="preserve"> HYPERLINK \l "_Toc226110473" </w:instrText>
          </w:r>
          <w:r>
            <w:fldChar w:fldCharType="separate"/>
          </w:r>
          <w:r>
            <w:rPr>
              <w:rStyle w:val="35"/>
            </w:rPr>
            <w:t>4.2 特殊使用条件</w:t>
          </w:r>
          <w:r>
            <w:tab/>
          </w:r>
          <w:r>
            <w:fldChar w:fldCharType="begin"/>
          </w:r>
          <w:r>
            <w:instrText xml:space="preserve"> PAGEREF _Toc226110473 \h </w:instrText>
          </w:r>
          <w:r>
            <w:fldChar w:fldCharType="separate"/>
          </w:r>
          <w:r>
            <w:t>19</w:t>
          </w:r>
          <w:r>
            <w:fldChar w:fldCharType="end"/>
          </w:r>
          <w:r>
            <w:fldChar w:fldCharType="end"/>
          </w:r>
        </w:p>
        <w:p w14:paraId="0CB342B9">
          <w:pPr>
            <w:pStyle w:val="25"/>
            <w:rPr>
              <w:rFonts w:asciiTheme="minorHAnsi" w:hAnsiTheme="minorHAnsi" w:eastAsiaTheme="minorEastAsia" w:cstheme="minorBidi"/>
              <w:sz w:val="21"/>
              <w:szCs w:val="22"/>
            </w:rPr>
          </w:pPr>
          <w:r>
            <w:fldChar w:fldCharType="begin"/>
          </w:r>
          <w:r>
            <w:instrText xml:space="preserve"> HYPERLINK \l "_Toc226110474" </w:instrText>
          </w:r>
          <w:r>
            <w:fldChar w:fldCharType="separate"/>
          </w:r>
          <w:r>
            <w:rPr>
              <w:rStyle w:val="35"/>
            </w:rPr>
            <w:t>5</w:t>
          </w:r>
          <w:r>
            <w:rPr>
              <w:rFonts w:asciiTheme="minorHAnsi" w:hAnsiTheme="minorHAnsi" w:eastAsiaTheme="minorEastAsia" w:cstheme="minorBidi"/>
              <w:sz w:val="21"/>
              <w:szCs w:val="22"/>
            </w:rPr>
            <w:tab/>
          </w:r>
          <w:r>
            <w:rPr>
              <w:rStyle w:val="35"/>
            </w:rPr>
            <w:t>技术要求</w:t>
          </w:r>
          <w:r>
            <w:tab/>
          </w:r>
          <w:r>
            <w:fldChar w:fldCharType="begin"/>
          </w:r>
          <w:r>
            <w:instrText xml:space="preserve"> PAGEREF _Toc226110474 \h </w:instrText>
          </w:r>
          <w:r>
            <w:fldChar w:fldCharType="separate"/>
          </w:r>
          <w:r>
            <w:t>20</w:t>
          </w:r>
          <w:r>
            <w:fldChar w:fldCharType="end"/>
          </w:r>
          <w:r>
            <w:fldChar w:fldCharType="end"/>
          </w:r>
        </w:p>
        <w:p w14:paraId="5413754B">
          <w:pPr>
            <w:pStyle w:val="28"/>
            <w:rPr>
              <w:rFonts w:asciiTheme="minorHAnsi" w:hAnsiTheme="minorHAnsi" w:eastAsiaTheme="minorEastAsia" w:cstheme="minorBidi"/>
              <w:kern w:val="2"/>
              <w:szCs w:val="22"/>
            </w:rPr>
          </w:pPr>
          <w:r>
            <w:fldChar w:fldCharType="begin"/>
          </w:r>
          <w:r>
            <w:instrText xml:space="preserve"> HYPERLINK \l "_Toc226110475" </w:instrText>
          </w:r>
          <w:r>
            <w:fldChar w:fldCharType="separate"/>
          </w:r>
          <w:r>
            <w:rPr>
              <w:rStyle w:val="35"/>
            </w:rPr>
            <w:t>5.1</w:t>
          </w:r>
          <w:r>
            <w:rPr>
              <w:rFonts w:asciiTheme="minorHAnsi" w:hAnsiTheme="minorHAnsi" w:eastAsiaTheme="minorEastAsia" w:cstheme="minorBidi"/>
              <w:kern w:val="2"/>
              <w:szCs w:val="22"/>
            </w:rPr>
            <w:tab/>
          </w:r>
          <w:r>
            <w:rPr>
              <w:rStyle w:val="35"/>
            </w:rPr>
            <w:t>平台概述</w:t>
          </w:r>
          <w:r>
            <w:tab/>
          </w:r>
          <w:r>
            <w:fldChar w:fldCharType="begin"/>
          </w:r>
          <w:r>
            <w:instrText xml:space="preserve"> PAGEREF _Toc226110475 \h </w:instrText>
          </w:r>
          <w:r>
            <w:fldChar w:fldCharType="separate"/>
          </w:r>
          <w:r>
            <w:t>20</w:t>
          </w:r>
          <w:r>
            <w:fldChar w:fldCharType="end"/>
          </w:r>
          <w:r>
            <w:fldChar w:fldCharType="end"/>
          </w:r>
        </w:p>
        <w:p w14:paraId="0987A008">
          <w:pPr>
            <w:pStyle w:val="28"/>
            <w:rPr>
              <w:rFonts w:asciiTheme="minorHAnsi" w:hAnsiTheme="minorHAnsi" w:eastAsiaTheme="minorEastAsia" w:cstheme="minorBidi"/>
              <w:kern w:val="2"/>
              <w:szCs w:val="22"/>
            </w:rPr>
          </w:pPr>
          <w:r>
            <w:fldChar w:fldCharType="begin"/>
          </w:r>
          <w:r>
            <w:instrText xml:space="preserve"> HYPERLINK \l "_Toc226110476" </w:instrText>
          </w:r>
          <w:r>
            <w:fldChar w:fldCharType="separate"/>
          </w:r>
          <w:r>
            <w:rPr>
              <w:rStyle w:val="35"/>
            </w:rPr>
            <w:t>5.2</w:t>
          </w:r>
          <w:r>
            <w:rPr>
              <w:rFonts w:asciiTheme="minorHAnsi" w:hAnsiTheme="minorHAnsi" w:eastAsiaTheme="minorEastAsia" w:cstheme="minorBidi"/>
              <w:kern w:val="2"/>
              <w:szCs w:val="22"/>
            </w:rPr>
            <w:tab/>
          </w:r>
          <w:r>
            <w:rPr>
              <w:rStyle w:val="35"/>
            </w:rPr>
            <w:t>平台架构设计要求</w:t>
          </w:r>
          <w:r>
            <w:tab/>
          </w:r>
          <w:r>
            <w:fldChar w:fldCharType="begin"/>
          </w:r>
          <w:r>
            <w:instrText xml:space="preserve"> PAGEREF _Toc226110476 \h </w:instrText>
          </w:r>
          <w:r>
            <w:fldChar w:fldCharType="separate"/>
          </w:r>
          <w:r>
            <w:t>20</w:t>
          </w:r>
          <w:r>
            <w:fldChar w:fldCharType="end"/>
          </w:r>
          <w:r>
            <w:fldChar w:fldCharType="end"/>
          </w:r>
        </w:p>
        <w:p w14:paraId="331307F5">
          <w:pPr>
            <w:pStyle w:val="28"/>
            <w:rPr>
              <w:rFonts w:asciiTheme="minorHAnsi" w:hAnsiTheme="minorHAnsi" w:eastAsiaTheme="minorEastAsia" w:cstheme="minorBidi"/>
              <w:kern w:val="2"/>
              <w:szCs w:val="22"/>
            </w:rPr>
          </w:pPr>
          <w:r>
            <w:fldChar w:fldCharType="begin"/>
          </w:r>
          <w:r>
            <w:instrText xml:space="preserve"> HYPERLINK \l "_Toc226110477" </w:instrText>
          </w:r>
          <w:r>
            <w:fldChar w:fldCharType="separate"/>
          </w:r>
          <w:r>
            <w:rPr>
              <w:rStyle w:val="35"/>
            </w:rPr>
            <w:t>5.3</w:t>
          </w:r>
          <w:r>
            <w:rPr>
              <w:rFonts w:asciiTheme="minorHAnsi" w:hAnsiTheme="minorHAnsi" w:eastAsiaTheme="minorEastAsia" w:cstheme="minorBidi"/>
              <w:kern w:val="2"/>
              <w:szCs w:val="22"/>
            </w:rPr>
            <w:tab/>
          </w:r>
          <w:r>
            <w:rPr>
              <w:rStyle w:val="35"/>
            </w:rPr>
            <w:t>硬件设备配置要求</w:t>
          </w:r>
          <w:r>
            <w:tab/>
          </w:r>
          <w:r>
            <w:fldChar w:fldCharType="begin"/>
          </w:r>
          <w:r>
            <w:instrText xml:space="preserve"> PAGEREF _Toc226110477 \h </w:instrText>
          </w:r>
          <w:r>
            <w:fldChar w:fldCharType="separate"/>
          </w:r>
          <w:r>
            <w:t>21</w:t>
          </w:r>
          <w:r>
            <w:fldChar w:fldCharType="end"/>
          </w:r>
          <w:r>
            <w:fldChar w:fldCharType="end"/>
          </w:r>
        </w:p>
        <w:p w14:paraId="7C250C8E">
          <w:pPr>
            <w:pStyle w:val="18"/>
            <w:rPr>
              <w:rFonts w:asciiTheme="minorHAnsi" w:hAnsiTheme="minorHAnsi" w:eastAsiaTheme="minorEastAsia" w:cstheme="minorBidi"/>
              <w:szCs w:val="22"/>
            </w:rPr>
          </w:pPr>
          <w:r>
            <w:fldChar w:fldCharType="begin"/>
          </w:r>
          <w:r>
            <w:instrText xml:space="preserve"> HYPERLINK \l "_Toc226110478" </w:instrText>
          </w:r>
          <w:r>
            <w:fldChar w:fldCharType="separate"/>
          </w:r>
          <w:r>
            <w:rPr>
              <w:rStyle w:val="35"/>
            </w:rPr>
            <w:t>5.3.1</w:t>
          </w:r>
          <w:r>
            <w:rPr>
              <w:rFonts w:asciiTheme="minorHAnsi" w:hAnsiTheme="minorHAnsi" w:eastAsiaTheme="minorEastAsia" w:cstheme="minorBidi"/>
              <w:szCs w:val="22"/>
            </w:rPr>
            <w:tab/>
          </w:r>
          <w:r>
            <w:rPr>
              <w:rStyle w:val="35"/>
            </w:rPr>
            <w:t>智能巡视设备配置</w:t>
          </w:r>
          <w:r>
            <w:tab/>
          </w:r>
          <w:r>
            <w:fldChar w:fldCharType="begin"/>
          </w:r>
          <w:r>
            <w:instrText xml:space="preserve"> PAGEREF _Toc226110478 \h </w:instrText>
          </w:r>
          <w:r>
            <w:fldChar w:fldCharType="separate"/>
          </w:r>
          <w:r>
            <w:t>21</w:t>
          </w:r>
          <w:r>
            <w:fldChar w:fldCharType="end"/>
          </w:r>
          <w:r>
            <w:fldChar w:fldCharType="end"/>
          </w:r>
        </w:p>
        <w:p w14:paraId="345F9986">
          <w:pPr>
            <w:pStyle w:val="18"/>
            <w:rPr>
              <w:rFonts w:asciiTheme="minorHAnsi" w:hAnsiTheme="minorHAnsi" w:eastAsiaTheme="minorEastAsia" w:cstheme="minorBidi"/>
              <w:szCs w:val="22"/>
            </w:rPr>
          </w:pPr>
          <w:r>
            <w:fldChar w:fldCharType="begin"/>
          </w:r>
          <w:r>
            <w:instrText xml:space="preserve"> HYPERLINK \l "_Toc226110479" </w:instrText>
          </w:r>
          <w:r>
            <w:fldChar w:fldCharType="separate"/>
          </w:r>
          <w:r>
            <w:rPr>
              <w:rStyle w:val="35"/>
            </w:rPr>
            <w:t>5.3.2</w:t>
          </w:r>
          <w:r>
            <w:rPr>
              <w:rFonts w:asciiTheme="minorHAnsi" w:hAnsiTheme="minorHAnsi" w:eastAsiaTheme="minorEastAsia" w:cstheme="minorBidi"/>
              <w:szCs w:val="22"/>
            </w:rPr>
            <w:tab/>
          </w:r>
          <w:r>
            <w:rPr>
              <w:rStyle w:val="35"/>
            </w:rPr>
            <w:t>智能监视设备配置</w:t>
          </w:r>
          <w:r>
            <w:tab/>
          </w:r>
          <w:r>
            <w:fldChar w:fldCharType="begin"/>
          </w:r>
          <w:r>
            <w:instrText xml:space="preserve"> PAGEREF _Toc226110479 \h </w:instrText>
          </w:r>
          <w:r>
            <w:fldChar w:fldCharType="separate"/>
          </w:r>
          <w:r>
            <w:t>22</w:t>
          </w:r>
          <w:r>
            <w:fldChar w:fldCharType="end"/>
          </w:r>
          <w:r>
            <w:fldChar w:fldCharType="end"/>
          </w:r>
        </w:p>
        <w:p w14:paraId="52917FEC">
          <w:pPr>
            <w:pStyle w:val="18"/>
            <w:rPr>
              <w:rFonts w:asciiTheme="minorHAnsi" w:hAnsiTheme="minorHAnsi" w:eastAsiaTheme="minorEastAsia" w:cstheme="minorBidi"/>
              <w:szCs w:val="22"/>
            </w:rPr>
          </w:pPr>
          <w:r>
            <w:fldChar w:fldCharType="begin"/>
          </w:r>
          <w:r>
            <w:instrText xml:space="preserve"> HYPERLINK \l "_Toc226110480" </w:instrText>
          </w:r>
          <w:r>
            <w:fldChar w:fldCharType="separate"/>
          </w:r>
          <w:r>
            <w:rPr>
              <w:rStyle w:val="35"/>
            </w:rPr>
            <w:t>5.3.3</w:t>
          </w:r>
          <w:r>
            <w:rPr>
              <w:rFonts w:asciiTheme="minorHAnsi" w:hAnsiTheme="minorHAnsi" w:eastAsiaTheme="minorEastAsia" w:cstheme="minorBidi"/>
              <w:szCs w:val="22"/>
            </w:rPr>
            <w:tab/>
          </w:r>
          <w:r>
            <w:rPr>
              <w:rStyle w:val="35"/>
            </w:rPr>
            <w:t>后端及服务器设备配置</w:t>
          </w:r>
          <w:r>
            <w:tab/>
          </w:r>
          <w:r>
            <w:fldChar w:fldCharType="begin"/>
          </w:r>
          <w:r>
            <w:instrText xml:space="preserve"> PAGEREF _Toc226110480 \h </w:instrText>
          </w:r>
          <w:r>
            <w:fldChar w:fldCharType="separate"/>
          </w:r>
          <w:r>
            <w:t>23</w:t>
          </w:r>
          <w:r>
            <w:fldChar w:fldCharType="end"/>
          </w:r>
          <w:r>
            <w:fldChar w:fldCharType="end"/>
          </w:r>
        </w:p>
        <w:p w14:paraId="32E55D32">
          <w:pPr>
            <w:pStyle w:val="28"/>
            <w:rPr>
              <w:rFonts w:asciiTheme="minorHAnsi" w:hAnsiTheme="minorHAnsi" w:eastAsiaTheme="minorEastAsia" w:cstheme="minorBidi"/>
              <w:kern w:val="2"/>
              <w:szCs w:val="22"/>
            </w:rPr>
          </w:pPr>
          <w:r>
            <w:fldChar w:fldCharType="begin"/>
          </w:r>
          <w:r>
            <w:instrText xml:space="preserve"> HYPERLINK \l "_Toc226110481" </w:instrText>
          </w:r>
          <w:r>
            <w:fldChar w:fldCharType="separate"/>
          </w:r>
          <w:r>
            <w:rPr>
              <w:rStyle w:val="35"/>
            </w:rPr>
            <w:t>5.4</w:t>
          </w:r>
          <w:r>
            <w:rPr>
              <w:rFonts w:asciiTheme="minorHAnsi" w:hAnsiTheme="minorHAnsi" w:eastAsiaTheme="minorEastAsia" w:cstheme="minorBidi"/>
              <w:kern w:val="2"/>
              <w:szCs w:val="22"/>
            </w:rPr>
            <w:tab/>
          </w:r>
          <w:r>
            <w:rPr>
              <w:rStyle w:val="35"/>
            </w:rPr>
            <w:t>软件系统开发与应用要求</w:t>
          </w:r>
          <w:r>
            <w:tab/>
          </w:r>
          <w:r>
            <w:fldChar w:fldCharType="begin"/>
          </w:r>
          <w:r>
            <w:instrText xml:space="preserve"> PAGEREF _Toc226110481 \h </w:instrText>
          </w:r>
          <w:r>
            <w:fldChar w:fldCharType="separate"/>
          </w:r>
          <w:r>
            <w:t>23</w:t>
          </w:r>
          <w:r>
            <w:fldChar w:fldCharType="end"/>
          </w:r>
          <w:r>
            <w:fldChar w:fldCharType="end"/>
          </w:r>
        </w:p>
        <w:p w14:paraId="2435268D">
          <w:pPr>
            <w:pStyle w:val="18"/>
            <w:rPr>
              <w:rFonts w:asciiTheme="minorHAnsi" w:hAnsiTheme="minorHAnsi" w:eastAsiaTheme="minorEastAsia" w:cstheme="minorBidi"/>
              <w:szCs w:val="22"/>
            </w:rPr>
          </w:pPr>
          <w:r>
            <w:fldChar w:fldCharType="begin"/>
          </w:r>
          <w:r>
            <w:instrText xml:space="preserve"> HYPERLINK \l "_Toc226110482" </w:instrText>
          </w:r>
          <w:r>
            <w:fldChar w:fldCharType="separate"/>
          </w:r>
          <w:r>
            <w:rPr>
              <w:rStyle w:val="35"/>
            </w:rPr>
            <w:t>5.4.1</w:t>
          </w:r>
          <w:r>
            <w:rPr>
              <w:rFonts w:asciiTheme="minorHAnsi" w:hAnsiTheme="minorHAnsi" w:eastAsiaTheme="minorEastAsia" w:cstheme="minorBidi"/>
              <w:szCs w:val="22"/>
            </w:rPr>
            <w:tab/>
          </w:r>
          <w:r>
            <w:rPr>
              <w:rStyle w:val="35"/>
              <w:rFonts w:cs="Arial"/>
            </w:rPr>
            <w:t>动态知识图谱</w:t>
          </w:r>
          <w:r>
            <w:tab/>
          </w:r>
          <w:r>
            <w:fldChar w:fldCharType="begin"/>
          </w:r>
          <w:r>
            <w:instrText xml:space="preserve"> PAGEREF _Toc226110482 \h </w:instrText>
          </w:r>
          <w:r>
            <w:fldChar w:fldCharType="separate"/>
          </w:r>
          <w:r>
            <w:t>23</w:t>
          </w:r>
          <w:r>
            <w:fldChar w:fldCharType="end"/>
          </w:r>
          <w:r>
            <w:fldChar w:fldCharType="end"/>
          </w:r>
        </w:p>
        <w:p w14:paraId="2614AB78">
          <w:pPr>
            <w:pStyle w:val="18"/>
            <w:rPr>
              <w:rFonts w:asciiTheme="minorHAnsi" w:hAnsiTheme="minorHAnsi" w:eastAsiaTheme="minorEastAsia" w:cstheme="minorBidi"/>
              <w:szCs w:val="22"/>
            </w:rPr>
          </w:pPr>
          <w:r>
            <w:fldChar w:fldCharType="begin"/>
          </w:r>
          <w:r>
            <w:instrText xml:space="preserve"> HYPERLINK \l "_Toc226110483" </w:instrText>
          </w:r>
          <w:r>
            <w:fldChar w:fldCharType="separate"/>
          </w:r>
          <w:r>
            <w:rPr>
              <w:rStyle w:val="35"/>
            </w:rPr>
            <w:t>5.4.2</w:t>
          </w:r>
          <w:r>
            <w:rPr>
              <w:rFonts w:asciiTheme="minorHAnsi" w:hAnsiTheme="minorHAnsi" w:eastAsiaTheme="minorEastAsia" w:cstheme="minorBidi"/>
              <w:szCs w:val="22"/>
            </w:rPr>
            <w:tab/>
          </w:r>
          <w:r>
            <w:rPr>
              <w:rStyle w:val="35"/>
              <w:rFonts w:cs="Arial"/>
            </w:rPr>
            <w:t>换流站运行状态智能分析</w:t>
          </w:r>
          <w:r>
            <w:tab/>
          </w:r>
          <w:r>
            <w:fldChar w:fldCharType="begin"/>
          </w:r>
          <w:r>
            <w:instrText xml:space="preserve"> PAGEREF _Toc226110483 \h </w:instrText>
          </w:r>
          <w:r>
            <w:fldChar w:fldCharType="separate"/>
          </w:r>
          <w:r>
            <w:t>24</w:t>
          </w:r>
          <w:r>
            <w:fldChar w:fldCharType="end"/>
          </w:r>
          <w:r>
            <w:fldChar w:fldCharType="end"/>
          </w:r>
        </w:p>
        <w:p w14:paraId="0202CF92">
          <w:pPr>
            <w:pStyle w:val="18"/>
            <w:rPr>
              <w:rFonts w:asciiTheme="minorHAnsi" w:hAnsiTheme="minorHAnsi" w:eastAsiaTheme="minorEastAsia" w:cstheme="minorBidi"/>
              <w:szCs w:val="22"/>
            </w:rPr>
          </w:pPr>
          <w:r>
            <w:fldChar w:fldCharType="begin"/>
          </w:r>
          <w:r>
            <w:instrText xml:space="preserve"> HYPERLINK \l "_Toc226110484" </w:instrText>
          </w:r>
          <w:r>
            <w:fldChar w:fldCharType="separate"/>
          </w:r>
          <w:r>
            <w:rPr>
              <w:rStyle w:val="35"/>
            </w:rPr>
            <w:t>5.4.3</w:t>
          </w:r>
          <w:r>
            <w:rPr>
              <w:rFonts w:asciiTheme="minorHAnsi" w:hAnsiTheme="minorHAnsi" w:eastAsiaTheme="minorEastAsia" w:cstheme="minorBidi"/>
              <w:szCs w:val="22"/>
            </w:rPr>
            <w:tab/>
          </w:r>
          <w:r>
            <w:rPr>
              <w:rStyle w:val="35"/>
              <w:rFonts w:cs="Arial"/>
            </w:rPr>
            <w:t>集成部署</w:t>
          </w:r>
          <w:r>
            <w:tab/>
          </w:r>
          <w:r>
            <w:fldChar w:fldCharType="begin"/>
          </w:r>
          <w:r>
            <w:instrText xml:space="preserve"> PAGEREF _Toc226110484 \h </w:instrText>
          </w:r>
          <w:r>
            <w:fldChar w:fldCharType="separate"/>
          </w:r>
          <w:r>
            <w:t>26</w:t>
          </w:r>
          <w:r>
            <w:fldChar w:fldCharType="end"/>
          </w:r>
          <w:r>
            <w:fldChar w:fldCharType="end"/>
          </w:r>
        </w:p>
        <w:p w14:paraId="40E1D7A0">
          <w:pPr>
            <w:pStyle w:val="28"/>
            <w:rPr>
              <w:rFonts w:asciiTheme="minorHAnsi" w:hAnsiTheme="minorHAnsi" w:eastAsiaTheme="minorEastAsia" w:cstheme="minorBidi"/>
              <w:kern w:val="2"/>
              <w:szCs w:val="22"/>
            </w:rPr>
          </w:pPr>
          <w:r>
            <w:fldChar w:fldCharType="begin"/>
          </w:r>
          <w:r>
            <w:instrText xml:space="preserve"> HYPERLINK \l "_Toc226110485" </w:instrText>
          </w:r>
          <w:r>
            <w:fldChar w:fldCharType="separate"/>
          </w:r>
          <w:r>
            <w:rPr>
              <w:rStyle w:val="35"/>
            </w:rPr>
            <w:t>5.5</w:t>
          </w:r>
          <w:r>
            <w:rPr>
              <w:rFonts w:asciiTheme="minorHAnsi" w:hAnsiTheme="minorHAnsi" w:eastAsiaTheme="minorEastAsia" w:cstheme="minorBidi"/>
              <w:kern w:val="2"/>
              <w:szCs w:val="22"/>
            </w:rPr>
            <w:tab/>
          </w:r>
          <w:r>
            <w:rPr>
              <w:rStyle w:val="35"/>
            </w:rPr>
            <w:t>系统数据接口开发与应用要求</w:t>
          </w:r>
          <w:r>
            <w:tab/>
          </w:r>
          <w:r>
            <w:fldChar w:fldCharType="begin"/>
          </w:r>
          <w:r>
            <w:instrText xml:space="preserve"> PAGEREF _Toc226110485 \h </w:instrText>
          </w:r>
          <w:r>
            <w:fldChar w:fldCharType="separate"/>
          </w:r>
          <w:r>
            <w:t>27</w:t>
          </w:r>
          <w:r>
            <w:fldChar w:fldCharType="end"/>
          </w:r>
          <w:r>
            <w:fldChar w:fldCharType="end"/>
          </w:r>
        </w:p>
        <w:p w14:paraId="3319E8D3">
          <w:pPr>
            <w:pStyle w:val="18"/>
            <w:rPr>
              <w:rFonts w:asciiTheme="minorHAnsi" w:hAnsiTheme="minorHAnsi" w:eastAsiaTheme="minorEastAsia" w:cstheme="minorBidi"/>
              <w:szCs w:val="22"/>
            </w:rPr>
          </w:pPr>
          <w:r>
            <w:fldChar w:fldCharType="begin"/>
          </w:r>
          <w:r>
            <w:instrText xml:space="preserve"> HYPERLINK \l "_Toc226110486" </w:instrText>
          </w:r>
          <w:r>
            <w:fldChar w:fldCharType="separate"/>
          </w:r>
          <w:r>
            <w:rPr>
              <w:rStyle w:val="35"/>
            </w:rPr>
            <w:t>5.5.1</w:t>
          </w:r>
          <w:r>
            <w:rPr>
              <w:rFonts w:asciiTheme="minorHAnsi" w:hAnsiTheme="minorHAnsi" w:eastAsiaTheme="minorEastAsia" w:cstheme="minorBidi"/>
              <w:szCs w:val="22"/>
            </w:rPr>
            <w:tab/>
          </w:r>
          <w:r>
            <w:rPr>
              <w:rStyle w:val="35"/>
            </w:rPr>
            <w:t>全站I/II/III区运行监控数据</w:t>
          </w:r>
          <w:r>
            <w:tab/>
          </w:r>
          <w:r>
            <w:fldChar w:fldCharType="begin"/>
          </w:r>
          <w:r>
            <w:instrText xml:space="preserve"> PAGEREF _Toc226110486 \h </w:instrText>
          </w:r>
          <w:r>
            <w:fldChar w:fldCharType="separate"/>
          </w:r>
          <w:r>
            <w:t>27</w:t>
          </w:r>
          <w:r>
            <w:fldChar w:fldCharType="end"/>
          </w:r>
          <w:r>
            <w:fldChar w:fldCharType="end"/>
          </w:r>
        </w:p>
        <w:p w14:paraId="0405AD04">
          <w:pPr>
            <w:pStyle w:val="18"/>
            <w:rPr>
              <w:rFonts w:asciiTheme="minorHAnsi" w:hAnsiTheme="minorHAnsi" w:eastAsiaTheme="minorEastAsia" w:cstheme="minorBidi"/>
              <w:szCs w:val="22"/>
            </w:rPr>
          </w:pPr>
          <w:r>
            <w:fldChar w:fldCharType="begin"/>
          </w:r>
          <w:r>
            <w:instrText xml:space="preserve"> HYPERLINK \l "_Toc226110487" </w:instrText>
          </w:r>
          <w:r>
            <w:fldChar w:fldCharType="separate"/>
          </w:r>
          <w:r>
            <w:rPr>
              <w:rStyle w:val="35"/>
            </w:rPr>
            <w:t>5.5.2</w:t>
          </w:r>
          <w:r>
            <w:rPr>
              <w:rFonts w:asciiTheme="minorHAnsi" w:hAnsiTheme="minorHAnsi" w:eastAsiaTheme="minorEastAsia" w:cstheme="minorBidi"/>
              <w:szCs w:val="22"/>
            </w:rPr>
            <w:tab/>
          </w:r>
          <w:r>
            <w:rPr>
              <w:rStyle w:val="35"/>
            </w:rPr>
            <w:t>广州局主站平台数据</w:t>
          </w:r>
          <w:r>
            <w:tab/>
          </w:r>
          <w:r>
            <w:fldChar w:fldCharType="begin"/>
          </w:r>
          <w:r>
            <w:instrText xml:space="preserve"> PAGEREF _Toc226110487 \h </w:instrText>
          </w:r>
          <w:r>
            <w:fldChar w:fldCharType="separate"/>
          </w:r>
          <w:r>
            <w:t>28</w:t>
          </w:r>
          <w:r>
            <w:fldChar w:fldCharType="end"/>
          </w:r>
          <w:r>
            <w:fldChar w:fldCharType="end"/>
          </w:r>
        </w:p>
        <w:p w14:paraId="68CB1511">
          <w:pPr>
            <w:pStyle w:val="18"/>
            <w:rPr>
              <w:rFonts w:asciiTheme="minorHAnsi" w:hAnsiTheme="minorHAnsi" w:eastAsiaTheme="minorEastAsia" w:cstheme="minorBidi"/>
              <w:szCs w:val="22"/>
            </w:rPr>
          </w:pPr>
          <w:r>
            <w:fldChar w:fldCharType="begin"/>
          </w:r>
          <w:r>
            <w:instrText xml:space="preserve"> HYPERLINK \l "_Toc226110488" </w:instrText>
          </w:r>
          <w:r>
            <w:fldChar w:fldCharType="separate"/>
          </w:r>
          <w:r>
            <w:rPr>
              <w:rStyle w:val="35"/>
            </w:rPr>
            <w:t>5.5.3</w:t>
          </w:r>
          <w:r>
            <w:rPr>
              <w:rFonts w:asciiTheme="minorHAnsi" w:hAnsiTheme="minorHAnsi" w:eastAsiaTheme="minorEastAsia" w:cstheme="minorBidi"/>
              <w:szCs w:val="22"/>
            </w:rPr>
            <w:tab/>
          </w:r>
          <w:r>
            <w:rPr>
              <w:rStyle w:val="35"/>
            </w:rPr>
            <w:t>其他系统及应用要求</w:t>
          </w:r>
          <w:r>
            <w:tab/>
          </w:r>
          <w:r>
            <w:fldChar w:fldCharType="begin"/>
          </w:r>
          <w:r>
            <w:instrText xml:space="preserve"> PAGEREF _Toc226110488 \h </w:instrText>
          </w:r>
          <w:r>
            <w:fldChar w:fldCharType="separate"/>
          </w:r>
          <w:r>
            <w:t>28</w:t>
          </w:r>
          <w:r>
            <w:fldChar w:fldCharType="end"/>
          </w:r>
          <w:r>
            <w:fldChar w:fldCharType="end"/>
          </w:r>
        </w:p>
        <w:p w14:paraId="51F42A3B">
          <w:pPr>
            <w:pStyle w:val="18"/>
            <w:rPr>
              <w:rFonts w:asciiTheme="minorHAnsi" w:hAnsiTheme="minorHAnsi" w:eastAsiaTheme="minorEastAsia" w:cstheme="minorBidi"/>
              <w:szCs w:val="22"/>
            </w:rPr>
          </w:pPr>
          <w:r>
            <w:fldChar w:fldCharType="begin"/>
          </w:r>
          <w:r>
            <w:instrText xml:space="preserve"> HYPERLINK \l "_Toc226110489" </w:instrText>
          </w:r>
          <w:r>
            <w:fldChar w:fldCharType="separate"/>
          </w:r>
          <w:r>
            <w:rPr>
              <w:rStyle w:val="35"/>
            </w:rPr>
            <w:t>5.5.4</w:t>
          </w:r>
          <w:r>
            <w:rPr>
              <w:rFonts w:asciiTheme="minorHAnsi" w:hAnsiTheme="minorHAnsi" w:eastAsiaTheme="minorEastAsia" w:cstheme="minorBidi"/>
              <w:szCs w:val="22"/>
            </w:rPr>
            <w:tab/>
          </w:r>
          <w:r>
            <w:rPr>
              <w:rStyle w:val="35"/>
            </w:rPr>
            <w:t>预留其他系统平台数据</w:t>
          </w:r>
          <w:r>
            <w:tab/>
          </w:r>
          <w:r>
            <w:fldChar w:fldCharType="begin"/>
          </w:r>
          <w:r>
            <w:instrText xml:space="preserve"> PAGEREF _Toc226110489 \h </w:instrText>
          </w:r>
          <w:r>
            <w:fldChar w:fldCharType="separate"/>
          </w:r>
          <w:r>
            <w:t>28</w:t>
          </w:r>
          <w:r>
            <w:fldChar w:fldCharType="end"/>
          </w:r>
          <w:r>
            <w:fldChar w:fldCharType="end"/>
          </w:r>
        </w:p>
        <w:p w14:paraId="1F04F958">
          <w:pPr>
            <w:pStyle w:val="28"/>
            <w:rPr>
              <w:rFonts w:asciiTheme="minorHAnsi" w:hAnsiTheme="minorHAnsi" w:eastAsiaTheme="minorEastAsia" w:cstheme="minorBidi"/>
              <w:kern w:val="2"/>
              <w:szCs w:val="22"/>
            </w:rPr>
          </w:pPr>
          <w:r>
            <w:fldChar w:fldCharType="begin"/>
          </w:r>
          <w:r>
            <w:instrText xml:space="preserve"> HYPERLINK \l "_Toc226110490" </w:instrText>
          </w:r>
          <w:r>
            <w:fldChar w:fldCharType="separate"/>
          </w:r>
          <w:r>
            <w:rPr>
              <w:rStyle w:val="35"/>
            </w:rPr>
            <w:t>5.6</w:t>
          </w:r>
          <w:r>
            <w:rPr>
              <w:rFonts w:asciiTheme="minorHAnsi" w:hAnsiTheme="minorHAnsi" w:eastAsiaTheme="minorEastAsia" w:cstheme="minorBidi"/>
              <w:kern w:val="2"/>
              <w:szCs w:val="22"/>
            </w:rPr>
            <w:tab/>
          </w:r>
          <w:r>
            <w:rPr>
              <w:rStyle w:val="35"/>
            </w:rPr>
            <w:t>服务器、通信及接口设备硬件要求</w:t>
          </w:r>
          <w:r>
            <w:tab/>
          </w:r>
          <w:r>
            <w:fldChar w:fldCharType="begin"/>
          </w:r>
          <w:r>
            <w:instrText xml:space="preserve"> PAGEREF _Toc226110490 \h </w:instrText>
          </w:r>
          <w:r>
            <w:fldChar w:fldCharType="separate"/>
          </w:r>
          <w:r>
            <w:t>29</w:t>
          </w:r>
          <w:r>
            <w:fldChar w:fldCharType="end"/>
          </w:r>
          <w:r>
            <w:fldChar w:fldCharType="end"/>
          </w:r>
        </w:p>
        <w:p w14:paraId="1CDE6BA1">
          <w:pPr>
            <w:pStyle w:val="28"/>
            <w:rPr>
              <w:rFonts w:asciiTheme="minorHAnsi" w:hAnsiTheme="minorHAnsi" w:eastAsiaTheme="minorEastAsia" w:cstheme="minorBidi"/>
              <w:kern w:val="2"/>
              <w:szCs w:val="22"/>
            </w:rPr>
          </w:pPr>
          <w:r>
            <w:fldChar w:fldCharType="begin"/>
          </w:r>
          <w:r>
            <w:instrText xml:space="preserve"> HYPERLINK \l "_Toc226110491" </w:instrText>
          </w:r>
          <w:r>
            <w:fldChar w:fldCharType="separate"/>
          </w:r>
          <w:r>
            <w:rPr>
              <w:rStyle w:val="35"/>
            </w:rPr>
            <w:t>5.7</w:t>
          </w:r>
          <w:r>
            <w:rPr>
              <w:rFonts w:asciiTheme="minorHAnsi" w:hAnsiTheme="minorHAnsi" w:eastAsiaTheme="minorEastAsia" w:cstheme="minorBidi"/>
              <w:kern w:val="2"/>
              <w:szCs w:val="22"/>
            </w:rPr>
            <w:tab/>
          </w:r>
          <w:r>
            <w:rPr>
              <w:rStyle w:val="35"/>
            </w:rPr>
            <w:t>网络安全要求</w:t>
          </w:r>
          <w:r>
            <w:tab/>
          </w:r>
          <w:r>
            <w:fldChar w:fldCharType="begin"/>
          </w:r>
          <w:r>
            <w:instrText xml:space="preserve"> PAGEREF _Toc226110491 \h </w:instrText>
          </w:r>
          <w:r>
            <w:fldChar w:fldCharType="separate"/>
          </w:r>
          <w:r>
            <w:t>29</w:t>
          </w:r>
          <w:r>
            <w:fldChar w:fldCharType="end"/>
          </w:r>
          <w:r>
            <w:fldChar w:fldCharType="end"/>
          </w:r>
        </w:p>
        <w:p w14:paraId="1BD3BDFB">
          <w:pPr>
            <w:pStyle w:val="18"/>
            <w:rPr>
              <w:rFonts w:asciiTheme="minorHAnsi" w:hAnsiTheme="minorHAnsi" w:eastAsiaTheme="minorEastAsia" w:cstheme="minorBidi"/>
              <w:szCs w:val="22"/>
            </w:rPr>
          </w:pPr>
          <w:r>
            <w:fldChar w:fldCharType="begin"/>
          </w:r>
          <w:r>
            <w:instrText xml:space="preserve"> HYPERLINK \l "_Toc226110492" </w:instrText>
          </w:r>
          <w:r>
            <w:fldChar w:fldCharType="separate"/>
          </w:r>
          <w:r>
            <w:rPr>
              <w:rStyle w:val="35"/>
            </w:rPr>
            <w:t>5.7.1</w:t>
          </w:r>
          <w:r>
            <w:rPr>
              <w:rFonts w:asciiTheme="minorHAnsi" w:hAnsiTheme="minorHAnsi" w:eastAsiaTheme="minorEastAsia" w:cstheme="minorBidi"/>
              <w:szCs w:val="22"/>
            </w:rPr>
            <w:tab/>
          </w:r>
          <w:r>
            <w:rPr>
              <w:rStyle w:val="35"/>
            </w:rPr>
            <w:t>网络安全管理要求</w:t>
          </w:r>
          <w:r>
            <w:tab/>
          </w:r>
          <w:r>
            <w:fldChar w:fldCharType="begin"/>
          </w:r>
          <w:r>
            <w:instrText xml:space="preserve"> PAGEREF _Toc226110492 \h </w:instrText>
          </w:r>
          <w:r>
            <w:fldChar w:fldCharType="separate"/>
          </w:r>
          <w:r>
            <w:t>29</w:t>
          </w:r>
          <w:r>
            <w:fldChar w:fldCharType="end"/>
          </w:r>
          <w:r>
            <w:fldChar w:fldCharType="end"/>
          </w:r>
        </w:p>
        <w:p w14:paraId="252C0C65">
          <w:pPr>
            <w:pStyle w:val="18"/>
            <w:rPr>
              <w:rFonts w:asciiTheme="minorHAnsi" w:hAnsiTheme="minorHAnsi" w:eastAsiaTheme="minorEastAsia" w:cstheme="minorBidi"/>
              <w:szCs w:val="22"/>
            </w:rPr>
          </w:pPr>
          <w:r>
            <w:fldChar w:fldCharType="begin"/>
          </w:r>
          <w:r>
            <w:instrText xml:space="preserve"> HYPERLINK \l "_Toc226110493" </w:instrText>
          </w:r>
          <w:r>
            <w:fldChar w:fldCharType="separate"/>
          </w:r>
          <w:r>
            <w:rPr>
              <w:rStyle w:val="35"/>
              <w:rFonts w:ascii="宋体" w:hAnsi="宋体" w:cs="宋体"/>
              <w:bCs/>
            </w:rPr>
            <w:t>5.7.2</w:t>
          </w:r>
          <w:r>
            <w:rPr>
              <w:rFonts w:asciiTheme="minorHAnsi" w:hAnsiTheme="minorHAnsi" w:eastAsiaTheme="minorEastAsia" w:cstheme="minorBidi"/>
              <w:szCs w:val="22"/>
            </w:rPr>
            <w:tab/>
          </w:r>
          <w:r>
            <w:rPr>
              <w:rStyle w:val="35"/>
            </w:rPr>
            <w:t>系统建设安全要求</w:t>
          </w:r>
          <w:r>
            <w:tab/>
          </w:r>
          <w:r>
            <w:fldChar w:fldCharType="begin"/>
          </w:r>
          <w:r>
            <w:instrText xml:space="preserve"> PAGEREF _Toc226110493 \h </w:instrText>
          </w:r>
          <w:r>
            <w:fldChar w:fldCharType="separate"/>
          </w:r>
          <w:r>
            <w:t>30</w:t>
          </w:r>
          <w:r>
            <w:fldChar w:fldCharType="end"/>
          </w:r>
          <w:r>
            <w:fldChar w:fldCharType="end"/>
          </w:r>
        </w:p>
        <w:p w14:paraId="25E439BD">
          <w:pPr>
            <w:pStyle w:val="25"/>
            <w:rPr>
              <w:rFonts w:asciiTheme="minorHAnsi" w:hAnsiTheme="minorHAnsi" w:eastAsiaTheme="minorEastAsia" w:cstheme="minorBidi"/>
              <w:sz w:val="21"/>
              <w:szCs w:val="22"/>
            </w:rPr>
          </w:pPr>
          <w:r>
            <w:fldChar w:fldCharType="begin"/>
          </w:r>
          <w:r>
            <w:instrText xml:space="preserve"> HYPERLINK \l "_Toc226110494" </w:instrText>
          </w:r>
          <w:r>
            <w:fldChar w:fldCharType="separate"/>
          </w:r>
          <w:r>
            <w:rPr>
              <w:rStyle w:val="35"/>
            </w:rPr>
            <w:t>6</w:t>
          </w:r>
          <w:r>
            <w:rPr>
              <w:rFonts w:asciiTheme="minorHAnsi" w:hAnsiTheme="minorHAnsi" w:eastAsiaTheme="minorEastAsia" w:cstheme="minorBidi"/>
              <w:sz w:val="21"/>
              <w:szCs w:val="22"/>
            </w:rPr>
            <w:tab/>
          </w:r>
          <w:r>
            <w:rPr>
              <w:rStyle w:val="35"/>
            </w:rPr>
            <w:t>试验</w:t>
          </w:r>
          <w:r>
            <w:tab/>
          </w:r>
          <w:r>
            <w:fldChar w:fldCharType="begin"/>
          </w:r>
          <w:r>
            <w:instrText xml:space="preserve"> PAGEREF _Toc226110494 \h </w:instrText>
          </w:r>
          <w:r>
            <w:fldChar w:fldCharType="separate"/>
          </w:r>
          <w:r>
            <w:t>32</w:t>
          </w:r>
          <w:r>
            <w:fldChar w:fldCharType="end"/>
          </w:r>
          <w:r>
            <w:fldChar w:fldCharType="end"/>
          </w:r>
        </w:p>
        <w:p w14:paraId="3F87C03B">
          <w:pPr>
            <w:pStyle w:val="28"/>
            <w:rPr>
              <w:rFonts w:asciiTheme="minorHAnsi" w:hAnsiTheme="minorHAnsi" w:eastAsiaTheme="minorEastAsia" w:cstheme="minorBidi"/>
              <w:kern w:val="2"/>
              <w:szCs w:val="22"/>
            </w:rPr>
          </w:pPr>
          <w:r>
            <w:fldChar w:fldCharType="begin"/>
          </w:r>
          <w:r>
            <w:instrText xml:space="preserve"> HYPERLINK \l "_Toc226110495" </w:instrText>
          </w:r>
          <w:r>
            <w:fldChar w:fldCharType="separate"/>
          </w:r>
          <w:r>
            <w:rPr>
              <w:rStyle w:val="35"/>
            </w:rPr>
            <w:t>6.1试验分类</w:t>
          </w:r>
          <w:r>
            <w:tab/>
          </w:r>
          <w:r>
            <w:fldChar w:fldCharType="begin"/>
          </w:r>
          <w:r>
            <w:instrText xml:space="preserve"> PAGEREF _Toc226110495 \h </w:instrText>
          </w:r>
          <w:r>
            <w:fldChar w:fldCharType="separate"/>
          </w:r>
          <w:r>
            <w:t>32</w:t>
          </w:r>
          <w:r>
            <w:fldChar w:fldCharType="end"/>
          </w:r>
          <w:r>
            <w:fldChar w:fldCharType="end"/>
          </w:r>
        </w:p>
        <w:p w14:paraId="55E67697">
          <w:pPr>
            <w:pStyle w:val="28"/>
            <w:rPr>
              <w:rFonts w:asciiTheme="minorHAnsi" w:hAnsiTheme="minorHAnsi" w:eastAsiaTheme="minorEastAsia" w:cstheme="minorBidi"/>
              <w:kern w:val="2"/>
              <w:szCs w:val="22"/>
            </w:rPr>
          </w:pPr>
          <w:r>
            <w:fldChar w:fldCharType="begin"/>
          </w:r>
          <w:r>
            <w:instrText xml:space="preserve"> HYPERLINK \l "_Toc226110496" </w:instrText>
          </w:r>
          <w:r>
            <w:fldChar w:fldCharType="separate"/>
          </w:r>
          <w:r>
            <w:rPr>
              <w:rStyle w:val="35"/>
            </w:rPr>
            <w:t>6.2型式试验</w:t>
          </w:r>
          <w:r>
            <w:tab/>
          </w:r>
          <w:r>
            <w:fldChar w:fldCharType="begin"/>
          </w:r>
          <w:r>
            <w:instrText xml:space="preserve"> PAGEREF _Toc226110496 \h </w:instrText>
          </w:r>
          <w:r>
            <w:fldChar w:fldCharType="separate"/>
          </w:r>
          <w:r>
            <w:t>32</w:t>
          </w:r>
          <w:r>
            <w:fldChar w:fldCharType="end"/>
          </w:r>
          <w:r>
            <w:fldChar w:fldCharType="end"/>
          </w:r>
        </w:p>
        <w:p w14:paraId="056072EC">
          <w:pPr>
            <w:pStyle w:val="28"/>
            <w:rPr>
              <w:rFonts w:asciiTheme="minorHAnsi" w:hAnsiTheme="minorHAnsi" w:eastAsiaTheme="minorEastAsia" w:cstheme="minorBidi"/>
              <w:kern w:val="2"/>
              <w:szCs w:val="22"/>
            </w:rPr>
          </w:pPr>
          <w:r>
            <w:fldChar w:fldCharType="begin"/>
          </w:r>
          <w:r>
            <w:instrText xml:space="preserve"> HYPERLINK \l "_Toc226110497" </w:instrText>
          </w:r>
          <w:r>
            <w:fldChar w:fldCharType="separate"/>
          </w:r>
          <w:r>
            <w:rPr>
              <w:rStyle w:val="35"/>
            </w:rPr>
            <w:t>6.3现场交接试验</w:t>
          </w:r>
          <w:r>
            <w:tab/>
          </w:r>
          <w:r>
            <w:fldChar w:fldCharType="begin"/>
          </w:r>
          <w:r>
            <w:instrText xml:space="preserve"> PAGEREF _Toc226110497 \h </w:instrText>
          </w:r>
          <w:r>
            <w:fldChar w:fldCharType="separate"/>
          </w:r>
          <w:r>
            <w:t>33</w:t>
          </w:r>
          <w:r>
            <w:fldChar w:fldCharType="end"/>
          </w:r>
          <w:r>
            <w:fldChar w:fldCharType="end"/>
          </w:r>
        </w:p>
        <w:p w14:paraId="60258912">
          <w:pPr>
            <w:pStyle w:val="28"/>
            <w:rPr>
              <w:rFonts w:asciiTheme="minorHAnsi" w:hAnsiTheme="minorHAnsi" w:eastAsiaTheme="minorEastAsia" w:cstheme="minorBidi"/>
              <w:kern w:val="2"/>
              <w:szCs w:val="22"/>
            </w:rPr>
          </w:pPr>
          <w:r>
            <w:fldChar w:fldCharType="begin"/>
          </w:r>
          <w:r>
            <w:instrText xml:space="preserve"> HYPERLINK \l "_Toc226110498" </w:instrText>
          </w:r>
          <w:r>
            <w:fldChar w:fldCharType="separate"/>
          </w:r>
          <w:r>
            <w:rPr>
              <w:rStyle w:val="35"/>
            </w:rPr>
            <w:t>6.4信息安全等级保护测试及入网安评测试</w:t>
          </w:r>
          <w:r>
            <w:tab/>
          </w:r>
          <w:r>
            <w:fldChar w:fldCharType="begin"/>
          </w:r>
          <w:r>
            <w:instrText xml:space="preserve"> PAGEREF _Toc226110498 \h </w:instrText>
          </w:r>
          <w:r>
            <w:fldChar w:fldCharType="separate"/>
          </w:r>
          <w:r>
            <w:t>34</w:t>
          </w:r>
          <w:r>
            <w:fldChar w:fldCharType="end"/>
          </w:r>
          <w:r>
            <w:fldChar w:fldCharType="end"/>
          </w:r>
        </w:p>
        <w:p w14:paraId="1B08605E">
          <w:pPr>
            <w:pStyle w:val="25"/>
            <w:rPr>
              <w:rFonts w:asciiTheme="minorHAnsi" w:hAnsiTheme="minorHAnsi" w:eastAsiaTheme="minorEastAsia" w:cstheme="minorBidi"/>
              <w:sz w:val="21"/>
              <w:szCs w:val="22"/>
            </w:rPr>
          </w:pPr>
          <w:r>
            <w:fldChar w:fldCharType="begin"/>
          </w:r>
          <w:r>
            <w:instrText xml:space="preserve"> HYPERLINK \l "_Toc226110499" </w:instrText>
          </w:r>
          <w:r>
            <w:fldChar w:fldCharType="separate"/>
          </w:r>
          <w:r>
            <w:rPr>
              <w:rStyle w:val="35"/>
            </w:rPr>
            <w:t>7</w:t>
          </w:r>
          <w:r>
            <w:rPr>
              <w:rFonts w:asciiTheme="minorHAnsi" w:hAnsiTheme="minorHAnsi" w:eastAsiaTheme="minorEastAsia" w:cstheme="minorBidi"/>
              <w:sz w:val="21"/>
              <w:szCs w:val="22"/>
            </w:rPr>
            <w:tab/>
          </w:r>
          <w:r>
            <w:rPr>
              <w:rStyle w:val="35"/>
            </w:rPr>
            <w:t>产品对环境的影响</w:t>
          </w:r>
          <w:r>
            <w:tab/>
          </w:r>
          <w:r>
            <w:fldChar w:fldCharType="begin"/>
          </w:r>
          <w:r>
            <w:instrText xml:space="preserve"> PAGEREF _Toc226110499 \h </w:instrText>
          </w:r>
          <w:r>
            <w:fldChar w:fldCharType="separate"/>
          </w:r>
          <w:r>
            <w:t>34</w:t>
          </w:r>
          <w:r>
            <w:fldChar w:fldCharType="end"/>
          </w:r>
          <w:r>
            <w:fldChar w:fldCharType="end"/>
          </w:r>
        </w:p>
        <w:p w14:paraId="2B65AE0C">
          <w:pPr>
            <w:pStyle w:val="25"/>
            <w:rPr>
              <w:rFonts w:asciiTheme="minorHAnsi" w:hAnsiTheme="minorHAnsi" w:eastAsiaTheme="minorEastAsia" w:cstheme="minorBidi"/>
              <w:sz w:val="21"/>
              <w:szCs w:val="22"/>
            </w:rPr>
          </w:pPr>
          <w:r>
            <w:fldChar w:fldCharType="begin"/>
          </w:r>
          <w:r>
            <w:instrText xml:space="preserve"> HYPERLINK \l "_Toc226110500" </w:instrText>
          </w:r>
          <w:r>
            <w:fldChar w:fldCharType="separate"/>
          </w:r>
          <w:r>
            <w:rPr>
              <w:rStyle w:val="35"/>
            </w:rPr>
            <w:t>8</w:t>
          </w:r>
          <w:r>
            <w:rPr>
              <w:rFonts w:asciiTheme="minorHAnsi" w:hAnsiTheme="minorHAnsi" w:eastAsiaTheme="minorEastAsia" w:cstheme="minorBidi"/>
              <w:sz w:val="21"/>
              <w:szCs w:val="22"/>
            </w:rPr>
            <w:tab/>
          </w:r>
          <w:r>
            <w:rPr>
              <w:rStyle w:val="35"/>
            </w:rPr>
            <w:t>企业VI标识</w:t>
          </w:r>
          <w:r>
            <w:tab/>
          </w:r>
          <w:r>
            <w:fldChar w:fldCharType="begin"/>
          </w:r>
          <w:r>
            <w:instrText xml:space="preserve"> PAGEREF _Toc226110500 \h </w:instrText>
          </w:r>
          <w:r>
            <w:fldChar w:fldCharType="separate"/>
          </w:r>
          <w:r>
            <w:t>35</w:t>
          </w:r>
          <w:r>
            <w:fldChar w:fldCharType="end"/>
          </w:r>
          <w:r>
            <w:fldChar w:fldCharType="end"/>
          </w:r>
        </w:p>
        <w:p w14:paraId="76D2C92A">
          <w:pPr>
            <w:pStyle w:val="25"/>
            <w:rPr>
              <w:rFonts w:asciiTheme="minorHAnsi" w:hAnsiTheme="minorHAnsi" w:eastAsiaTheme="minorEastAsia" w:cstheme="minorBidi"/>
              <w:sz w:val="21"/>
              <w:szCs w:val="22"/>
            </w:rPr>
          </w:pPr>
          <w:r>
            <w:fldChar w:fldCharType="begin"/>
          </w:r>
          <w:r>
            <w:instrText xml:space="preserve"> HYPERLINK \l "_Toc226110501" </w:instrText>
          </w:r>
          <w:r>
            <w:fldChar w:fldCharType="separate"/>
          </w:r>
          <w:r>
            <w:rPr>
              <w:rStyle w:val="35"/>
            </w:rPr>
            <w:t>9</w:t>
          </w:r>
          <w:r>
            <w:rPr>
              <w:rFonts w:asciiTheme="minorHAnsi" w:hAnsiTheme="minorHAnsi" w:eastAsiaTheme="minorEastAsia" w:cstheme="minorBidi"/>
              <w:sz w:val="21"/>
              <w:szCs w:val="22"/>
            </w:rPr>
            <w:tab/>
          </w:r>
          <w:r>
            <w:rPr>
              <w:rStyle w:val="35"/>
            </w:rPr>
            <w:t>技术文件要求</w:t>
          </w:r>
          <w:r>
            <w:tab/>
          </w:r>
          <w:r>
            <w:fldChar w:fldCharType="begin"/>
          </w:r>
          <w:r>
            <w:instrText xml:space="preserve"> PAGEREF _Toc226110501 \h </w:instrText>
          </w:r>
          <w:r>
            <w:fldChar w:fldCharType="separate"/>
          </w:r>
          <w:r>
            <w:t>35</w:t>
          </w:r>
          <w:r>
            <w:fldChar w:fldCharType="end"/>
          </w:r>
          <w:r>
            <w:fldChar w:fldCharType="end"/>
          </w:r>
        </w:p>
        <w:p w14:paraId="0F7C430D">
          <w:pPr>
            <w:pStyle w:val="25"/>
            <w:rPr>
              <w:rFonts w:asciiTheme="minorHAnsi" w:hAnsiTheme="minorHAnsi" w:eastAsiaTheme="minorEastAsia" w:cstheme="minorBidi"/>
              <w:sz w:val="21"/>
              <w:szCs w:val="22"/>
            </w:rPr>
          </w:pPr>
          <w:r>
            <w:fldChar w:fldCharType="begin"/>
          </w:r>
          <w:r>
            <w:instrText xml:space="preserve"> HYPERLINK \l "_Toc226110502" </w:instrText>
          </w:r>
          <w:r>
            <w:fldChar w:fldCharType="separate"/>
          </w:r>
          <w:r>
            <w:rPr>
              <w:rStyle w:val="35"/>
            </w:rPr>
            <w:t>10</w:t>
          </w:r>
          <w:r>
            <w:rPr>
              <w:rFonts w:asciiTheme="minorHAnsi" w:hAnsiTheme="minorHAnsi" w:eastAsiaTheme="minorEastAsia" w:cstheme="minorBidi"/>
              <w:sz w:val="21"/>
              <w:szCs w:val="22"/>
            </w:rPr>
            <w:tab/>
          </w:r>
          <w:r>
            <w:rPr>
              <w:rStyle w:val="35"/>
            </w:rPr>
            <w:t>监造、包装、运输、安装及质量保证</w:t>
          </w:r>
          <w:r>
            <w:tab/>
          </w:r>
          <w:r>
            <w:fldChar w:fldCharType="begin"/>
          </w:r>
          <w:r>
            <w:instrText xml:space="preserve"> PAGEREF _Toc226110502 \h </w:instrText>
          </w:r>
          <w:r>
            <w:fldChar w:fldCharType="separate"/>
          </w:r>
          <w:r>
            <w:t>36</w:t>
          </w:r>
          <w:r>
            <w:fldChar w:fldCharType="end"/>
          </w:r>
          <w:r>
            <w:fldChar w:fldCharType="end"/>
          </w:r>
        </w:p>
        <w:p w14:paraId="2D2507B1">
          <w:pPr>
            <w:pStyle w:val="25"/>
            <w:rPr>
              <w:rFonts w:asciiTheme="minorHAnsi" w:hAnsiTheme="minorHAnsi" w:eastAsiaTheme="minorEastAsia" w:cstheme="minorBidi"/>
              <w:sz w:val="21"/>
              <w:szCs w:val="22"/>
            </w:rPr>
          </w:pPr>
          <w:r>
            <w:fldChar w:fldCharType="begin"/>
          </w:r>
          <w:r>
            <w:instrText xml:space="preserve"> HYPERLINK \l "_Toc226110503" </w:instrText>
          </w:r>
          <w:r>
            <w:fldChar w:fldCharType="separate"/>
          </w:r>
          <w:r>
            <w:rPr>
              <w:rStyle w:val="35"/>
            </w:rPr>
            <w:t>11</w:t>
          </w:r>
          <w:r>
            <w:rPr>
              <w:rFonts w:asciiTheme="minorHAnsi" w:hAnsiTheme="minorHAnsi" w:eastAsiaTheme="minorEastAsia" w:cstheme="minorBidi"/>
              <w:sz w:val="21"/>
              <w:szCs w:val="22"/>
            </w:rPr>
            <w:tab/>
          </w:r>
          <w:r>
            <w:rPr>
              <w:rStyle w:val="35"/>
            </w:rPr>
            <w:t>设备技术参数和性能要求响应表</w:t>
          </w:r>
          <w:r>
            <w:tab/>
          </w:r>
          <w:r>
            <w:fldChar w:fldCharType="begin"/>
          </w:r>
          <w:r>
            <w:instrText xml:space="preserve"> PAGEREF _Toc226110503 \h </w:instrText>
          </w:r>
          <w:r>
            <w:fldChar w:fldCharType="separate"/>
          </w:r>
          <w:r>
            <w:t>46</w:t>
          </w:r>
          <w:r>
            <w:fldChar w:fldCharType="end"/>
          </w:r>
          <w:r>
            <w:fldChar w:fldCharType="end"/>
          </w:r>
        </w:p>
        <w:p w14:paraId="00A4CD19">
          <w:pPr>
            <w:pStyle w:val="25"/>
            <w:rPr>
              <w:rFonts w:asciiTheme="minorHAnsi" w:hAnsiTheme="minorHAnsi" w:eastAsiaTheme="minorEastAsia" w:cstheme="minorBidi"/>
              <w:sz w:val="21"/>
              <w:szCs w:val="22"/>
            </w:rPr>
          </w:pPr>
          <w:r>
            <w:fldChar w:fldCharType="begin"/>
          </w:r>
          <w:r>
            <w:instrText xml:space="preserve"> HYPERLINK \l "_Toc226110504" </w:instrText>
          </w:r>
          <w:r>
            <w:fldChar w:fldCharType="separate"/>
          </w:r>
          <w:r>
            <w:rPr>
              <w:rStyle w:val="35"/>
            </w:rPr>
            <w:t>12</w:t>
          </w:r>
          <w:r>
            <w:rPr>
              <w:rFonts w:asciiTheme="minorHAnsi" w:hAnsiTheme="minorHAnsi" w:eastAsiaTheme="minorEastAsia" w:cstheme="minorBidi"/>
              <w:sz w:val="21"/>
              <w:szCs w:val="22"/>
            </w:rPr>
            <w:tab/>
          </w:r>
          <w:r>
            <w:rPr>
              <w:rStyle w:val="35"/>
            </w:rPr>
            <w:t>技术差异表</w:t>
          </w:r>
          <w:r>
            <w:tab/>
          </w:r>
          <w:r>
            <w:fldChar w:fldCharType="begin"/>
          </w:r>
          <w:r>
            <w:instrText xml:space="preserve"> PAGEREF _Toc226110504 \h </w:instrText>
          </w:r>
          <w:r>
            <w:fldChar w:fldCharType="separate"/>
          </w:r>
          <w:r>
            <w:t>56</w:t>
          </w:r>
          <w:r>
            <w:fldChar w:fldCharType="end"/>
          </w:r>
          <w:r>
            <w:fldChar w:fldCharType="end"/>
          </w:r>
        </w:p>
        <w:p w14:paraId="4D5CE99C">
          <w:pPr>
            <w:pStyle w:val="25"/>
            <w:rPr>
              <w:rFonts w:asciiTheme="minorHAnsi" w:hAnsiTheme="minorHAnsi" w:eastAsiaTheme="minorEastAsia" w:cstheme="minorBidi"/>
              <w:sz w:val="21"/>
              <w:szCs w:val="22"/>
            </w:rPr>
          </w:pPr>
          <w:r>
            <w:fldChar w:fldCharType="begin"/>
          </w:r>
          <w:r>
            <w:instrText xml:space="preserve"> HYPERLINK \l "_Toc226110505" </w:instrText>
          </w:r>
          <w:r>
            <w:fldChar w:fldCharType="separate"/>
          </w:r>
          <w:r>
            <w:rPr>
              <w:rStyle w:val="35"/>
            </w:rPr>
            <w:t>13</w:t>
          </w:r>
          <w:r>
            <w:rPr>
              <w:rFonts w:asciiTheme="minorHAnsi" w:hAnsiTheme="minorHAnsi" w:eastAsiaTheme="minorEastAsia" w:cstheme="minorBidi"/>
              <w:sz w:val="21"/>
              <w:szCs w:val="22"/>
            </w:rPr>
            <w:tab/>
          </w:r>
          <w:r>
            <w:rPr>
              <w:rStyle w:val="35"/>
            </w:rPr>
            <w:t>投标方需说明的其他问题</w:t>
          </w:r>
          <w:r>
            <w:tab/>
          </w:r>
          <w:r>
            <w:fldChar w:fldCharType="begin"/>
          </w:r>
          <w:r>
            <w:instrText xml:space="preserve"> PAGEREF _Toc226110505 \h </w:instrText>
          </w:r>
          <w:r>
            <w:fldChar w:fldCharType="separate"/>
          </w:r>
          <w:r>
            <w:t>56</w:t>
          </w:r>
          <w:r>
            <w:fldChar w:fldCharType="end"/>
          </w:r>
          <w:r>
            <w:fldChar w:fldCharType="end"/>
          </w:r>
        </w:p>
        <w:p w14:paraId="4C9EE3E3">
          <w:pPr>
            <w:tabs>
              <w:tab w:val="left" w:pos="425"/>
            </w:tabs>
            <w:jc w:val="center"/>
            <w:rPr>
              <w:rFonts w:ascii="宋体" w:hAnsi="宋体" w:cs="宋体"/>
              <w:szCs w:val="21"/>
            </w:rPr>
          </w:pPr>
          <w:r>
            <w:rPr>
              <w:rFonts w:hint="eastAsia" w:ascii="宋体" w:hAnsi="宋体" w:cs="宋体"/>
              <w:szCs w:val="21"/>
              <w:lang w:val="zh-CN"/>
            </w:rPr>
            <w:fldChar w:fldCharType="end"/>
          </w:r>
        </w:p>
      </w:sdtContent>
    </w:sdt>
    <w:p w14:paraId="06994C9E">
      <w:pPr>
        <w:widowControl/>
        <w:spacing w:line="360" w:lineRule="auto"/>
        <w:rPr>
          <w:rFonts w:ascii="宋体" w:hAnsi="宋体" w:cs="宋体"/>
          <w:szCs w:val="21"/>
        </w:rPr>
      </w:pPr>
      <w:r>
        <w:rPr>
          <w:rFonts w:hint="eastAsia" w:ascii="宋体" w:hAnsi="宋体" w:cs="宋体"/>
          <w:szCs w:val="21"/>
        </w:rPr>
        <w:br w:type="page"/>
      </w:r>
    </w:p>
    <w:p w14:paraId="421CF203">
      <w:pPr>
        <w:pStyle w:val="4"/>
        <w:rPr>
          <w:rFonts w:ascii="宋体" w:hAnsi="宋体" w:eastAsia="宋体" w:cs="宋体"/>
          <w:sz w:val="21"/>
          <w:szCs w:val="21"/>
        </w:rPr>
        <w:sectPr>
          <w:headerReference r:id="rId3" w:type="default"/>
          <w:footerReference r:id="rId4" w:type="default"/>
          <w:pgSz w:w="11906" w:h="16838"/>
          <w:pgMar w:top="1326" w:right="1418" w:bottom="1418" w:left="1418" w:header="709" w:footer="831" w:gutter="567"/>
          <w:pgNumType w:start="1"/>
          <w:cols w:space="425" w:num="1"/>
          <w:docGrid w:type="lines" w:linePitch="326" w:charSpace="0"/>
        </w:sectPr>
      </w:pPr>
    </w:p>
    <w:p w14:paraId="6B7D21CC">
      <w:pPr>
        <w:pStyle w:val="4"/>
      </w:pPr>
      <w:bookmarkStart w:id="16" w:name="_Toc84839219"/>
      <w:bookmarkStart w:id="17" w:name="_Toc226110465"/>
      <w:r>
        <w:rPr>
          <w:rFonts w:hint="eastAsia"/>
        </w:rPr>
        <w:t>总则</w:t>
      </w:r>
      <w:bookmarkEnd w:id="16"/>
      <w:bookmarkEnd w:id="17"/>
    </w:p>
    <w:p w14:paraId="3A867E9A">
      <w:pPr>
        <w:numPr>
          <w:ilvl w:val="255"/>
          <w:numId w:val="0"/>
        </w:numPr>
        <w:spacing w:line="360" w:lineRule="auto"/>
      </w:pPr>
      <w:r>
        <w:rPr>
          <w:rFonts w:hint="eastAsia"/>
        </w:rPr>
        <w:t>1.1</w:t>
      </w:r>
      <w:r>
        <w:t xml:space="preserve">  本招标技术文件适用于</w:t>
      </w:r>
      <w:r>
        <w:rPr>
          <w:rFonts w:hint="eastAsia"/>
          <w:highlight w:val="none"/>
          <w:lang w:eastAsia="zh-CN"/>
        </w:rPr>
        <w:t>广东电网广东电网220kV天河棠下柔直背靠背工程数字孪生应用及智能运维系统工程设计施工总承包项目</w:t>
      </w:r>
      <w:r>
        <w:rPr>
          <w:rFonts w:hint="eastAsia"/>
        </w:rPr>
        <w:t>，</w:t>
      </w:r>
      <w:r>
        <w:t>它提出了该设备本体及附属设备的功能设计、结构、性能、安装和试验等方面的技术要求。</w:t>
      </w:r>
    </w:p>
    <w:p w14:paraId="54B3BE93">
      <w:pPr>
        <w:pStyle w:val="49"/>
        <w:adjustRightInd w:val="0"/>
        <w:snapToGrid w:val="0"/>
        <w:spacing w:line="360" w:lineRule="auto"/>
        <w:ind w:firstLine="0" w:firstLineChars="0"/>
        <w:rPr>
          <w:rFonts w:eastAsia="宋体" w:cs="Times New Roman"/>
          <w:szCs w:val="21"/>
        </w:rPr>
      </w:pPr>
      <w:r>
        <w:rPr>
          <w:rFonts w:eastAsia="宋体" w:cs="Times New Roman"/>
          <w:szCs w:val="21"/>
        </w:rPr>
        <w:t>1.</w:t>
      </w:r>
      <w:r>
        <w:rPr>
          <w:rFonts w:hint="eastAsia" w:eastAsia="宋体" w:cs="Times New Roman"/>
          <w:szCs w:val="21"/>
        </w:rPr>
        <w:t>2</w:t>
      </w:r>
      <w:r>
        <w:rPr>
          <w:rFonts w:eastAsia="宋体" w:cs="Times New Roman"/>
          <w:szCs w:val="21"/>
        </w:rPr>
        <w:t xml:space="preserve">  本设备招标技术文件提出的是最低限度的技术要求。凡本招标技术文件中未规定，但在相关设备的行业标准、国家标准或IEC标准中有规定的规范条文，投标方应按相应标准的条文进行设备设计、制造、试验和安装。对国家有关安全、环保等强制性标准，必须满足其要求(如压力容器、高电压设备等)。</w:t>
      </w:r>
    </w:p>
    <w:p w14:paraId="0EA2E512">
      <w:pPr>
        <w:pStyle w:val="49"/>
        <w:adjustRightInd w:val="0"/>
        <w:snapToGrid w:val="0"/>
        <w:spacing w:line="360" w:lineRule="auto"/>
        <w:ind w:firstLine="0" w:firstLineChars="0"/>
        <w:rPr>
          <w:rFonts w:eastAsia="宋体" w:cs="Times New Roman"/>
          <w:szCs w:val="21"/>
        </w:rPr>
      </w:pPr>
      <w:r>
        <w:rPr>
          <w:rFonts w:eastAsia="宋体" w:cs="Times New Roman"/>
          <w:szCs w:val="21"/>
        </w:rPr>
        <w:t>1.</w:t>
      </w:r>
      <w:r>
        <w:rPr>
          <w:rFonts w:hint="eastAsia" w:eastAsia="宋体" w:cs="Times New Roman"/>
          <w:szCs w:val="21"/>
        </w:rPr>
        <w:t>3</w:t>
      </w:r>
      <w:r>
        <w:rPr>
          <w:rFonts w:eastAsia="宋体" w:cs="Times New Roman"/>
          <w:szCs w:val="21"/>
        </w:rPr>
        <w:t xml:space="preserve">  如果投标方没有以书面形式对本招标技术文件的条文提出异议，则意味着投标方提供的设备完全符合本招标技术文件的要求。如有异议</w:t>
      </w:r>
      <w:r>
        <w:rPr>
          <w:rFonts w:hint="eastAsia" w:eastAsia="宋体" w:cs="Times New Roman"/>
          <w:szCs w:val="21"/>
        </w:rPr>
        <w:t>，</w:t>
      </w:r>
      <w:r>
        <w:rPr>
          <w:rFonts w:eastAsia="宋体" w:cs="Times New Roman"/>
          <w:szCs w:val="21"/>
        </w:rPr>
        <w:t>不管是多么微小，都应在报价书中以“对招标技术文件的意见和同招标技术文件的差异”为标题的专门章节中加以详细描述。</w:t>
      </w:r>
    </w:p>
    <w:p w14:paraId="1A3AAAF3">
      <w:pPr>
        <w:pStyle w:val="49"/>
        <w:adjustRightInd w:val="0"/>
        <w:snapToGrid w:val="0"/>
        <w:spacing w:line="360" w:lineRule="auto"/>
        <w:ind w:firstLine="0" w:firstLineChars="0"/>
        <w:rPr>
          <w:rFonts w:eastAsia="宋体" w:cs="Times New Roman"/>
          <w:szCs w:val="21"/>
        </w:rPr>
      </w:pPr>
      <w:r>
        <w:rPr>
          <w:rFonts w:eastAsia="宋体" w:cs="Times New Roman"/>
          <w:szCs w:val="21"/>
        </w:rPr>
        <w:t>1.</w:t>
      </w:r>
      <w:r>
        <w:rPr>
          <w:rFonts w:hint="eastAsia" w:eastAsia="宋体" w:cs="Times New Roman"/>
          <w:szCs w:val="21"/>
        </w:rPr>
        <w:t>4</w:t>
      </w:r>
      <w:r>
        <w:rPr>
          <w:rFonts w:eastAsia="宋体" w:cs="Times New Roman"/>
          <w:szCs w:val="21"/>
        </w:rPr>
        <w:t xml:space="preserve">  本招标技术文件所使用的标准如遇与投标方所执行的标准不一致时， 按较高标准执行。</w:t>
      </w:r>
    </w:p>
    <w:p w14:paraId="57BCE3B9">
      <w:pPr>
        <w:pStyle w:val="49"/>
        <w:adjustRightInd w:val="0"/>
        <w:snapToGrid w:val="0"/>
        <w:spacing w:line="360" w:lineRule="auto"/>
        <w:ind w:firstLine="0" w:firstLineChars="0"/>
        <w:rPr>
          <w:rFonts w:eastAsia="宋体" w:cs="Times New Roman"/>
          <w:szCs w:val="21"/>
        </w:rPr>
      </w:pPr>
      <w:r>
        <w:rPr>
          <w:rFonts w:eastAsia="宋体" w:cs="Times New Roman"/>
          <w:szCs w:val="21"/>
        </w:rPr>
        <w:t>1.</w:t>
      </w:r>
      <w:r>
        <w:rPr>
          <w:rFonts w:hint="eastAsia" w:eastAsia="宋体" w:cs="Times New Roman"/>
          <w:szCs w:val="21"/>
        </w:rPr>
        <w:t>5</w:t>
      </w:r>
      <w:r>
        <w:rPr>
          <w:rFonts w:eastAsia="宋体" w:cs="Times New Roman"/>
          <w:szCs w:val="21"/>
        </w:rPr>
        <w:t xml:space="preserve">  本招标技术文件经招、投标双方确认后作为合同的技术附件，与合同正文具有同等的法律效力。</w:t>
      </w:r>
    </w:p>
    <w:p w14:paraId="047919EF">
      <w:pPr>
        <w:pStyle w:val="49"/>
        <w:adjustRightInd w:val="0"/>
        <w:snapToGrid w:val="0"/>
        <w:spacing w:line="360" w:lineRule="auto"/>
        <w:ind w:firstLine="0" w:firstLineChars="0"/>
        <w:rPr>
          <w:rFonts w:eastAsia="宋体" w:cs="Times New Roman"/>
          <w:szCs w:val="21"/>
        </w:rPr>
      </w:pPr>
      <w:r>
        <w:rPr>
          <w:rFonts w:eastAsia="宋体" w:cs="Times New Roman"/>
          <w:szCs w:val="21"/>
        </w:rPr>
        <w:t>1.</w:t>
      </w:r>
      <w:r>
        <w:rPr>
          <w:rFonts w:hint="eastAsia" w:eastAsia="宋体" w:cs="Times New Roman"/>
          <w:szCs w:val="21"/>
        </w:rPr>
        <w:t>6</w:t>
      </w:r>
      <w:r>
        <w:rPr>
          <w:rFonts w:eastAsia="宋体" w:cs="Times New Roman"/>
          <w:szCs w:val="21"/>
        </w:rPr>
        <w:t xml:space="preserve">  本招标技术文件未尽事宜，由招、投标双方协商确定。</w:t>
      </w:r>
    </w:p>
    <w:p w14:paraId="34E4A49D">
      <w:pPr>
        <w:pStyle w:val="49"/>
        <w:adjustRightInd w:val="0"/>
        <w:snapToGrid w:val="0"/>
        <w:spacing w:line="360" w:lineRule="auto"/>
        <w:ind w:firstLine="0" w:firstLineChars="0"/>
        <w:rPr>
          <w:rFonts w:eastAsia="宋体" w:cs="Times New Roman"/>
          <w:szCs w:val="21"/>
        </w:rPr>
      </w:pPr>
      <w:r>
        <w:rPr>
          <w:rFonts w:eastAsia="宋体" w:cs="Times New Roman"/>
          <w:szCs w:val="21"/>
        </w:rPr>
        <w:t>1.</w:t>
      </w:r>
      <w:r>
        <w:rPr>
          <w:rFonts w:hint="eastAsia" w:eastAsia="宋体" w:cs="Times New Roman"/>
          <w:szCs w:val="21"/>
        </w:rPr>
        <w:t>7</w:t>
      </w:r>
      <w:r>
        <w:rPr>
          <w:rFonts w:eastAsia="宋体" w:cs="Times New Roman"/>
          <w:szCs w:val="21"/>
        </w:rPr>
        <w:t xml:space="preserve">  投标方在应标招标技术文件中应如实反映应标产品与本招标技术文件的技术差异。如果投标方没有提出技术差异，而在执行合同的过程中，招标方发现投标方提供的产品与其应标招标技术文件的条文存在差异，招标方有权利要求退货，并将对下一年度的评标工作有不同程度的影响。</w:t>
      </w:r>
    </w:p>
    <w:p w14:paraId="428BFD1E">
      <w:pPr>
        <w:pStyle w:val="49"/>
        <w:adjustRightInd w:val="0"/>
        <w:snapToGrid w:val="0"/>
        <w:spacing w:line="360" w:lineRule="auto"/>
        <w:ind w:firstLine="0" w:firstLineChars="0"/>
        <w:rPr>
          <w:rFonts w:eastAsia="宋体" w:cs="Times New Roman"/>
          <w:szCs w:val="21"/>
        </w:rPr>
      </w:pPr>
      <w:r>
        <w:rPr>
          <w:rFonts w:eastAsia="宋体" w:cs="Times New Roman"/>
          <w:szCs w:val="21"/>
        </w:rPr>
        <w:t>1.</w:t>
      </w:r>
      <w:r>
        <w:rPr>
          <w:rFonts w:hint="eastAsia" w:eastAsia="宋体" w:cs="Times New Roman"/>
          <w:szCs w:val="21"/>
        </w:rPr>
        <w:t>8</w:t>
      </w:r>
      <w:r>
        <w:rPr>
          <w:rFonts w:eastAsia="宋体" w:cs="Times New Roman"/>
          <w:szCs w:val="21"/>
        </w:rPr>
        <w:t xml:space="preserve">  投标方应在应标技术部分按本招标技术文件的要求如实详细的填写应标设备的标准配置表，并在应标商务部分按此标准配置进行报价，如发现二者有矛盾之处，将对评标工作有不同程度的影响。</w:t>
      </w:r>
    </w:p>
    <w:p w14:paraId="0F7A38D3">
      <w:pPr>
        <w:pStyle w:val="49"/>
        <w:adjustRightInd w:val="0"/>
        <w:snapToGrid w:val="0"/>
        <w:spacing w:line="360" w:lineRule="auto"/>
        <w:ind w:firstLine="0" w:firstLineChars="0"/>
        <w:rPr>
          <w:rFonts w:eastAsia="宋体" w:cs="Times New Roman"/>
          <w:szCs w:val="21"/>
        </w:rPr>
      </w:pPr>
      <w:r>
        <w:rPr>
          <w:rFonts w:eastAsia="宋体" w:cs="Times New Roman"/>
          <w:szCs w:val="21"/>
        </w:rPr>
        <w:t>1.</w:t>
      </w:r>
      <w:r>
        <w:rPr>
          <w:rFonts w:hint="eastAsia" w:eastAsia="宋体" w:cs="Times New Roman"/>
          <w:szCs w:val="21"/>
        </w:rPr>
        <w:t>9</w:t>
      </w:r>
      <w:r>
        <w:rPr>
          <w:rFonts w:eastAsia="宋体" w:cs="Times New Roman"/>
          <w:szCs w:val="21"/>
        </w:rPr>
        <w:t xml:space="preserve">  投标方应充分理解本招标技术文件并按本招标技术文件的具体条款、格式要求填写应标的技术文件，如发现应标的技术文件条款、格式不符合本招标技术文件的要求，则认为应标不严肃，在评标时将有不同程度的扣分。</w:t>
      </w:r>
    </w:p>
    <w:p w14:paraId="5EE2B0B8">
      <w:pPr>
        <w:pStyle w:val="49"/>
        <w:adjustRightInd w:val="0"/>
        <w:snapToGrid w:val="0"/>
        <w:spacing w:line="360" w:lineRule="auto"/>
        <w:ind w:firstLine="0" w:firstLineChars="0"/>
        <w:rPr>
          <w:rFonts w:eastAsia="宋体" w:cs="Times New Roman"/>
          <w:szCs w:val="21"/>
        </w:rPr>
      </w:pPr>
      <w:r>
        <w:rPr>
          <w:rFonts w:hint="eastAsia" w:eastAsia="宋体" w:cs="Times New Roman"/>
          <w:szCs w:val="21"/>
        </w:rPr>
        <w:t xml:space="preserve">1.10 </w:t>
      </w:r>
      <w:r>
        <w:rPr>
          <w:rFonts w:eastAsia="宋体" w:cs="Times New Roman"/>
          <w:szCs w:val="21"/>
        </w:rPr>
        <w:t xml:space="preserve"> </w:t>
      </w:r>
      <w:r>
        <w:rPr>
          <w:rFonts w:hint="eastAsia" w:eastAsia="宋体" w:cs="Times New Roman"/>
          <w:szCs w:val="21"/>
        </w:rPr>
        <w:t>投标方应提供的资格文件：</w:t>
      </w:r>
    </w:p>
    <w:p w14:paraId="39A27A48">
      <w:pPr>
        <w:pStyle w:val="49"/>
        <w:adjustRightInd w:val="0"/>
        <w:snapToGrid w:val="0"/>
        <w:spacing w:line="360" w:lineRule="auto"/>
        <w:ind w:firstLine="0" w:firstLineChars="0"/>
        <w:rPr>
          <w:rFonts w:eastAsia="宋体" w:cs="Times New Roman"/>
          <w:szCs w:val="21"/>
        </w:rPr>
      </w:pPr>
      <w:r>
        <w:rPr>
          <w:rFonts w:hint="eastAsia" w:eastAsia="宋体" w:cs="Times New Roman"/>
          <w:szCs w:val="21"/>
        </w:rPr>
        <w:t>投标方应根据技术规范书提出详细的技术方案、技术路线，并对系统功能进行详细响应。</w:t>
      </w:r>
    </w:p>
    <w:p w14:paraId="2939E42A">
      <w:pPr>
        <w:pStyle w:val="4"/>
      </w:pPr>
      <w:bookmarkStart w:id="18" w:name="_Toc84839220"/>
      <w:bookmarkStart w:id="19" w:name="_Toc226110466"/>
      <w:r>
        <w:rPr>
          <w:rFonts w:hint="eastAsia"/>
        </w:rPr>
        <w:t>工作范围</w:t>
      </w:r>
      <w:bookmarkEnd w:id="18"/>
      <w:bookmarkEnd w:id="19"/>
    </w:p>
    <w:p w14:paraId="2CF2E817">
      <w:pPr>
        <w:adjustRightInd w:val="0"/>
        <w:snapToGrid w:val="0"/>
        <w:spacing w:line="360" w:lineRule="auto"/>
        <w:outlineLvl w:val="1"/>
        <w:rPr>
          <w:rFonts w:eastAsia="黑体"/>
        </w:rPr>
      </w:pPr>
      <w:bookmarkStart w:id="20" w:name="_Toc290652071"/>
      <w:bookmarkStart w:id="21" w:name="_Toc226110467"/>
      <w:bookmarkStart w:id="22" w:name="_Toc84839221"/>
      <w:bookmarkStart w:id="23" w:name="_Toc83649542"/>
      <w:r>
        <w:rPr>
          <w:rFonts w:eastAsia="黑体"/>
        </w:rPr>
        <w:t>2.1 工程概况</w:t>
      </w:r>
      <w:bookmarkEnd w:id="20"/>
      <w:bookmarkEnd w:id="21"/>
      <w:bookmarkEnd w:id="22"/>
      <w:bookmarkEnd w:id="23"/>
    </w:p>
    <w:p w14:paraId="7DBE831B">
      <w:pPr>
        <w:pStyle w:val="49"/>
        <w:adjustRightInd w:val="0"/>
        <w:snapToGrid w:val="0"/>
        <w:spacing w:line="360" w:lineRule="auto"/>
        <w:rPr>
          <w:rFonts w:eastAsia="宋体" w:cs="Times New Roman"/>
          <w:szCs w:val="21"/>
        </w:rPr>
      </w:pPr>
      <w:r>
        <w:rPr>
          <w:rFonts w:eastAsia="宋体" w:cs="Times New Roman"/>
          <w:szCs w:val="21"/>
        </w:rPr>
        <w:t>本</w:t>
      </w:r>
      <w:r>
        <w:rPr>
          <w:rFonts w:hint="eastAsia" w:eastAsia="宋体" w:cs="Times New Roman"/>
          <w:szCs w:val="21"/>
        </w:rPr>
        <w:t>规范</w:t>
      </w:r>
      <w:r>
        <w:rPr>
          <w:rFonts w:eastAsia="宋体" w:cs="Times New Roman"/>
          <w:szCs w:val="21"/>
        </w:rPr>
        <w:t>书采购的设备适用的工程概况见表2.1：工程概况一览表。</w:t>
      </w:r>
    </w:p>
    <w:p w14:paraId="10B8B153">
      <w:pPr>
        <w:pStyle w:val="50"/>
        <w:ind w:firstLine="0" w:firstLineChars="0"/>
        <w:jc w:val="center"/>
        <w:rPr>
          <w:rFonts w:ascii="Times New Roman"/>
          <w:szCs w:val="21"/>
        </w:rPr>
      </w:pPr>
      <w:r>
        <w:rPr>
          <w:rFonts w:ascii="Times New Roman" w:hAnsi="宋体"/>
          <w:szCs w:val="21"/>
        </w:rPr>
        <w:t>表</w:t>
      </w:r>
      <w:r>
        <w:rPr>
          <w:rFonts w:ascii="Times New Roman"/>
          <w:szCs w:val="21"/>
        </w:rPr>
        <w:t xml:space="preserve">2.1  </w:t>
      </w:r>
      <w:r>
        <w:rPr>
          <w:rFonts w:ascii="Times New Roman" w:hAnsi="宋体"/>
          <w:szCs w:val="21"/>
        </w:rPr>
        <w:t>工程概况一览表</w:t>
      </w:r>
      <w:r>
        <w:rPr>
          <w:rFonts w:ascii="Times New Roman"/>
          <w:szCs w:val="21"/>
        </w:rPr>
        <w:t xml:space="preserve"> </w:t>
      </w:r>
      <w:r>
        <w:rPr>
          <w:rFonts w:ascii="Times New Roman" w:hAnsi="宋体"/>
          <w:szCs w:val="21"/>
        </w:rPr>
        <w:t>（项目单位填写）</w:t>
      </w:r>
    </w:p>
    <w:tbl>
      <w:tblPr>
        <w:tblStyle w:val="31"/>
        <w:tblW w:w="836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37"/>
        <w:gridCol w:w="2520"/>
        <w:gridCol w:w="5111"/>
      </w:tblGrid>
      <w:tr w14:paraId="3320E9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737" w:type="dxa"/>
            <w:vAlign w:val="center"/>
          </w:tcPr>
          <w:p w14:paraId="18778337">
            <w:pPr>
              <w:spacing w:before="60" w:after="60"/>
              <w:jc w:val="center"/>
            </w:pPr>
            <w:r>
              <w:t>序号</w:t>
            </w:r>
          </w:p>
        </w:tc>
        <w:tc>
          <w:tcPr>
            <w:tcW w:w="2520" w:type="dxa"/>
            <w:vAlign w:val="center"/>
          </w:tcPr>
          <w:p w14:paraId="3BF18216">
            <w:pPr>
              <w:spacing w:before="60" w:after="60"/>
              <w:jc w:val="center"/>
            </w:pPr>
            <w:r>
              <w:t>名 称</w:t>
            </w:r>
          </w:p>
        </w:tc>
        <w:tc>
          <w:tcPr>
            <w:tcW w:w="5111" w:type="dxa"/>
            <w:vAlign w:val="center"/>
          </w:tcPr>
          <w:p w14:paraId="3B186D2B">
            <w:pPr>
              <w:spacing w:before="60" w:after="60"/>
              <w:jc w:val="center"/>
            </w:pPr>
            <w:r>
              <w:t>内  容</w:t>
            </w:r>
          </w:p>
        </w:tc>
      </w:tr>
      <w:tr w14:paraId="082D9E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737" w:type="dxa"/>
            <w:vAlign w:val="center"/>
          </w:tcPr>
          <w:p w14:paraId="1098ACA7">
            <w:pPr>
              <w:spacing w:before="60" w:after="60"/>
              <w:jc w:val="center"/>
              <w:rPr>
                <w:highlight w:val="none"/>
              </w:rPr>
            </w:pPr>
            <w:r>
              <w:rPr>
                <w:highlight w:val="none"/>
              </w:rPr>
              <w:t>1</w:t>
            </w:r>
          </w:p>
        </w:tc>
        <w:tc>
          <w:tcPr>
            <w:tcW w:w="2520" w:type="dxa"/>
            <w:vAlign w:val="center"/>
          </w:tcPr>
          <w:p w14:paraId="4C2446DA">
            <w:pPr>
              <w:spacing w:before="60" w:after="60"/>
              <w:rPr>
                <w:highlight w:val="none"/>
              </w:rPr>
            </w:pPr>
            <w:r>
              <w:rPr>
                <w:highlight w:val="none"/>
              </w:rPr>
              <w:t>工程名称</w:t>
            </w:r>
          </w:p>
        </w:tc>
        <w:tc>
          <w:tcPr>
            <w:tcW w:w="5111" w:type="dxa"/>
            <w:vAlign w:val="center"/>
          </w:tcPr>
          <w:p w14:paraId="26BEFE47">
            <w:pPr>
              <w:spacing w:before="60" w:after="60"/>
              <w:rPr>
                <w:rFonts w:hint="eastAsia" w:eastAsia="宋体"/>
                <w:highlight w:val="none"/>
                <w:lang w:eastAsia="zh-CN"/>
              </w:rPr>
            </w:pPr>
            <w:r>
              <w:rPr>
                <w:rFonts w:hint="eastAsia"/>
                <w:highlight w:val="none"/>
                <w:lang w:eastAsia="zh-CN"/>
              </w:rPr>
              <w:t>广东电网220kV天河棠下柔直背靠背工程数字孪生应用及智能运维系统工程设计施工总承包</w:t>
            </w:r>
          </w:p>
        </w:tc>
      </w:tr>
      <w:tr w14:paraId="5BA6C4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0" w:hRule="atLeast"/>
          <w:jc w:val="center"/>
        </w:trPr>
        <w:tc>
          <w:tcPr>
            <w:tcW w:w="737" w:type="dxa"/>
            <w:vAlign w:val="center"/>
          </w:tcPr>
          <w:p w14:paraId="59280F8A">
            <w:pPr>
              <w:spacing w:before="60" w:after="60"/>
              <w:jc w:val="center"/>
              <w:rPr>
                <w:highlight w:val="none"/>
              </w:rPr>
            </w:pPr>
            <w:r>
              <w:rPr>
                <w:highlight w:val="none"/>
              </w:rPr>
              <w:t>2</w:t>
            </w:r>
          </w:p>
        </w:tc>
        <w:tc>
          <w:tcPr>
            <w:tcW w:w="2520" w:type="dxa"/>
            <w:vAlign w:val="center"/>
          </w:tcPr>
          <w:p w14:paraId="70E90130">
            <w:pPr>
              <w:spacing w:before="60" w:after="60"/>
              <w:rPr>
                <w:highlight w:val="none"/>
              </w:rPr>
            </w:pPr>
            <w:r>
              <w:rPr>
                <w:highlight w:val="none"/>
              </w:rPr>
              <w:t>工程建设单位</w:t>
            </w:r>
          </w:p>
        </w:tc>
        <w:tc>
          <w:tcPr>
            <w:tcW w:w="5111" w:type="dxa"/>
            <w:vAlign w:val="center"/>
          </w:tcPr>
          <w:p w14:paraId="35DF8965">
            <w:pPr>
              <w:spacing w:before="60" w:after="60"/>
              <w:rPr>
                <w:highlight w:val="none"/>
              </w:rPr>
            </w:pPr>
            <w:r>
              <w:rPr>
                <w:rFonts w:hint="eastAsia"/>
                <w:highlight w:val="none"/>
              </w:rPr>
              <w:t>广东电网公司广州供电局</w:t>
            </w:r>
          </w:p>
        </w:tc>
      </w:tr>
      <w:tr w14:paraId="3C35FE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7" w:hRule="atLeast"/>
          <w:jc w:val="center"/>
        </w:trPr>
        <w:tc>
          <w:tcPr>
            <w:tcW w:w="737" w:type="dxa"/>
            <w:vAlign w:val="center"/>
          </w:tcPr>
          <w:p w14:paraId="27C88B2A">
            <w:pPr>
              <w:spacing w:before="60" w:after="60"/>
              <w:jc w:val="center"/>
              <w:rPr>
                <w:highlight w:val="none"/>
              </w:rPr>
            </w:pPr>
            <w:r>
              <w:rPr>
                <w:highlight w:val="none"/>
              </w:rPr>
              <w:t>3</w:t>
            </w:r>
          </w:p>
        </w:tc>
        <w:tc>
          <w:tcPr>
            <w:tcW w:w="2520" w:type="dxa"/>
            <w:vAlign w:val="center"/>
          </w:tcPr>
          <w:p w14:paraId="538FA080">
            <w:pPr>
              <w:spacing w:before="60" w:after="60"/>
              <w:rPr>
                <w:highlight w:val="none"/>
              </w:rPr>
            </w:pPr>
            <w:r>
              <w:rPr>
                <w:highlight w:val="none"/>
              </w:rPr>
              <w:t>工程地址</w:t>
            </w:r>
          </w:p>
        </w:tc>
        <w:tc>
          <w:tcPr>
            <w:tcW w:w="5111" w:type="dxa"/>
            <w:vAlign w:val="center"/>
          </w:tcPr>
          <w:p w14:paraId="480D2AF6">
            <w:pPr>
              <w:spacing w:before="60" w:after="60"/>
              <w:rPr>
                <w:highlight w:val="none"/>
              </w:rPr>
            </w:pPr>
            <w:r>
              <w:rPr>
                <w:rFonts w:hint="eastAsia"/>
                <w:highlight w:val="none"/>
              </w:rPr>
              <w:t>广州市天河区</w:t>
            </w:r>
          </w:p>
        </w:tc>
      </w:tr>
    </w:tbl>
    <w:p w14:paraId="7E7AEE5A">
      <w:pPr>
        <w:pStyle w:val="49"/>
        <w:adjustRightInd w:val="0"/>
        <w:snapToGrid w:val="0"/>
        <w:spacing w:line="360" w:lineRule="auto"/>
        <w:ind w:firstLine="0" w:firstLineChars="0"/>
        <w:rPr>
          <w:rFonts w:eastAsia="宋体" w:cs="Times New Roman"/>
          <w:szCs w:val="21"/>
          <w:highlight w:val="none"/>
        </w:rPr>
      </w:pPr>
      <w:bookmarkStart w:id="24" w:name="_Toc290652072"/>
    </w:p>
    <w:p w14:paraId="4D16F465">
      <w:pPr>
        <w:adjustRightInd w:val="0"/>
        <w:snapToGrid w:val="0"/>
        <w:spacing w:line="360" w:lineRule="auto"/>
        <w:outlineLvl w:val="1"/>
        <w:rPr>
          <w:rFonts w:eastAsia="黑体"/>
          <w:highlight w:val="none"/>
        </w:rPr>
      </w:pPr>
      <w:bookmarkStart w:id="25" w:name="_Toc83649543"/>
      <w:bookmarkStart w:id="26" w:name="_Toc226110468"/>
      <w:bookmarkStart w:id="27" w:name="_Toc84839222"/>
      <w:r>
        <w:rPr>
          <w:rFonts w:eastAsia="黑体"/>
          <w:highlight w:val="none"/>
        </w:rPr>
        <w:t>2.2 范围和界限</w:t>
      </w:r>
      <w:bookmarkEnd w:id="24"/>
      <w:bookmarkEnd w:id="25"/>
      <w:bookmarkEnd w:id="26"/>
      <w:bookmarkEnd w:id="27"/>
    </w:p>
    <w:p w14:paraId="04AAB0B8">
      <w:pPr>
        <w:pStyle w:val="49"/>
        <w:adjustRightInd w:val="0"/>
        <w:snapToGrid w:val="0"/>
        <w:spacing w:line="360" w:lineRule="auto"/>
        <w:ind w:firstLine="0" w:firstLineChars="0"/>
        <w:rPr>
          <w:rFonts w:eastAsia="宋体" w:cs="Times New Roman"/>
          <w:szCs w:val="21"/>
          <w:highlight w:val="none"/>
        </w:rPr>
      </w:pPr>
      <w:r>
        <w:rPr>
          <w:rFonts w:hint="eastAsia" w:eastAsia="宋体" w:cs="Times New Roman"/>
          <w:szCs w:val="21"/>
          <w:highlight w:val="none"/>
        </w:rPr>
        <w:t xml:space="preserve">2.2.1 </w:t>
      </w:r>
      <w:r>
        <w:rPr>
          <w:rFonts w:eastAsia="宋体" w:cs="Times New Roman"/>
          <w:szCs w:val="21"/>
          <w:highlight w:val="none"/>
        </w:rPr>
        <w:t>本标书适应于所供</w:t>
      </w:r>
      <w:r>
        <w:rPr>
          <w:rFonts w:hint="eastAsia"/>
          <w:highlight w:val="none"/>
          <w:lang w:eastAsia="zh-CN"/>
        </w:rPr>
        <w:t>广东电网220kV天河棠下柔直背靠背工程数字孪生应用及智能运维系统工程设计施工总承包</w:t>
      </w:r>
      <w:r>
        <w:rPr>
          <w:rFonts w:hint="eastAsia" w:eastAsia="宋体" w:cs="Times New Roman"/>
          <w:szCs w:val="21"/>
          <w:highlight w:val="none"/>
        </w:rPr>
        <w:t>项目</w:t>
      </w:r>
      <w:r>
        <w:rPr>
          <w:rFonts w:eastAsia="宋体" w:cs="Times New Roman"/>
          <w:szCs w:val="21"/>
          <w:highlight w:val="none"/>
        </w:rPr>
        <w:t>其附属设备的设计、制造、装配、工厂试验、交付、现场安装和试验、监督以及试运行工作。</w:t>
      </w:r>
    </w:p>
    <w:p w14:paraId="71325809">
      <w:pPr>
        <w:pStyle w:val="49"/>
        <w:adjustRightInd w:val="0"/>
        <w:snapToGrid w:val="0"/>
        <w:spacing w:line="360" w:lineRule="auto"/>
        <w:ind w:firstLine="0" w:firstLineChars="0"/>
        <w:rPr>
          <w:rFonts w:eastAsia="宋体" w:cs="Times New Roman"/>
          <w:szCs w:val="21"/>
          <w:highlight w:val="none"/>
        </w:rPr>
      </w:pPr>
      <w:r>
        <w:rPr>
          <w:rFonts w:hint="eastAsia" w:eastAsia="宋体" w:cs="Times New Roman"/>
          <w:szCs w:val="21"/>
          <w:highlight w:val="none"/>
        </w:rPr>
        <w:t>2.2.</w:t>
      </w:r>
      <w:r>
        <w:rPr>
          <w:rFonts w:eastAsia="宋体" w:cs="Times New Roman"/>
          <w:szCs w:val="21"/>
          <w:highlight w:val="none"/>
        </w:rPr>
        <w:t>2本</w:t>
      </w:r>
      <w:r>
        <w:rPr>
          <w:rFonts w:hint="eastAsia" w:eastAsia="宋体" w:cs="Times New Roman"/>
          <w:szCs w:val="21"/>
          <w:highlight w:val="none"/>
        </w:rPr>
        <w:t>规范</w:t>
      </w:r>
      <w:r>
        <w:rPr>
          <w:rFonts w:eastAsia="宋体" w:cs="Times New Roman"/>
          <w:szCs w:val="21"/>
          <w:highlight w:val="none"/>
        </w:rPr>
        <w:t>书未说明，但又与设计、制造、装配、试验、运输、包装、保管、安装和运行维护有关的技术要求，按条款3所规定的有关标准执行。</w:t>
      </w:r>
    </w:p>
    <w:p w14:paraId="33684A0E">
      <w:pPr>
        <w:adjustRightInd w:val="0"/>
        <w:snapToGrid w:val="0"/>
        <w:spacing w:line="360" w:lineRule="auto"/>
        <w:outlineLvl w:val="1"/>
        <w:rPr>
          <w:rFonts w:eastAsia="黑体"/>
          <w:highlight w:val="none"/>
        </w:rPr>
      </w:pPr>
      <w:bookmarkStart w:id="28" w:name="_Toc84839223"/>
      <w:bookmarkStart w:id="29" w:name="_Toc226110469"/>
      <w:bookmarkStart w:id="30" w:name="_Toc290652073"/>
      <w:r>
        <w:rPr>
          <w:rFonts w:hint="eastAsia" w:eastAsia="黑体"/>
          <w:highlight w:val="none"/>
        </w:rPr>
        <w:t>2.3</w:t>
      </w:r>
      <w:r>
        <w:rPr>
          <w:rFonts w:eastAsia="黑体"/>
          <w:highlight w:val="none"/>
        </w:rPr>
        <w:t xml:space="preserve"> </w:t>
      </w:r>
      <w:bookmarkStart w:id="31" w:name="_Toc83649544"/>
      <w:r>
        <w:rPr>
          <w:rFonts w:eastAsia="黑体"/>
          <w:highlight w:val="none"/>
        </w:rPr>
        <w:t>服务范围</w:t>
      </w:r>
      <w:bookmarkEnd w:id="28"/>
      <w:bookmarkEnd w:id="29"/>
      <w:bookmarkEnd w:id="30"/>
      <w:bookmarkEnd w:id="31"/>
    </w:p>
    <w:p w14:paraId="42EDCD6F">
      <w:pPr>
        <w:pStyle w:val="49"/>
        <w:adjustRightInd w:val="0"/>
        <w:snapToGrid w:val="0"/>
        <w:spacing w:line="360" w:lineRule="auto"/>
        <w:ind w:firstLine="0" w:firstLineChars="0"/>
        <w:rPr>
          <w:rFonts w:eastAsia="宋体" w:cs="Times New Roman"/>
          <w:szCs w:val="21"/>
          <w:highlight w:val="none"/>
        </w:rPr>
      </w:pPr>
      <w:r>
        <w:rPr>
          <w:rFonts w:hint="eastAsia" w:eastAsia="宋体" w:cs="Times New Roman"/>
          <w:szCs w:val="21"/>
          <w:highlight w:val="none"/>
        </w:rPr>
        <w:t>2.3.1</w:t>
      </w:r>
      <w:r>
        <w:rPr>
          <w:rFonts w:eastAsia="宋体" w:cs="Times New Roman"/>
          <w:szCs w:val="21"/>
          <w:highlight w:val="none"/>
        </w:rPr>
        <w:t>投标方应按本标书的要求提供</w:t>
      </w:r>
      <w:r>
        <w:rPr>
          <w:rFonts w:hint="eastAsia" w:eastAsia="宋体"/>
          <w:highlight w:val="none"/>
          <w:lang w:eastAsia="zh-CN"/>
        </w:rPr>
        <w:t>广东电网220kV天河棠下柔直背靠背工程数字孪生应用及智能运维系统工程设计施工总承包</w:t>
      </w:r>
      <w:r>
        <w:rPr>
          <w:rFonts w:hint="eastAsia"/>
          <w:highlight w:val="none"/>
        </w:rPr>
        <w:t>一套</w:t>
      </w:r>
      <w:r>
        <w:rPr>
          <w:rFonts w:hint="eastAsia" w:eastAsia="宋体" w:cs="Times New Roman"/>
          <w:szCs w:val="21"/>
          <w:highlight w:val="none"/>
        </w:rPr>
        <w:t>。</w:t>
      </w:r>
      <w:r>
        <w:rPr>
          <w:rFonts w:eastAsia="宋体" w:cs="Times New Roman"/>
          <w:szCs w:val="21"/>
          <w:highlight w:val="none"/>
        </w:rPr>
        <w:t>投标方所提供的组件或附件如需向第三方外购时，投标方应对质量向招标方负责，并提供相应出厂和验收证明。</w:t>
      </w:r>
    </w:p>
    <w:p w14:paraId="37EEE6B4">
      <w:pPr>
        <w:tabs>
          <w:tab w:val="left" w:pos="1560"/>
        </w:tabs>
        <w:adjustRightInd w:val="0"/>
        <w:spacing w:line="360" w:lineRule="auto"/>
        <w:rPr>
          <w:highlight w:val="none"/>
        </w:rPr>
      </w:pPr>
      <w:r>
        <w:rPr>
          <w:rFonts w:hint="eastAsia"/>
          <w:highlight w:val="none"/>
        </w:rPr>
        <w:t>2.3.2</w:t>
      </w:r>
      <w:bookmarkStart w:id="32" w:name="_Toc283011667"/>
      <w:bookmarkStart w:id="33" w:name="_Toc282433715"/>
      <w:bookmarkStart w:id="34" w:name="_Toc283142589"/>
      <w:r>
        <w:rPr>
          <w:rFonts w:hint="eastAsia"/>
          <w:highlight w:val="none"/>
        </w:rPr>
        <w:t>供货范围</w:t>
      </w:r>
      <w:r>
        <w:rPr>
          <w:highlight w:val="none"/>
        </w:rPr>
        <w:t>一览表</w:t>
      </w:r>
      <w:bookmarkEnd w:id="32"/>
      <w:bookmarkEnd w:id="33"/>
      <w:bookmarkEnd w:id="34"/>
    </w:p>
    <w:p w14:paraId="631556E3">
      <w:pPr>
        <w:pStyle w:val="49"/>
        <w:adjustRightInd w:val="0"/>
        <w:snapToGrid w:val="0"/>
        <w:spacing w:line="360" w:lineRule="auto"/>
        <w:rPr>
          <w:rFonts w:eastAsia="宋体" w:cs="Times New Roman"/>
          <w:szCs w:val="21"/>
          <w:highlight w:val="none"/>
        </w:rPr>
      </w:pPr>
      <w:r>
        <w:rPr>
          <w:rFonts w:eastAsia="宋体" w:cs="Times New Roman"/>
          <w:szCs w:val="21"/>
          <w:highlight w:val="none"/>
        </w:rPr>
        <w:t>投标方提供的</w:t>
      </w:r>
      <w:r>
        <w:rPr>
          <w:rFonts w:hint="eastAsia" w:eastAsia="宋体"/>
          <w:highlight w:val="none"/>
          <w:lang w:eastAsia="zh-CN"/>
        </w:rPr>
        <w:t>广东电网220kV天河棠下柔直背靠背工程数字孪生应用及智能运维系统工程设计施工总承包</w:t>
      </w:r>
      <w:r>
        <w:rPr>
          <w:rFonts w:eastAsia="宋体" w:cs="Times New Roman"/>
          <w:szCs w:val="21"/>
          <w:highlight w:val="none"/>
        </w:rPr>
        <w:t>的具体</w:t>
      </w:r>
      <w:r>
        <w:rPr>
          <w:rFonts w:hint="eastAsia" w:eastAsia="宋体" w:cs="Times New Roman"/>
          <w:szCs w:val="21"/>
          <w:highlight w:val="none"/>
        </w:rPr>
        <w:t>内容、要求</w:t>
      </w:r>
      <w:r>
        <w:rPr>
          <w:rFonts w:eastAsia="宋体" w:cs="Times New Roman"/>
          <w:szCs w:val="21"/>
          <w:highlight w:val="none"/>
        </w:rPr>
        <w:t>见表2.2：供货范围及设备技术规格一览表。投标方应如实填写“投标方保证”栏。</w:t>
      </w:r>
    </w:p>
    <w:p w14:paraId="44B337F4">
      <w:pPr>
        <w:spacing w:line="360" w:lineRule="auto"/>
        <w:jc w:val="center"/>
        <w:rPr>
          <w:rFonts w:ascii="宋体" w:hAnsi="宋体"/>
          <w:sz w:val="18"/>
          <w:szCs w:val="18"/>
          <w:highlight w:val="none"/>
        </w:rPr>
      </w:pPr>
      <w:r>
        <w:rPr>
          <w:rFonts w:hint="eastAsia" w:hAnsi="宋体"/>
          <w:szCs w:val="21"/>
          <w:highlight w:val="none"/>
        </w:rPr>
        <w:t xml:space="preserve">表2.2 </w:t>
      </w:r>
      <w:r>
        <w:rPr>
          <w:rFonts w:hint="eastAsia" w:ascii="宋体" w:hAnsi="宋体"/>
          <w:highlight w:val="none"/>
        </w:rPr>
        <w:t>供货范围及设备技术规格一览表</w:t>
      </w:r>
    </w:p>
    <w:tbl>
      <w:tblPr>
        <w:tblStyle w:val="31"/>
        <w:tblW w:w="830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424"/>
        <w:gridCol w:w="1284"/>
        <w:gridCol w:w="480"/>
        <w:gridCol w:w="2670"/>
        <w:gridCol w:w="570"/>
        <w:gridCol w:w="2340"/>
        <w:gridCol w:w="540"/>
      </w:tblGrid>
      <w:tr w14:paraId="2DBF24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93" w:hRule="atLeast"/>
          <w:tblHeader/>
          <w:jc w:val="center"/>
        </w:trPr>
        <w:tc>
          <w:tcPr>
            <w:tcW w:w="424" w:type="dxa"/>
            <w:vMerge w:val="restart"/>
            <w:vAlign w:val="center"/>
          </w:tcPr>
          <w:p w14:paraId="2A765E4A">
            <w:pPr>
              <w:spacing w:before="60" w:after="60"/>
              <w:jc w:val="center"/>
              <w:rPr>
                <w:rFonts w:ascii="宋体" w:hAnsi="宋体"/>
                <w:highlight w:val="none"/>
              </w:rPr>
            </w:pPr>
            <w:r>
              <w:rPr>
                <w:rFonts w:hint="eastAsia" w:ascii="宋体" w:hAnsi="宋体"/>
                <w:highlight w:val="none"/>
              </w:rPr>
              <w:t>序号</w:t>
            </w:r>
          </w:p>
        </w:tc>
        <w:tc>
          <w:tcPr>
            <w:tcW w:w="1284" w:type="dxa"/>
            <w:vMerge w:val="restart"/>
            <w:vAlign w:val="center"/>
          </w:tcPr>
          <w:p w14:paraId="1A0BFDC6">
            <w:pPr>
              <w:spacing w:before="60" w:after="60"/>
              <w:jc w:val="center"/>
              <w:rPr>
                <w:rFonts w:ascii="宋体" w:hAnsi="宋体"/>
                <w:highlight w:val="none"/>
              </w:rPr>
            </w:pPr>
            <w:r>
              <w:rPr>
                <w:rFonts w:hint="eastAsia" w:ascii="宋体" w:hAnsi="宋体"/>
                <w:highlight w:val="none"/>
              </w:rPr>
              <w:t>名</w:t>
            </w:r>
            <w:r>
              <w:rPr>
                <w:rFonts w:ascii="宋体" w:hAnsi="宋体"/>
                <w:highlight w:val="none"/>
              </w:rPr>
              <w:t xml:space="preserve">  </w:t>
            </w:r>
            <w:r>
              <w:rPr>
                <w:rFonts w:hint="eastAsia" w:ascii="宋体" w:hAnsi="宋体"/>
                <w:highlight w:val="none"/>
              </w:rPr>
              <w:t>称</w:t>
            </w:r>
          </w:p>
        </w:tc>
        <w:tc>
          <w:tcPr>
            <w:tcW w:w="480" w:type="dxa"/>
            <w:vMerge w:val="restart"/>
            <w:tcBorders>
              <w:right w:val="single" w:color="auto" w:sz="4" w:space="0"/>
            </w:tcBorders>
            <w:vAlign w:val="center"/>
          </w:tcPr>
          <w:p w14:paraId="591353F1">
            <w:pPr>
              <w:spacing w:before="60" w:after="60"/>
              <w:jc w:val="center"/>
              <w:rPr>
                <w:rFonts w:ascii="宋体" w:hAnsi="宋体"/>
                <w:highlight w:val="none"/>
              </w:rPr>
            </w:pPr>
            <w:r>
              <w:rPr>
                <w:rFonts w:hint="eastAsia" w:ascii="宋体" w:hAnsi="宋体"/>
                <w:highlight w:val="none"/>
              </w:rPr>
              <w:t>单位</w:t>
            </w:r>
          </w:p>
        </w:tc>
        <w:tc>
          <w:tcPr>
            <w:tcW w:w="3240" w:type="dxa"/>
            <w:gridSpan w:val="2"/>
            <w:tcBorders>
              <w:left w:val="single" w:color="auto" w:sz="4" w:space="0"/>
              <w:bottom w:val="single" w:color="auto" w:sz="4" w:space="0"/>
            </w:tcBorders>
            <w:vAlign w:val="center"/>
          </w:tcPr>
          <w:p w14:paraId="55883B89">
            <w:pPr>
              <w:spacing w:before="60" w:after="60"/>
              <w:jc w:val="center"/>
              <w:rPr>
                <w:rFonts w:ascii="宋体" w:hAnsi="宋体"/>
                <w:highlight w:val="none"/>
              </w:rPr>
            </w:pPr>
            <w:r>
              <w:rPr>
                <w:rFonts w:hint="eastAsia" w:ascii="宋体" w:hAnsi="宋体"/>
                <w:highlight w:val="none"/>
              </w:rPr>
              <w:t>项目要求</w:t>
            </w:r>
          </w:p>
        </w:tc>
        <w:tc>
          <w:tcPr>
            <w:tcW w:w="2880" w:type="dxa"/>
            <w:gridSpan w:val="2"/>
            <w:tcBorders>
              <w:bottom w:val="single" w:color="auto" w:sz="4" w:space="0"/>
            </w:tcBorders>
            <w:vAlign w:val="center"/>
          </w:tcPr>
          <w:p w14:paraId="6660E1B1">
            <w:pPr>
              <w:spacing w:before="60" w:after="60"/>
              <w:jc w:val="center"/>
              <w:rPr>
                <w:rFonts w:ascii="宋体" w:hAnsi="宋体"/>
                <w:highlight w:val="none"/>
              </w:rPr>
            </w:pPr>
            <w:r>
              <w:rPr>
                <w:rFonts w:hint="eastAsia" w:ascii="宋体" w:hAnsi="宋体"/>
                <w:highlight w:val="none"/>
              </w:rPr>
              <w:t>投标方保证</w:t>
            </w:r>
          </w:p>
        </w:tc>
      </w:tr>
      <w:tr w14:paraId="3EB6ED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5" w:hRule="atLeast"/>
          <w:tblHeader/>
          <w:jc w:val="center"/>
        </w:trPr>
        <w:tc>
          <w:tcPr>
            <w:tcW w:w="424" w:type="dxa"/>
            <w:vMerge w:val="continue"/>
            <w:vAlign w:val="center"/>
          </w:tcPr>
          <w:p w14:paraId="18F5D26F">
            <w:pPr>
              <w:spacing w:before="60" w:after="60"/>
              <w:jc w:val="center"/>
              <w:rPr>
                <w:rFonts w:ascii="宋体" w:hAnsi="宋体"/>
                <w:highlight w:val="none"/>
              </w:rPr>
            </w:pPr>
          </w:p>
        </w:tc>
        <w:tc>
          <w:tcPr>
            <w:tcW w:w="1284" w:type="dxa"/>
            <w:vMerge w:val="continue"/>
            <w:vAlign w:val="center"/>
          </w:tcPr>
          <w:p w14:paraId="29969CE1">
            <w:pPr>
              <w:spacing w:before="60" w:after="60"/>
              <w:jc w:val="center"/>
              <w:rPr>
                <w:rFonts w:ascii="宋体" w:hAnsi="宋体"/>
                <w:highlight w:val="none"/>
              </w:rPr>
            </w:pPr>
          </w:p>
        </w:tc>
        <w:tc>
          <w:tcPr>
            <w:tcW w:w="480" w:type="dxa"/>
            <w:vMerge w:val="continue"/>
            <w:tcBorders>
              <w:right w:val="single" w:color="auto" w:sz="4" w:space="0"/>
            </w:tcBorders>
            <w:vAlign w:val="center"/>
          </w:tcPr>
          <w:p w14:paraId="120D3231">
            <w:pPr>
              <w:spacing w:before="60" w:after="60"/>
              <w:jc w:val="center"/>
              <w:rPr>
                <w:rFonts w:ascii="宋体" w:hAnsi="宋体"/>
                <w:highlight w:val="none"/>
              </w:rPr>
            </w:pPr>
          </w:p>
        </w:tc>
        <w:tc>
          <w:tcPr>
            <w:tcW w:w="2670" w:type="dxa"/>
            <w:tcBorders>
              <w:top w:val="single" w:color="auto" w:sz="4" w:space="0"/>
              <w:left w:val="single" w:color="auto" w:sz="4" w:space="0"/>
              <w:right w:val="single" w:color="auto" w:sz="4" w:space="0"/>
            </w:tcBorders>
            <w:vAlign w:val="center"/>
          </w:tcPr>
          <w:p w14:paraId="1F4B3C19">
            <w:pPr>
              <w:spacing w:before="60" w:after="60"/>
              <w:jc w:val="center"/>
              <w:rPr>
                <w:rFonts w:ascii="宋体" w:hAnsi="宋体"/>
                <w:highlight w:val="none"/>
              </w:rPr>
            </w:pPr>
            <w:r>
              <w:rPr>
                <w:rFonts w:hint="eastAsia" w:ascii="宋体" w:hAnsi="宋体"/>
                <w:highlight w:val="none"/>
              </w:rPr>
              <w:t>型式、规格</w:t>
            </w:r>
          </w:p>
        </w:tc>
        <w:tc>
          <w:tcPr>
            <w:tcW w:w="570" w:type="dxa"/>
            <w:tcBorders>
              <w:top w:val="single" w:color="auto" w:sz="4" w:space="0"/>
              <w:left w:val="single" w:color="auto" w:sz="4" w:space="0"/>
            </w:tcBorders>
            <w:vAlign w:val="center"/>
          </w:tcPr>
          <w:p w14:paraId="244D4AB3">
            <w:pPr>
              <w:spacing w:before="60" w:after="60"/>
              <w:jc w:val="center"/>
              <w:rPr>
                <w:rFonts w:ascii="宋体" w:hAnsi="宋体"/>
                <w:highlight w:val="none"/>
              </w:rPr>
            </w:pPr>
            <w:r>
              <w:rPr>
                <w:rFonts w:hint="eastAsia" w:ascii="宋体" w:hAnsi="宋体"/>
                <w:highlight w:val="none"/>
              </w:rPr>
              <w:t>数量</w:t>
            </w:r>
          </w:p>
        </w:tc>
        <w:tc>
          <w:tcPr>
            <w:tcW w:w="2340" w:type="dxa"/>
            <w:tcBorders>
              <w:top w:val="single" w:color="auto" w:sz="4" w:space="0"/>
              <w:right w:val="single" w:color="auto" w:sz="4" w:space="0"/>
            </w:tcBorders>
            <w:vAlign w:val="center"/>
          </w:tcPr>
          <w:p w14:paraId="443770AC">
            <w:pPr>
              <w:spacing w:before="60" w:after="60"/>
              <w:jc w:val="center"/>
              <w:rPr>
                <w:rFonts w:ascii="宋体" w:hAnsi="宋体"/>
                <w:highlight w:val="none"/>
              </w:rPr>
            </w:pPr>
            <w:r>
              <w:rPr>
                <w:rFonts w:hint="eastAsia" w:ascii="宋体" w:hAnsi="宋体"/>
                <w:highlight w:val="none"/>
              </w:rPr>
              <w:t>型式、规格</w:t>
            </w:r>
          </w:p>
        </w:tc>
        <w:tc>
          <w:tcPr>
            <w:tcW w:w="540" w:type="dxa"/>
            <w:tcBorders>
              <w:top w:val="single" w:color="auto" w:sz="4" w:space="0"/>
              <w:left w:val="single" w:color="auto" w:sz="4" w:space="0"/>
            </w:tcBorders>
            <w:vAlign w:val="center"/>
          </w:tcPr>
          <w:p w14:paraId="1DEA4071">
            <w:pPr>
              <w:spacing w:before="60" w:after="60"/>
              <w:jc w:val="center"/>
              <w:rPr>
                <w:rFonts w:ascii="宋体" w:hAnsi="宋体"/>
                <w:highlight w:val="none"/>
              </w:rPr>
            </w:pPr>
            <w:r>
              <w:rPr>
                <w:rFonts w:hint="eastAsia" w:ascii="宋体" w:hAnsi="宋体"/>
                <w:highlight w:val="none"/>
              </w:rPr>
              <w:t>数量</w:t>
            </w:r>
          </w:p>
        </w:tc>
      </w:tr>
      <w:tr w14:paraId="640480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jc w:val="center"/>
        </w:trPr>
        <w:tc>
          <w:tcPr>
            <w:tcW w:w="424" w:type="dxa"/>
          </w:tcPr>
          <w:p w14:paraId="0AB8343A">
            <w:pPr>
              <w:spacing w:before="60" w:after="60"/>
              <w:jc w:val="center"/>
              <w:rPr>
                <w:rFonts w:ascii="宋体" w:hAnsi="宋体"/>
                <w:highlight w:val="none"/>
              </w:rPr>
            </w:pPr>
            <w:r>
              <w:rPr>
                <w:rFonts w:hint="eastAsia" w:hAnsi="宋体"/>
                <w:szCs w:val="21"/>
                <w:highlight w:val="none"/>
              </w:rPr>
              <w:t>1</w:t>
            </w:r>
          </w:p>
        </w:tc>
        <w:tc>
          <w:tcPr>
            <w:tcW w:w="1284" w:type="dxa"/>
          </w:tcPr>
          <w:p w14:paraId="57B83A3C">
            <w:pPr>
              <w:spacing w:before="60" w:after="60"/>
              <w:jc w:val="center"/>
              <w:rPr>
                <w:rFonts w:hint="eastAsia" w:ascii="宋体" w:hAnsi="宋体" w:eastAsia="宋体" w:cs="宋体"/>
                <w:szCs w:val="21"/>
                <w:highlight w:val="none"/>
                <w:lang w:eastAsia="zh-CN"/>
              </w:rPr>
            </w:pPr>
            <w:r>
              <w:rPr>
                <w:rFonts w:hint="eastAsia"/>
                <w:highlight w:val="none"/>
                <w:lang w:eastAsia="zh-CN"/>
              </w:rPr>
              <w:t>广东电网220kV天河棠下柔直背靠背工程数字孪生应用及智能运维系统工程设计施工总承包</w:t>
            </w:r>
          </w:p>
        </w:tc>
        <w:tc>
          <w:tcPr>
            <w:tcW w:w="480" w:type="dxa"/>
            <w:tcBorders>
              <w:right w:val="single" w:color="auto" w:sz="4" w:space="0"/>
            </w:tcBorders>
          </w:tcPr>
          <w:p w14:paraId="519EED3B">
            <w:pPr>
              <w:spacing w:before="60" w:after="60"/>
              <w:jc w:val="center"/>
              <w:rPr>
                <w:rFonts w:ascii="宋体" w:hAnsi="宋体" w:cs="宋体"/>
                <w:sz w:val="24"/>
                <w:highlight w:val="none"/>
              </w:rPr>
            </w:pPr>
            <w:r>
              <w:rPr>
                <w:rFonts w:hint="eastAsia" w:hAnsi="宋体"/>
                <w:szCs w:val="21"/>
                <w:highlight w:val="none"/>
              </w:rPr>
              <w:t>套</w:t>
            </w:r>
          </w:p>
        </w:tc>
        <w:tc>
          <w:tcPr>
            <w:tcW w:w="2670" w:type="dxa"/>
            <w:tcBorders>
              <w:left w:val="single" w:color="auto" w:sz="4" w:space="0"/>
              <w:right w:val="single" w:color="auto" w:sz="4" w:space="0"/>
            </w:tcBorders>
          </w:tcPr>
          <w:p w14:paraId="58FFDDAE">
            <w:pPr>
              <w:spacing w:before="60" w:after="60"/>
              <w:jc w:val="center"/>
              <w:rPr>
                <w:rFonts w:ascii="宋体" w:hAnsi="宋体" w:cs="宋体"/>
                <w:szCs w:val="21"/>
                <w:highlight w:val="none"/>
              </w:rPr>
            </w:pPr>
            <w:r>
              <w:rPr>
                <w:rFonts w:hint="eastAsia" w:hAnsi="宋体"/>
                <w:szCs w:val="21"/>
                <w:highlight w:val="none"/>
              </w:rPr>
              <w:t>详见表2.2.1</w:t>
            </w:r>
          </w:p>
        </w:tc>
        <w:tc>
          <w:tcPr>
            <w:tcW w:w="570" w:type="dxa"/>
            <w:tcBorders>
              <w:left w:val="single" w:color="auto" w:sz="4" w:space="0"/>
            </w:tcBorders>
          </w:tcPr>
          <w:p w14:paraId="6AE82F9B">
            <w:pPr>
              <w:spacing w:before="60" w:after="60"/>
              <w:jc w:val="center"/>
              <w:rPr>
                <w:rFonts w:ascii="宋体" w:hAnsi="宋体"/>
                <w:highlight w:val="none"/>
              </w:rPr>
            </w:pPr>
            <w:r>
              <w:rPr>
                <w:rFonts w:hint="eastAsia" w:hAnsi="宋体"/>
                <w:szCs w:val="21"/>
                <w:highlight w:val="none"/>
              </w:rPr>
              <w:t>1</w:t>
            </w:r>
          </w:p>
        </w:tc>
        <w:tc>
          <w:tcPr>
            <w:tcW w:w="2340" w:type="dxa"/>
            <w:tcBorders>
              <w:right w:val="single" w:color="auto" w:sz="4" w:space="0"/>
            </w:tcBorders>
          </w:tcPr>
          <w:p w14:paraId="68772D84">
            <w:pPr>
              <w:spacing w:before="60" w:after="60"/>
              <w:rPr>
                <w:rFonts w:ascii="宋体" w:hAnsi="宋体"/>
                <w:highlight w:val="none"/>
              </w:rPr>
            </w:pPr>
          </w:p>
        </w:tc>
        <w:tc>
          <w:tcPr>
            <w:tcW w:w="540" w:type="dxa"/>
            <w:tcBorders>
              <w:left w:val="single" w:color="auto" w:sz="4" w:space="0"/>
            </w:tcBorders>
          </w:tcPr>
          <w:p w14:paraId="3F1A037C">
            <w:pPr>
              <w:spacing w:before="60" w:after="60"/>
              <w:rPr>
                <w:rFonts w:ascii="宋体" w:hAnsi="宋体"/>
                <w:highlight w:val="none"/>
              </w:rPr>
            </w:pPr>
          </w:p>
        </w:tc>
      </w:tr>
    </w:tbl>
    <w:p w14:paraId="1BBF5094">
      <w:pPr>
        <w:pStyle w:val="49"/>
        <w:adjustRightInd w:val="0"/>
        <w:snapToGrid w:val="0"/>
        <w:spacing w:line="360" w:lineRule="auto"/>
        <w:ind w:firstLine="0" w:firstLineChars="0"/>
        <w:rPr>
          <w:rFonts w:eastAsia="宋体" w:cs="Times New Roman"/>
          <w:szCs w:val="21"/>
          <w:highlight w:val="none"/>
        </w:rPr>
      </w:pPr>
    </w:p>
    <w:p w14:paraId="15831117">
      <w:pPr>
        <w:pStyle w:val="49"/>
        <w:adjustRightInd w:val="0"/>
        <w:snapToGrid w:val="0"/>
        <w:spacing w:line="360" w:lineRule="auto"/>
        <w:ind w:firstLine="0" w:firstLineChars="0"/>
        <w:jc w:val="center"/>
        <w:rPr>
          <w:rFonts w:eastAsia="宋体" w:cs="Times New Roman"/>
          <w:szCs w:val="21"/>
          <w:highlight w:val="none"/>
        </w:rPr>
      </w:pPr>
      <w:r>
        <w:rPr>
          <w:rFonts w:hint="eastAsia" w:eastAsia="宋体" w:cs="Times New Roman"/>
          <w:szCs w:val="21"/>
          <w:highlight w:val="none"/>
        </w:rPr>
        <w:t xml:space="preserve">表2.2.1 </w:t>
      </w:r>
      <w:r>
        <w:rPr>
          <w:rFonts w:hint="eastAsia"/>
          <w:highlight w:val="none"/>
          <w:lang w:eastAsia="zh-CN"/>
        </w:rPr>
        <w:t>广东电网220kV天河棠下柔直背靠背工程数字孪生应用及智能运维系统工程设计施工总承包</w:t>
      </w:r>
      <w:r>
        <w:rPr>
          <w:rFonts w:hint="eastAsia"/>
          <w:highlight w:val="none"/>
        </w:rPr>
        <w:t>项目</w:t>
      </w:r>
      <w:r>
        <w:rPr>
          <w:rFonts w:hint="eastAsia" w:eastAsia="宋体" w:cs="Times New Roman"/>
          <w:szCs w:val="21"/>
          <w:highlight w:val="none"/>
        </w:rPr>
        <w:t>供货范围及设备技术规格一览表</w:t>
      </w:r>
    </w:p>
    <w:tbl>
      <w:tblPr>
        <w:tblStyle w:val="31"/>
        <w:tblpPr w:leftFromText="180" w:rightFromText="180" w:vertAnchor="text" w:tblpY="1"/>
        <w:tblOverlap w:val="never"/>
        <w:tblW w:w="829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68"/>
        <w:gridCol w:w="1210"/>
        <w:gridCol w:w="700"/>
        <w:gridCol w:w="2220"/>
        <w:gridCol w:w="700"/>
        <w:gridCol w:w="1920"/>
        <w:gridCol w:w="780"/>
      </w:tblGrid>
      <w:tr w14:paraId="3C47F9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trPr>
        <w:tc>
          <w:tcPr>
            <w:tcW w:w="768" w:type="dxa"/>
            <w:vMerge w:val="restart"/>
            <w:tcBorders>
              <w:tl2br w:val="nil"/>
              <w:tr2bl w:val="nil"/>
            </w:tcBorders>
            <w:shd w:val="clear" w:color="auto" w:fill="auto"/>
            <w:tcMar>
              <w:top w:w="10" w:type="dxa"/>
              <w:left w:w="10" w:type="dxa"/>
              <w:right w:w="10" w:type="dxa"/>
            </w:tcMar>
            <w:vAlign w:val="center"/>
          </w:tcPr>
          <w:p w14:paraId="6033523B">
            <w:pPr>
              <w:widowControl/>
              <w:spacing w:before="60" w:after="60"/>
              <w:jc w:val="center"/>
              <w:textAlignment w:val="center"/>
              <w:rPr>
                <w:sz w:val="18"/>
                <w:szCs w:val="18"/>
                <w:highlight w:val="none"/>
              </w:rPr>
            </w:pPr>
            <w:r>
              <w:rPr>
                <w:kern w:val="0"/>
                <w:sz w:val="18"/>
                <w:szCs w:val="18"/>
                <w:highlight w:val="none"/>
              </w:rPr>
              <w:t>序号</w:t>
            </w:r>
          </w:p>
        </w:tc>
        <w:tc>
          <w:tcPr>
            <w:tcW w:w="1210" w:type="dxa"/>
            <w:vMerge w:val="restart"/>
            <w:tcBorders>
              <w:tl2br w:val="nil"/>
              <w:tr2bl w:val="nil"/>
            </w:tcBorders>
            <w:shd w:val="clear" w:color="auto" w:fill="auto"/>
            <w:tcMar>
              <w:top w:w="10" w:type="dxa"/>
              <w:left w:w="10" w:type="dxa"/>
              <w:right w:w="10" w:type="dxa"/>
            </w:tcMar>
            <w:vAlign w:val="center"/>
          </w:tcPr>
          <w:p w14:paraId="2BE68816">
            <w:pPr>
              <w:widowControl/>
              <w:spacing w:before="60" w:after="60"/>
              <w:jc w:val="center"/>
              <w:textAlignment w:val="center"/>
              <w:rPr>
                <w:sz w:val="18"/>
                <w:szCs w:val="18"/>
                <w:highlight w:val="none"/>
              </w:rPr>
            </w:pPr>
            <w:r>
              <w:rPr>
                <w:kern w:val="0"/>
                <w:sz w:val="18"/>
                <w:szCs w:val="18"/>
                <w:highlight w:val="none"/>
              </w:rPr>
              <w:t>名  称</w:t>
            </w:r>
          </w:p>
        </w:tc>
        <w:tc>
          <w:tcPr>
            <w:tcW w:w="700" w:type="dxa"/>
            <w:vMerge w:val="restart"/>
            <w:tcBorders>
              <w:tl2br w:val="nil"/>
              <w:tr2bl w:val="nil"/>
            </w:tcBorders>
            <w:shd w:val="clear" w:color="auto" w:fill="auto"/>
            <w:tcMar>
              <w:top w:w="10" w:type="dxa"/>
              <w:left w:w="10" w:type="dxa"/>
              <w:right w:w="10" w:type="dxa"/>
            </w:tcMar>
            <w:vAlign w:val="center"/>
          </w:tcPr>
          <w:p w14:paraId="45FF87FD">
            <w:pPr>
              <w:widowControl/>
              <w:spacing w:before="60" w:after="60"/>
              <w:jc w:val="center"/>
              <w:textAlignment w:val="center"/>
              <w:rPr>
                <w:sz w:val="18"/>
                <w:szCs w:val="18"/>
                <w:highlight w:val="none"/>
              </w:rPr>
            </w:pPr>
            <w:r>
              <w:rPr>
                <w:kern w:val="0"/>
                <w:sz w:val="18"/>
                <w:szCs w:val="18"/>
                <w:highlight w:val="none"/>
              </w:rPr>
              <w:t>单位</w:t>
            </w:r>
          </w:p>
        </w:tc>
        <w:tc>
          <w:tcPr>
            <w:tcW w:w="2920" w:type="dxa"/>
            <w:gridSpan w:val="2"/>
            <w:tcBorders>
              <w:tl2br w:val="nil"/>
              <w:tr2bl w:val="nil"/>
            </w:tcBorders>
            <w:shd w:val="clear" w:color="auto" w:fill="auto"/>
            <w:tcMar>
              <w:top w:w="10" w:type="dxa"/>
              <w:left w:w="10" w:type="dxa"/>
              <w:right w:w="10" w:type="dxa"/>
            </w:tcMar>
            <w:vAlign w:val="center"/>
          </w:tcPr>
          <w:p w14:paraId="7710C023">
            <w:pPr>
              <w:widowControl/>
              <w:spacing w:before="60" w:after="60"/>
              <w:jc w:val="center"/>
              <w:textAlignment w:val="center"/>
              <w:rPr>
                <w:sz w:val="18"/>
                <w:szCs w:val="18"/>
                <w:highlight w:val="none"/>
              </w:rPr>
            </w:pPr>
            <w:r>
              <w:rPr>
                <w:kern w:val="0"/>
                <w:sz w:val="18"/>
                <w:szCs w:val="18"/>
                <w:highlight w:val="none"/>
              </w:rPr>
              <w:t>项目要求</w:t>
            </w:r>
          </w:p>
        </w:tc>
        <w:tc>
          <w:tcPr>
            <w:tcW w:w="2700" w:type="dxa"/>
            <w:gridSpan w:val="2"/>
            <w:tcBorders>
              <w:tl2br w:val="nil"/>
              <w:tr2bl w:val="nil"/>
            </w:tcBorders>
            <w:shd w:val="clear" w:color="auto" w:fill="auto"/>
            <w:tcMar>
              <w:top w:w="10" w:type="dxa"/>
              <w:left w:w="10" w:type="dxa"/>
              <w:right w:w="10" w:type="dxa"/>
            </w:tcMar>
            <w:vAlign w:val="center"/>
          </w:tcPr>
          <w:p w14:paraId="58A7E6A4">
            <w:pPr>
              <w:widowControl/>
              <w:spacing w:before="60" w:after="60"/>
              <w:jc w:val="center"/>
              <w:textAlignment w:val="center"/>
              <w:rPr>
                <w:sz w:val="18"/>
                <w:szCs w:val="18"/>
                <w:highlight w:val="none"/>
              </w:rPr>
            </w:pPr>
            <w:r>
              <w:rPr>
                <w:kern w:val="0"/>
                <w:sz w:val="18"/>
                <w:szCs w:val="18"/>
                <w:highlight w:val="none"/>
              </w:rPr>
              <w:t>投标方保证</w:t>
            </w:r>
          </w:p>
        </w:tc>
      </w:tr>
      <w:tr w14:paraId="650871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trPr>
        <w:tc>
          <w:tcPr>
            <w:tcW w:w="768" w:type="dxa"/>
            <w:vMerge w:val="continue"/>
            <w:tcBorders>
              <w:tl2br w:val="nil"/>
              <w:tr2bl w:val="nil"/>
            </w:tcBorders>
            <w:shd w:val="clear" w:color="auto" w:fill="auto"/>
            <w:tcMar>
              <w:top w:w="10" w:type="dxa"/>
              <w:left w:w="10" w:type="dxa"/>
              <w:right w:w="10" w:type="dxa"/>
            </w:tcMar>
            <w:vAlign w:val="center"/>
          </w:tcPr>
          <w:p w14:paraId="30290DAF">
            <w:pPr>
              <w:spacing w:before="60" w:after="60"/>
              <w:jc w:val="center"/>
              <w:rPr>
                <w:sz w:val="18"/>
                <w:szCs w:val="18"/>
                <w:highlight w:val="none"/>
              </w:rPr>
            </w:pPr>
          </w:p>
        </w:tc>
        <w:tc>
          <w:tcPr>
            <w:tcW w:w="1210" w:type="dxa"/>
            <w:vMerge w:val="continue"/>
            <w:tcBorders>
              <w:tl2br w:val="nil"/>
              <w:tr2bl w:val="nil"/>
            </w:tcBorders>
            <w:shd w:val="clear" w:color="auto" w:fill="auto"/>
            <w:tcMar>
              <w:top w:w="10" w:type="dxa"/>
              <w:left w:w="10" w:type="dxa"/>
              <w:right w:w="10" w:type="dxa"/>
            </w:tcMar>
            <w:vAlign w:val="center"/>
          </w:tcPr>
          <w:p w14:paraId="31FEB663">
            <w:pPr>
              <w:spacing w:before="60" w:after="60"/>
              <w:jc w:val="center"/>
              <w:rPr>
                <w:sz w:val="18"/>
                <w:szCs w:val="18"/>
                <w:highlight w:val="none"/>
              </w:rPr>
            </w:pPr>
          </w:p>
        </w:tc>
        <w:tc>
          <w:tcPr>
            <w:tcW w:w="700" w:type="dxa"/>
            <w:vMerge w:val="continue"/>
            <w:tcBorders>
              <w:tl2br w:val="nil"/>
              <w:tr2bl w:val="nil"/>
            </w:tcBorders>
            <w:shd w:val="clear" w:color="auto" w:fill="auto"/>
            <w:tcMar>
              <w:top w:w="10" w:type="dxa"/>
              <w:left w:w="10" w:type="dxa"/>
              <w:right w:w="10" w:type="dxa"/>
            </w:tcMar>
            <w:vAlign w:val="center"/>
          </w:tcPr>
          <w:p w14:paraId="13A7B634">
            <w:pPr>
              <w:spacing w:before="60" w:after="60"/>
              <w:jc w:val="center"/>
              <w:rPr>
                <w:sz w:val="18"/>
                <w:szCs w:val="18"/>
                <w:highlight w:val="none"/>
              </w:rPr>
            </w:pPr>
          </w:p>
        </w:tc>
        <w:tc>
          <w:tcPr>
            <w:tcW w:w="2220" w:type="dxa"/>
            <w:tcBorders>
              <w:tl2br w:val="nil"/>
              <w:tr2bl w:val="nil"/>
            </w:tcBorders>
            <w:shd w:val="clear" w:color="auto" w:fill="auto"/>
            <w:tcMar>
              <w:top w:w="10" w:type="dxa"/>
              <w:left w:w="10" w:type="dxa"/>
              <w:right w:w="10" w:type="dxa"/>
            </w:tcMar>
            <w:vAlign w:val="center"/>
          </w:tcPr>
          <w:p w14:paraId="2405B23F">
            <w:pPr>
              <w:widowControl/>
              <w:spacing w:before="60" w:after="60"/>
              <w:jc w:val="center"/>
              <w:textAlignment w:val="center"/>
              <w:rPr>
                <w:sz w:val="18"/>
                <w:szCs w:val="18"/>
                <w:highlight w:val="none"/>
              </w:rPr>
            </w:pPr>
            <w:r>
              <w:rPr>
                <w:kern w:val="0"/>
                <w:sz w:val="18"/>
                <w:szCs w:val="18"/>
                <w:highlight w:val="none"/>
              </w:rPr>
              <w:t>型式、规格</w:t>
            </w:r>
          </w:p>
        </w:tc>
        <w:tc>
          <w:tcPr>
            <w:tcW w:w="700" w:type="dxa"/>
            <w:tcBorders>
              <w:tl2br w:val="nil"/>
              <w:tr2bl w:val="nil"/>
            </w:tcBorders>
            <w:shd w:val="clear" w:color="auto" w:fill="auto"/>
            <w:tcMar>
              <w:top w:w="10" w:type="dxa"/>
              <w:left w:w="10" w:type="dxa"/>
              <w:right w:w="10" w:type="dxa"/>
            </w:tcMar>
            <w:vAlign w:val="center"/>
          </w:tcPr>
          <w:p w14:paraId="0993EE10">
            <w:pPr>
              <w:widowControl/>
              <w:spacing w:before="60" w:after="60"/>
              <w:jc w:val="center"/>
              <w:textAlignment w:val="center"/>
              <w:rPr>
                <w:sz w:val="18"/>
                <w:szCs w:val="18"/>
                <w:highlight w:val="none"/>
              </w:rPr>
            </w:pPr>
            <w:r>
              <w:rPr>
                <w:kern w:val="0"/>
                <w:sz w:val="18"/>
                <w:szCs w:val="18"/>
                <w:highlight w:val="none"/>
              </w:rPr>
              <w:t>数量</w:t>
            </w:r>
          </w:p>
        </w:tc>
        <w:tc>
          <w:tcPr>
            <w:tcW w:w="1920" w:type="dxa"/>
            <w:tcBorders>
              <w:tl2br w:val="nil"/>
              <w:tr2bl w:val="nil"/>
            </w:tcBorders>
            <w:shd w:val="clear" w:color="auto" w:fill="auto"/>
            <w:tcMar>
              <w:top w:w="10" w:type="dxa"/>
              <w:left w:w="10" w:type="dxa"/>
              <w:right w:w="10" w:type="dxa"/>
            </w:tcMar>
            <w:vAlign w:val="center"/>
          </w:tcPr>
          <w:p w14:paraId="0B2080C1">
            <w:pPr>
              <w:widowControl/>
              <w:spacing w:before="60" w:after="60"/>
              <w:jc w:val="center"/>
              <w:textAlignment w:val="center"/>
              <w:rPr>
                <w:sz w:val="18"/>
                <w:szCs w:val="18"/>
                <w:highlight w:val="none"/>
              </w:rPr>
            </w:pPr>
            <w:r>
              <w:rPr>
                <w:kern w:val="0"/>
                <w:sz w:val="18"/>
                <w:szCs w:val="18"/>
                <w:highlight w:val="none"/>
              </w:rPr>
              <w:t>型式、规格</w:t>
            </w:r>
          </w:p>
        </w:tc>
        <w:tc>
          <w:tcPr>
            <w:tcW w:w="780" w:type="dxa"/>
            <w:tcBorders>
              <w:tl2br w:val="nil"/>
              <w:tr2bl w:val="nil"/>
            </w:tcBorders>
            <w:shd w:val="clear" w:color="auto" w:fill="auto"/>
            <w:tcMar>
              <w:top w:w="10" w:type="dxa"/>
              <w:left w:w="10" w:type="dxa"/>
              <w:right w:w="10" w:type="dxa"/>
            </w:tcMar>
            <w:vAlign w:val="center"/>
          </w:tcPr>
          <w:p w14:paraId="78F834A4">
            <w:pPr>
              <w:widowControl/>
              <w:spacing w:before="60" w:after="60"/>
              <w:jc w:val="center"/>
              <w:textAlignment w:val="center"/>
              <w:rPr>
                <w:sz w:val="18"/>
                <w:szCs w:val="18"/>
                <w:highlight w:val="none"/>
              </w:rPr>
            </w:pPr>
            <w:r>
              <w:rPr>
                <w:kern w:val="0"/>
                <w:sz w:val="18"/>
                <w:szCs w:val="18"/>
                <w:highlight w:val="none"/>
              </w:rPr>
              <w:t>数量</w:t>
            </w:r>
          </w:p>
        </w:tc>
      </w:tr>
      <w:tr w14:paraId="651D47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768" w:type="dxa"/>
            <w:tcBorders>
              <w:tl2br w:val="nil"/>
              <w:tr2bl w:val="nil"/>
            </w:tcBorders>
            <w:shd w:val="clear" w:color="auto" w:fill="auto"/>
            <w:tcMar>
              <w:top w:w="10" w:type="dxa"/>
              <w:left w:w="10" w:type="dxa"/>
              <w:right w:w="10" w:type="dxa"/>
            </w:tcMar>
            <w:vAlign w:val="center"/>
          </w:tcPr>
          <w:p w14:paraId="0FEB10C9">
            <w:pPr>
              <w:widowControl/>
              <w:spacing w:before="60" w:after="60"/>
              <w:jc w:val="center"/>
              <w:textAlignment w:val="center"/>
              <w:rPr>
                <w:b/>
                <w:bCs/>
                <w:kern w:val="0"/>
                <w:sz w:val="18"/>
                <w:szCs w:val="18"/>
                <w:highlight w:val="none"/>
              </w:rPr>
            </w:pPr>
            <w:r>
              <w:rPr>
                <w:rFonts w:hint="eastAsia"/>
                <w:b/>
                <w:bCs/>
                <w:kern w:val="0"/>
                <w:sz w:val="18"/>
                <w:szCs w:val="18"/>
                <w:highlight w:val="none"/>
              </w:rPr>
              <w:t>1</w:t>
            </w:r>
          </w:p>
        </w:tc>
        <w:tc>
          <w:tcPr>
            <w:tcW w:w="1210" w:type="dxa"/>
            <w:tcBorders>
              <w:tl2br w:val="nil"/>
              <w:tr2bl w:val="nil"/>
            </w:tcBorders>
            <w:shd w:val="clear" w:color="auto" w:fill="auto"/>
            <w:tcMar>
              <w:top w:w="10" w:type="dxa"/>
              <w:left w:w="10" w:type="dxa"/>
              <w:right w:w="10" w:type="dxa"/>
            </w:tcMar>
            <w:vAlign w:val="center"/>
          </w:tcPr>
          <w:p w14:paraId="47EFBA66">
            <w:pPr>
              <w:widowControl/>
              <w:spacing w:before="60" w:after="60"/>
              <w:jc w:val="center"/>
              <w:textAlignment w:val="center"/>
              <w:rPr>
                <w:b/>
                <w:bCs/>
                <w:kern w:val="0"/>
                <w:sz w:val="18"/>
                <w:szCs w:val="18"/>
                <w:highlight w:val="none"/>
              </w:rPr>
            </w:pPr>
            <w:r>
              <w:rPr>
                <w:rFonts w:hint="eastAsia"/>
                <w:b/>
                <w:bCs/>
                <w:sz w:val="18"/>
                <w:szCs w:val="18"/>
                <w:highlight w:val="none"/>
              </w:rPr>
              <w:t>智能巡视系统硬件</w:t>
            </w:r>
          </w:p>
        </w:tc>
        <w:tc>
          <w:tcPr>
            <w:tcW w:w="700" w:type="dxa"/>
            <w:tcBorders>
              <w:tl2br w:val="nil"/>
              <w:tr2bl w:val="nil"/>
            </w:tcBorders>
            <w:shd w:val="clear" w:color="auto" w:fill="auto"/>
            <w:tcMar>
              <w:top w:w="10" w:type="dxa"/>
              <w:left w:w="10" w:type="dxa"/>
              <w:right w:w="10" w:type="dxa"/>
            </w:tcMar>
            <w:vAlign w:val="center"/>
          </w:tcPr>
          <w:p w14:paraId="52CEAA8E">
            <w:pPr>
              <w:widowControl/>
              <w:spacing w:before="60" w:after="60"/>
              <w:jc w:val="center"/>
              <w:textAlignment w:val="center"/>
              <w:rPr>
                <w:kern w:val="0"/>
                <w:sz w:val="18"/>
                <w:szCs w:val="18"/>
                <w:highlight w:val="none"/>
              </w:rPr>
            </w:pPr>
          </w:p>
        </w:tc>
        <w:tc>
          <w:tcPr>
            <w:tcW w:w="2220" w:type="dxa"/>
            <w:tcBorders>
              <w:tl2br w:val="nil"/>
              <w:tr2bl w:val="nil"/>
            </w:tcBorders>
            <w:shd w:val="clear" w:color="auto" w:fill="auto"/>
            <w:tcMar>
              <w:top w:w="10" w:type="dxa"/>
              <w:left w:w="10" w:type="dxa"/>
              <w:right w:w="10" w:type="dxa"/>
            </w:tcMar>
            <w:vAlign w:val="center"/>
          </w:tcPr>
          <w:p w14:paraId="5D71D8B5">
            <w:pPr>
              <w:spacing w:before="60" w:after="60"/>
              <w:rPr>
                <w:sz w:val="18"/>
                <w:szCs w:val="18"/>
                <w:highlight w:val="none"/>
              </w:rPr>
            </w:pPr>
          </w:p>
        </w:tc>
        <w:tc>
          <w:tcPr>
            <w:tcW w:w="700" w:type="dxa"/>
            <w:tcBorders>
              <w:tl2br w:val="nil"/>
              <w:tr2bl w:val="nil"/>
            </w:tcBorders>
            <w:shd w:val="clear" w:color="auto" w:fill="auto"/>
            <w:tcMar>
              <w:top w:w="10" w:type="dxa"/>
              <w:left w:w="10" w:type="dxa"/>
              <w:right w:w="10" w:type="dxa"/>
            </w:tcMar>
            <w:vAlign w:val="center"/>
          </w:tcPr>
          <w:p w14:paraId="739390C3">
            <w:pPr>
              <w:widowControl/>
              <w:spacing w:before="60" w:after="60"/>
              <w:jc w:val="center"/>
              <w:textAlignment w:val="center"/>
              <w:rPr>
                <w:kern w:val="0"/>
                <w:sz w:val="18"/>
                <w:szCs w:val="18"/>
                <w:highlight w:val="none"/>
              </w:rPr>
            </w:pPr>
          </w:p>
        </w:tc>
        <w:tc>
          <w:tcPr>
            <w:tcW w:w="1920" w:type="dxa"/>
            <w:tcBorders>
              <w:tl2br w:val="nil"/>
              <w:tr2bl w:val="nil"/>
            </w:tcBorders>
            <w:shd w:val="clear" w:color="auto" w:fill="auto"/>
            <w:noWrap/>
            <w:tcMar>
              <w:top w:w="10" w:type="dxa"/>
              <w:left w:w="10" w:type="dxa"/>
              <w:right w:w="10" w:type="dxa"/>
            </w:tcMar>
            <w:vAlign w:val="center"/>
          </w:tcPr>
          <w:p w14:paraId="7F257016">
            <w:pPr>
              <w:spacing w:before="60" w:after="60"/>
              <w:rPr>
                <w:sz w:val="18"/>
                <w:szCs w:val="18"/>
                <w:highlight w:val="none"/>
              </w:rPr>
            </w:pPr>
          </w:p>
        </w:tc>
        <w:tc>
          <w:tcPr>
            <w:tcW w:w="780" w:type="dxa"/>
            <w:tcBorders>
              <w:tl2br w:val="nil"/>
              <w:tr2bl w:val="nil"/>
            </w:tcBorders>
            <w:shd w:val="clear" w:color="auto" w:fill="auto"/>
            <w:noWrap/>
            <w:tcMar>
              <w:top w:w="10" w:type="dxa"/>
              <w:left w:w="10" w:type="dxa"/>
              <w:right w:w="10" w:type="dxa"/>
            </w:tcMar>
            <w:vAlign w:val="center"/>
          </w:tcPr>
          <w:p w14:paraId="5A4A07E2">
            <w:pPr>
              <w:spacing w:before="60" w:after="60"/>
              <w:rPr>
                <w:sz w:val="18"/>
                <w:szCs w:val="18"/>
                <w:highlight w:val="none"/>
              </w:rPr>
            </w:pPr>
          </w:p>
        </w:tc>
      </w:tr>
      <w:tr w14:paraId="45DE89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768" w:type="dxa"/>
            <w:tcBorders>
              <w:tl2br w:val="nil"/>
              <w:tr2bl w:val="nil"/>
            </w:tcBorders>
            <w:shd w:val="clear" w:color="auto" w:fill="auto"/>
            <w:tcMar>
              <w:top w:w="10" w:type="dxa"/>
              <w:left w:w="10" w:type="dxa"/>
              <w:right w:w="10" w:type="dxa"/>
            </w:tcMar>
            <w:vAlign w:val="center"/>
          </w:tcPr>
          <w:p w14:paraId="2F55E0F2">
            <w:pPr>
              <w:widowControl/>
              <w:spacing w:before="60" w:after="60"/>
              <w:jc w:val="center"/>
              <w:textAlignment w:val="center"/>
              <w:rPr>
                <w:kern w:val="0"/>
                <w:sz w:val="18"/>
                <w:szCs w:val="18"/>
                <w:highlight w:val="none"/>
              </w:rPr>
            </w:pPr>
            <w:r>
              <w:rPr>
                <w:rFonts w:hint="eastAsia"/>
                <w:kern w:val="0"/>
                <w:sz w:val="18"/>
                <w:szCs w:val="18"/>
                <w:highlight w:val="none"/>
              </w:rPr>
              <w:t>1</w:t>
            </w:r>
            <w:r>
              <w:rPr>
                <w:kern w:val="0"/>
                <w:sz w:val="18"/>
                <w:szCs w:val="18"/>
                <w:highlight w:val="none"/>
              </w:rPr>
              <w:t>.1</w:t>
            </w:r>
          </w:p>
        </w:tc>
        <w:tc>
          <w:tcPr>
            <w:tcW w:w="1210" w:type="dxa"/>
            <w:tcBorders>
              <w:tl2br w:val="nil"/>
              <w:tr2bl w:val="nil"/>
            </w:tcBorders>
            <w:shd w:val="clear" w:color="auto" w:fill="auto"/>
            <w:tcMar>
              <w:top w:w="10" w:type="dxa"/>
              <w:left w:w="10" w:type="dxa"/>
              <w:right w:w="10" w:type="dxa"/>
            </w:tcMar>
            <w:vAlign w:val="center"/>
          </w:tcPr>
          <w:p w14:paraId="0CA3821A">
            <w:pPr>
              <w:widowControl/>
              <w:spacing w:before="60" w:after="60"/>
              <w:jc w:val="center"/>
              <w:textAlignment w:val="center"/>
              <w:rPr>
                <w:kern w:val="0"/>
                <w:sz w:val="18"/>
                <w:szCs w:val="18"/>
                <w:highlight w:val="none"/>
              </w:rPr>
            </w:pPr>
            <w:r>
              <w:rPr>
                <w:rFonts w:hint="eastAsia"/>
                <w:kern w:val="0"/>
                <w:sz w:val="18"/>
                <w:szCs w:val="18"/>
                <w:highlight w:val="none"/>
              </w:rPr>
              <w:t>360度全景摄像机</w:t>
            </w:r>
          </w:p>
        </w:tc>
        <w:tc>
          <w:tcPr>
            <w:tcW w:w="700" w:type="dxa"/>
            <w:tcBorders>
              <w:tl2br w:val="nil"/>
              <w:tr2bl w:val="nil"/>
            </w:tcBorders>
            <w:shd w:val="clear" w:color="auto" w:fill="auto"/>
            <w:tcMar>
              <w:top w:w="10" w:type="dxa"/>
              <w:left w:w="10" w:type="dxa"/>
              <w:right w:w="10" w:type="dxa"/>
            </w:tcMar>
            <w:vAlign w:val="center"/>
          </w:tcPr>
          <w:p w14:paraId="77C2DF48">
            <w:pPr>
              <w:widowControl/>
              <w:spacing w:before="60" w:after="60"/>
              <w:jc w:val="center"/>
              <w:textAlignment w:val="center"/>
              <w:rPr>
                <w:kern w:val="0"/>
                <w:sz w:val="18"/>
                <w:szCs w:val="18"/>
                <w:highlight w:val="none"/>
              </w:rPr>
            </w:pPr>
            <w:r>
              <w:rPr>
                <w:sz w:val="18"/>
                <w:szCs w:val="18"/>
                <w:highlight w:val="none"/>
              </w:rPr>
              <w:t>台</w:t>
            </w:r>
          </w:p>
        </w:tc>
        <w:tc>
          <w:tcPr>
            <w:tcW w:w="2220" w:type="dxa"/>
            <w:tcBorders>
              <w:tl2br w:val="nil"/>
              <w:tr2bl w:val="nil"/>
            </w:tcBorders>
            <w:shd w:val="clear" w:color="auto" w:fill="auto"/>
            <w:tcMar>
              <w:top w:w="10" w:type="dxa"/>
              <w:left w:w="10" w:type="dxa"/>
              <w:right w:w="10" w:type="dxa"/>
            </w:tcMar>
            <w:vAlign w:val="center"/>
          </w:tcPr>
          <w:p w14:paraId="09FCC412">
            <w:pPr>
              <w:widowControl/>
              <w:spacing w:before="60" w:after="60"/>
              <w:jc w:val="left"/>
              <w:textAlignment w:val="center"/>
              <w:rPr>
                <w:sz w:val="18"/>
                <w:szCs w:val="18"/>
                <w:highlight w:val="none"/>
              </w:rPr>
            </w:pPr>
            <w:r>
              <w:rPr>
                <w:rFonts w:hint="eastAsia"/>
                <w:sz w:val="18"/>
                <w:szCs w:val="18"/>
                <w:highlight w:val="none"/>
              </w:rPr>
              <w:t>有效像素：全景≥4096 X 1800，球机≥1920 X 1080；</w:t>
            </w:r>
          </w:p>
          <w:p w14:paraId="40FAA435">
            <w:pPr>
              <w:widowControl/>
              <w:spacing w:before="60" w:after="60"/>
              <w:jc w:val="left"/>
              <w:textAlignment w:val="center"/>
              <w:rPr>
                <w:sz w:val="18"/>
                <w:szCs w:val="18"/>
                <w:highlight w:val="none"/>
              </w:rPr>
            </w:pPr>
            <w:r>
              <w:rPr>
                <w:rFonts w:hint="eastAsia"/>
                <w:sz w:val="18"/>
                <w:szCs w:val="18"/>
                <w:highlight w:val="none"/>
              </w:rPr>
              <w:t>全景镜头：支持180°显示图像；</w:t>
            </w:r>
          </w:p>
          <w:p w14:paraId="6A7A4B89">
            <w:pPr>
              <w:widowControl/>
              <w:spacing w:before="60" w:after="60"/>
              <w:jc w:val="left"/>
              <w:textAlignment w:val="center"/>
              <w:rPr>
                <w:sz w:val="18"/>
                <w:szCs w:val="18"/>
                <w:highlight w:val="none"/>
              </w:rPr>
            </w:pPr>
            <w:r>
              <w:rPr>
                <w:rFonts w:hint="eastAsia"/>
                <w:sz w:val="18"/>
                <w:szCs w:val="18"/>
                <w:highlight w:val="none"/>
              </w:rPr>
              <w:t>球机变焦倍数：光学变焦≥30倍，数字变焦≥16倍；</w:t>
            </w:r>
          </w:p>
          <w:p w14:paraId="70B0AF24">
            <w:pPr>
              <w:widowControl/>
              <w:spacing w:before="60" w:after="60"/>
              <w:jc w:val="left"/>
              <w:textAlignment w:val="center"/>
              <w:rPr>
                <w:sz w:val="18"/>
                <w:szCs w:val="18"/>
                <w:highlight w:val="none"/>
              </w:rPr>
            </w:pPr>
            <w:r>
              <w:rPr>
                <w:rFonts w:hint="eastAsia"/>
                <w:sz w:val="18"/>
                <w:szCs w:val="18"/>
                <w:highlight w:val="none"/>
              </w:rPr>
              <w:t>信噪比：≥55dB；</w:t>
            </w:r>
          </w:p>
          <w:p w14:paraId="453BF941">
            <w:pPr>
              <w:widowControl/>
              <w:spacing w:before="60" w:after="60"/>
              <w:jc w:val="left"/>
              <w:textAlignment w:val="center"/>
              <w:rPr>
                <w:sz w:val="18"/>
                <w:szCs w:val="18"/>
                <w:highlight w:val="none"/>
              </w:rPr>
            </w:pPr>
            <w:r>
              <w:rPr>
                <w:rFonts w:hint="eastAsia"/>
                <w:sz w:val="18"/>
                <w:szCs w:val="18"/>
                <w:highlight w:val="none"/>
              </w:rPr>
              <w:t>红外补光距离：≥200m；</w:t>
            </w:r>
          </w:p>
          <w:p w14:paraId="28D61226">
            <w:pPr>
              <w:widowControl/>
              <w:spacing w:before="60" w:after="60"/>
              <w:jc w:val="left"/>
              <w:textAlignment w:val="center"/>
              <w:rPr>
                <w:sz w:val="18"/>
                <w:szCs w:val="18"/>
                <w:highlight w:val="none"/>
              </w:rPr>
            </w:pPr>
            <w:r>
              <w:rPr>
                <w:rFonts w:hint="eastAsia"/>
                <w:sz w:val="18"/>
                <w:szCs w:val="18"/>
                <w:highlight w:val="none"/>
              </w:rPr>
              <w:t>旋转角度：水平360°连续，垂直垂直-15°-90°（自动翻转）</w:t>
            </w:r>
          </w:p>
          <w:p w14:paraId="378305FC">
            <w:pPr>
              <w:widowControl/>
              <w:spacing w:before="60" w:after="60"/>
              <w:jc w:val="left"/>
              <w:textAlignment w:val="center"/>
              <w:rPr>
                <w:b/>
                <w:sz w:val="18"/>
                <w:szCs w:val="18"/>
                <w:highlight w:val="none"/>
              </w:rPr>
            </w:pPr>
            <w:r>
              <w:rPr>
                <w:rFonts w:hint="eastAsia"/>
                <w:sz w:val="18"/>
                <w:szCs w:val="18"/>
                <w:highlight w:val="none"/>
              </w:rPr>
              <w:t>旋转速度：水平≥220°/s,垂直≥180°/s；</w:t>
            </w:r>
          </w:p>
        </w:tc>
        <w:tc>
          <w:tcPr>
            <w:tcW w:w="700" w:type="dxa"/>
            <w:tcBorders>
              <w:tl2br w:val="nil"/>
              <w:tr2bl w:val="nil"/>
            </w:tcBorders>
            <w:shd w:val="clear" w:color="auto" w:fill="auto"/>
            <w:tcMar>
              <w:top w:w="10" w:type="dxa"/>
              <w:left w:w="10" w:type="dxa"/>
              <w:right w:w="10" w:type="dxa"/>
            </w:tcMar>
            <w:vAlign w:val="center"/>
          </w:tcPr>
          <w:p w14:paraId="388967A5">
            <w:pPr>
              <w:widowControl/>
              <w:spacing w:before="60" w:after="60"/>
              <w:jc w:val="center"/>
              <w:textAlignment w:val="center"/>
              <w:rPr>
                <w:kern w:val="0"/>
                <w:sz w:val="18"/>
                <w:szCs w:val="18"/>
                <w:highlight w:val="none"/>
              </w:rPr>
            </w:pPr>
            <w:r>
              <w:rPr>
                <w:rFonts w:hint="eastAsia"/>
                <w:bCs/>
                <w:kern w:val="0"/>
                <w:sz w:val="18"/>
                <w:szCs w:val="18"/>
                <w:highlight w:val="none"/>
                <w:lang w:bidi="ar"/>
              </w:rPr>
              <w:t>4</w:t>
            </w:r>
          </w:p>
        </w:tc>
        <w:tc>
          <w:tcPr>
            <w:tcW w:w="1920" w:type="dxa"/>
            <w:tcBorders>
              <w:tl2br w:val="nil"/>
              <w:tr2bl w:val="nil"/>
            </w:tcBorders>
            <w:shd w:val="clear" w:color="auto" w:fill="auto"/>
            <w:noWrap/>
            <w:tcMar>
              <w:top w:w="10" w:type="dxa"/>
              <w:left w:w="10" w:type="dxa"/>
              <w:right w:w="10" w:type="dxa"/>
            </w:tcMar>
            <w:vAlign w:val="center"/>
          </w:tcPr>
          <w:p w14:paraId="0A59E948">
            <w:pPr>
              <w:spacing w:before="60" w:after="60"/>
              <w:rPr>
                <w:sz w:val="18"/>
                <w:szCs w:val="18"/>
                <w:highlight w:val="none"/>
              </w:rPr>
            </w:pPr>
          </w:p>
        </w:tc>
        <w:tc>
          <w:tcPr>
            <w:tcW w:w="780" w:type="dxa"/>
            <w:tcBorders>
              <w:tl2br w:val="nil"/>
              <w:tr2bl w:val="nil"/>
            </w:tcBorders>
            <w:shd w:val="clear" w:color="auto" w:fill="auto"/>
            <w:noWrap/>
            <w:tcMar>
              <w:top w:w="10" w:type="dxa"/>
              <w:left w:w="10" w:type="dxa"/>
              <w:right w:w="10" w:type="dxa"/>
            </w:tcMar>
            <w:vAlign w:val="center"/>
          </w:tcPr>
          <w:p w14:paraId="36571572">
            <w:pPr>
              <w:spacing w:before="60" w:after="60"/>
              <w:rPr>
                <w:sz w:val="18"/>
                <w:szCs w:val="18"/>
                <w:highlight w:val="none"/>
              </w:rPr>
            </w:pPr>
          </w:p>
        </w:tc>
      </w:tr>
      <w:tr w14:paraId="34AABB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768" w:type="dxa"/>
            <w:tcBorders>
              <w:tl2br w:val="nil"/>
              <w:tr2bl w:val="nil"/>
            </w:tcBorders>
            <w:shd w:val="clear" w:color="auto" w:fill="auto"/>
            <w:tcMar>
              <w:top w:w="10" w:type="dxa"/>
              <w:left w:w="10" w:type="dxa"/>
              <w:right w:w="10" w:type="dxa"/>
            </w:tcMar>
            <w:vAlign w:val="center"/>
          </w:tcPr>
          <w:p w14:paraId="05458B51">
            <w:pPr>
              <w:widowControl/>
              <w:spacing w:before="60" w:after="60"/>
              <w:jc w:val="center"/>
              <w:textAlignment w:val="center"/>
              <w:rPr>
                <w:kern w:val="0"/>
                <w:sz w:val="18"/>
                <w:szCs w:val="18"/>
              </w:rPr>
            </w:pPr>
            <w:r>
              <w:rPr>
                <w:rFonts w:hint="eastAsia"/>
                <w:sz w:val="18"/>
                <w:szCs w:val="18"/>
              </w:rPr>
              <w:t>1</w:t>
            </w:r>
            <w:r>
              <w:rPr>
                <w:sz w:val="18"/>
                <w:szCs w:val="18"/>
              </w:rPr>
              <w:t>.2</w:t>
            </w:r>
          </w:p>
        </w:tc>
        <w:tc>
          <w:tcPr>
            <w:tcW w:w="1210" w:type="dxa"/>
            <w:tcBorders>
              <w:tl2br w:val="nil"/>
              <w:tr2bl w:val="nil"/>
            </w:tcBorders>
            <w:shd w:val="clear" w:color="auto" w:fill="auto"/>
            <w:tcMar>
              <w:top w:w="10" w:type="dxa"/>
              <w:left w:w="10" w:type="dxa"/>
              <w:right w:w="10" w:type="dxa"/>
            </w:tcMar>
            <w:vAlign w:val="center"/>
          </w:tcPr>
          <w:p w14:paraId="57FE5514">
            <w:pPr>
              <w:widowControl/>
              <w:spacing w:before="60" w:after="60"/>
              <w:jc w:val="center"/>
              <w:textAlignment w:val="center"/>
              <w:rPr>
                <w:kern w:val="0"/>
                <w:sz w:val="18"/>
                <w:szCs w:val="18"/>
              </w:rPr>
            </w:pPr>
            <w:r>
              <w:rPr>
                <w:rFonts w:hint="eastAsia"/>
                <w:sz w:val="18"/>
                <w:szCs w:val="18"/>
              </w:rPr>
              <w:t>白光一体化云台</w:t>
            </w:r>
          </w:p>
        </w:tc>
        <w:tc>
          <w:tcPr>
            <w:tcW w:w="700" w:type="dxa"/>
            <w:tcBorders>
              <w:tl2br w:val="nil"/>
              <w:tr2bl w:val="nil"/>
            </w:tcBorders>
            <w:shd w:val="clear" w:color="auto" w:fill="auto"/>
            <w:tcMar>
              <w:top w:w="10" w:type="dxa"/>
              <w:left w:w="10" w:type="dxa"/>
              <w:right w:w="10" w:type="dxa"/>
            </w:tcMar>
            <w:vAlign w:val="center"/>
          </w:tcPr>
          <w:p w14:paraId="5312B203">
            <w:pPr>
              <w:widowControl/>
              <w:spacing w:before="60" w:after="60"/>
              <w:jc w:val="center"/>
              <w:textAlignment w:val="center"/>
              <w:rPr>
                <w:kern w:val="0"/>
                <w:sz w:val="18"/>
                <w:szCs w:val="18"/>
              </w:rPr>
            </w:pPr>
            <w:r>
              <w:rPr>
                <w:kern w:val="0"/>
                <w:sz w:val="18"/>
                <w:szCs w:val="18"/>
              </w:rPr>
              <w:t>台</w:t>
            </w:r>
          </w:p>
        </w:tc>
        <w:tc>
          <w:tcPr>
            <w:tcW w:w="2220" w:type="dxa"/>
            <w:tcBorders>
              <w:tl2br w:val="nil"/>
              <w:tr2bl w:val="nil"/>
            </w:tcBorders>
            <w:shd w:val="clear" w:color="auto" w:fill="auto"/>
            <w:tcMar>
              <w:top w:w="10" w:type="dxa"/>
              <w:left w:w="10" w:type="dxa"/>
              <w:right w:w="10" w:type="dxa"/>
            </w:tcMar>
            <w:vAlign w:val="center"/>
          </w:tcPr>
          <w:p w14:paraId="0F43FD73">
            <w:pPr>
              <w:widowControl/>
              <w:spacing w:before="60" w:after="60"/>
              <w:jc w:val="left"/>
              <w:textAlignment w:val="center"/>
              <w:rPr>
                <w:sz w:val="18"/>
                <w:szCs w:val="18"/>
              </w:rPr>
            </w:pPr>
            <w:r>
              <w:rPr>
                <w:rFonts w:hint="eastAsia"/>
                <w:sz w:val="18"/>
                <w:szCs w:val="18"/>
              </w:rPr>
              <w:t>有效像素: 约240万像素</w:t>
            </w:r>
          </w:p>
          <w:p w14:paraId="3E5EEEE2">
            <w:pPr>
              <w:widowControl/>
              <w:spacing w:before="60" w:after="60"/>
              <w:jc w:val="left"/>
              <w:textAlignment w:val="center"/>
              <w:rPr>
                <w:sz w:val="18"/>
                <w:szCs w:val="18"/>
              </w:rPr>
            </w:pPr>
            <w:r>
              <w:rPr>
                <w:rFonts w:hint="eastAsia"/>
                <w:sz w:val="18"/>
                <w:szCs w:val="18"/>
              </w:rPr>
              <w:t>焦距范围需满足该场景下的功能要求。</w:t>
            </w:r>
          </w:p>
          <w:p w14:paraId="5AFF203A">
            <w:pPr>
              <w:widowControl/>
              <w:spacing w:before="60" w:after="60"/>
              <w:jc w:val="left"/>
              <w:textAlignment w:val="center"/>
              <w:rPr>
                <w:sz w:val="18"/>
                <w:szCs w:val="18"/>
              </w:rPr>
            </w:pPr>
            <w:r>
              <w:rPr>
                <w:rFonts w:hint="eastAsia"/>
                <w:sz w:val="18"/>
                <w:szCs w:val="18"/>
              </w:rPr>
              <w:t>不小于20倍光学变倍。</w:t>
            </w:r>
          </w:p>
          <w:p w14:paraId="08843FE5">
            <w:pPr>
              <w:widowControl/>
              <w:spacing w:before="60" w:after="60"/>
              <w:jc w:val="left"/>
              <w:textAlignment w:val="center"/>
              <w:rPr>
                <w:sz w:val="18"/>
                <w:szCs w:val="18"/>
              </w:rPr>
            </w:pPr>
            <w:r>
              <w:rPr>
                <w:rFonts w:hint="eastAsia"/>
                <w:sz w:val="18"/>
                <w:szCs w:val="18"/>
              </w:rPr>
              <w:t>支持南网PG协议和国标GB/T 28181协议。</w:t>
            </w:r>
          </w:p>
          <w:p w14:paraId="5493DA1B">
            <w:pPr>
              <w:widowControl/>
              <w:spacing w:before="60" w:after="60"/>
              <w:jc w:val="left"/>
              <w:textAlignment w:val="center"/>
              <w:rPr>
                <w:sz w:val="18"/>
                <w:szCs w:val="18"/>
              </w:rPr>
            </w:pPr>
            <w:r>
              <w:rPr>
                <w:rFonts w:hint="eastAsia"/>
                <w:sz w:val="18"/>
                <w:szCs w:val="18"/>
              </w:rPr>
              <w:t>IP67防尘防水等级。</w:t>
            </w:r>
          </w:p>
          <w:p w14:paraId="27CAD2ED">
            <w:pPr>
              <w:widowControl/>
              <w:spacing w:before="60" w:after="60"/>
              <w:jc w:val="left"/>
              <w:textAlignment w:val="center"/>
              <w:rPr>
                <w:rFonts w:hint="eastAsia"/>
                <w:sz w:val="18"/>
                <w:szCs w:val="18"/>
              </w:rPr>
            </w:pPr>
            <w:r>
              <w:rPr>
                <w:rFonts w:hint="eastAsia"/>
                <w:sz w:val="18"/>
                <w:szCs w:val="18"/>
              </w:rPr>
              <w:t>用于阀厅区域的设备必须满足在强电磁场干扰环境下使用的要求。产品需通过GB/T17626中严酷等级为4级的电磁兼容性检验：静电放电抗扰度试验、射频电磁场辐射抗扰度试验、电快速瞬变脉冲群抗扰度试验、浪涌（冲击）抗扰度试验、射频场感应的传导骚扰抗扰度、工频磁场的抗扰度试验。</w:t>
            </w:r>
          </w:p>
        </w:tc>
        <w:tc>
          <w:tcPr>
            <w:tcW w:w="700" w:type="dxa"/>
            <w:tcBorders>
              <w:tl2br w:val="nil"/>
              <w:tr2bl w:val="nil"/>
            </w:tcBorders>
            <w:shd w:val="clear" w:color="auto" w:fill="auto"/>
            <w:tcMar>
              <w:top w:w="10" w:type="dxa"/>
              <w:left w:w="10" w:type="dxa"/>
              <w:right w:w="10" w:type="dxa"/>
            </w:tcMar>
            <w:vAlign w:val="center"/>
          </w:tcPr>
          <w:p w14:paraId="2B0AA53E">
            <w:pPr>
              <w:widowControl/>
              <w:spacing w:before="60" w:after="60"/>
              <w:jc w:val="center"/>
              <w:textAlignment w:val="center"/>
              <w:rPr>
                <w:kern w:val="0"/>
                <w:sz w:val="18"/>
                <w:szCs w:val="18"/>
              </w:rPr>
            </w:pPr>
            <w:r>
              <w:rPr>
                <w:rFonts w:hint="eastAsia"/>
                <w:sz w:val="18"/>
                <w:szCs w:val="18"/>
              </w:rPr>
              <w:t>58</w:t>
            </w:r>
          </w:p>
        </w:tc>
        <w:tc>
          <w:tcPr>
            <w:tcW w:w="1920" w:type="dxa"/>
            <w:tcBorders>
              <w:tl2br w:val="nil"/>
              <w:tr2bl w:val="nil"/>
            </w:tcBorders>
            <w:shd w:val="clear" w:color="auto" w:fill="auto"/>
            <w:noWrap/>
            <w:tcMar>
              <w:top w:w="10" w:type="dxa"/>
              <w:left w:w="10" w:type="dxa"/>
              <w:right w:w="10" w:type="dxa"/>
            </w:tcMar>
            <w:vAlign w:val="center"/>
          </w:tcPr>
          <w:p w14:paraId="5271F884">
            <w:pPr>
              <w:spacing w:before="60" w:after="60"/>
              <w:rPr>
                <w:sz w:val="18"/>
                <w:szCs w:val="18"/>
              </w:rPr>
            </w:pPr>
          </w:p>
        </w:tc>
        <w:tc>
          <w:tcPr>
            <w:tcW w:w="780" w:type="dxa"/>
            <w:tcBorders>
              <w:tl2br w:val="nil"/>
              <w:tr2bl w:val="nil"/>
            </w:tcBorders>
            <w:shd w:val="clear" w:color="auto" w:fill="auto"/>
            <w:noWrap/>
            <w:tcMar>
              <w:top w:w="10" w:type="dxa"/>
              <w:left w:w="10" w:type="dxa"/>
              <w:right w:w="10" w:type="dxa"/>
            </w:tcMar>
            <w:vAlign w:val="center"/>
          </w:tcPr>
          <w:p w14:paraId="7957B43F">
            <w:pPr>
              <w:spacing w:before="60" w:after="60"/>
              <w:rPr>
                <w:sz w:val="18"/>
                <w:szCs w:val="18"/>
              </w:rPr>
            </w:pPr>
          </w:p>
        </w:tc>
      </w:tr>
      <w:tr w14:paraId="557697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768" w:type="dxa"/>
            <w:tcBorders>
              <w:tl2br w:val="nil"/>
              <w:tr2bl w:val="nil"/>
            </w:tcBorders>
            <w:shd w:val="clear" w:color="auto" w:fill="auto"/>
            <w:tcMar>
              <w:top w:w="10" w:type="dxa"/>
              <w:left w:w="10" w:type="dxa"/>
              <w:right w:w="10" w:type="dxa"/>
            </w:tcMar>
            <w:vAlign w:val="center"/>
          </w:tcPr>
          <w:p w14:paraId="14FAB05B">
            <w:pPr>
              <w:widowControl/>
              <w:spacing w:before="60" w:after="60"/>
              <w:jc w:val="center"/>
              <w:textAlignment w:val="center"/>
              <w:rPr>
                <w:kern w:val="0"/>
                <w:sz w:val="18"/>
                <w:szCs w:val="18"/>
              </w:rPr>
            </w:pPr>
            <w:r>
              <w:rPr>
                <w:rFonts w:hint="eastAsia"/>
                <w:sz w:val="18"/>
                <w:szCs w:val="18"/>
              </w:rPr>
              <w:t>1</w:t>
            </w:r>
            <w:r>
              <w:rPr>
                <w:sz w:val="18"/>
                <w:szCs w:val="18"/>
              </w:rPr>
              <w:t>.3</w:t>
            </w:r>
          </w:p>
        </w:tc>
        <w:tc>
          <w:tcPr>
            <w:tcW w:w="1210" w:type="dxa"/>
            <w:tcBorders>
              <w:tl2br w:val="nil"/>
              <w:tr2bl w:val="nil"/>
            </w:tcBorders>
            <w:shd w:val="clear" w:color="auto" w:fill="auto"/>
            <w:tcMar>
              <w:top w:w="10" w:type="dxa"/>
              <w:left w:w="10" w:type="dxa"/>
              <w:right w:w="10" w:type="dxa"/>
            </w:tcMar>
            <w:vAlign w:val="center"/>
          </w:tcPr>
          <w:p w14:paraId="704C458F">
            <w:pPr>
              <w:widowControl/>
              <w:spacing w:before="60" w:after="60"/>
              <w:jc w:val="center"/>
              <w:textAlignment w:val="center"/>
              <w:rPr>
                <w:kern w:val="0"/>
                <w:sz w:val="18"/>
                <w:szCs w:val="18"/>
              </w:rPr>
            </w:pPr>
            <w:r>
              <w:rPr>
                <w:rFonts w:hint="eastAsia"/>
                <w:sz w:val="18"/>
                <w:szCs w:val="18"/>
              </w:rPr>
              <w:t>固定式图像采集终端（卡片机）</w:t>
            </w:r>
          </w:p>
        </w:tc>
        <w:tc>
          <w:tcPr>
            <w:tcW w:w="700" w:type="dxa"/>
            <w:tcBorders>
              <w:tl2br w:val="nil"/>
              <w:tr2bl w:val="nil"/>
            </w:tcBorders>
            <w:shd w:val="clear" w:color="auto" w:fill="auto"/>
            <w:tcMar>
              <w:top w:w="10" w:type="dxa"/>
              <w:left w:w="10" w:type="dxa"/>
              <w:right w:w="10" w:type="dxa"/>
            </w:tcMar>
            <w:vAlign w:val="center"/>
          </w:tcPr>
          <w:p w14:paraId="39156920">
            <w:pPr>
              <w:widowControl/>
              <w:spacing w:before="60" w:after="60"/>
              <w:jc w:val="center"/>
              <w:textAlignment w:val="center"/>
              <w:rPr>
                <w:kern w:val="0"/>
                <w:sz w:val="18"/>
                <w:szCs w:val="18"/>
              </w:rPr>
            </w:pPr>
            <w:r>
              <w:rPr>
                <w:kern w:val="0"/>
                <w:sz w:val="18"/>
                <w:szCs w:val="18"/>
              </w:rPr>
              <w:t>台</w:t>
            </w:r>
          </w:p>
        </w:tc>
        <w:tc>
          <w:tcPr>
            <w:tcW w:w="2220" w:type="dxa"/>
            <w:tcBorders>
              <w:tl2br w:val="nil"/>
              <w:tr2bl w:val="nil"/>
            </w:tcBorders>
            <w:shd w:val="clear" w:color="auto" w:fill="auto"/>
            <w:tcMar>
              <w:top w:w="10" w:type="dxa"/>
              <w:left w:w="10" w:type="dxa"/>
              <w:right w:w="10" w:type="dxa"/>
            </w:tcMar>
            <w:vAlign w:val="center"/>
          </w:tcPr>
          <w:p w14:paraId="056EB2F1">
            <w:pPr>
              <w:widowControl/>
              <w:spacing w:before="60" w:after="60"/>
              <w:jc w:val="left"/>
              <w:textAlignment w:val="center"/>
              <w:rPr>
                <w:sz w:val="18"/>
                <w:szCs w:val="18"/>
              </w:rPr>
            </w:pPr>
            <w:r>
              <w:rPr>
                <w:rFonts w:hint="eastAsia"/>
                <w:sz w:val="18"/>
                <w:szCs w:val="18"/>
              </w:rPr>
              <w:t>图像传感器尺寸：≥1/2.8 COMS</w:t>
            </w:r>
          </w:p>
          <w:p w14:paraId="02D37184">
            <w:pPr>
              <w:widowControl/>
              <w:spacing w:before="60" w:after="60"/>
              <w:jc w:val="left"/>
              <w:textAlignment w:val="center"/>
              <w:rPr>
                <w:sz w:val="18"/>
                <w:szCs w:val="18"/>
              </w:rPr>
            </w:pPr>
            <w:r>
              <w:rPr>
                <w:rFonts w:hint="eastAsia"/>
                <w:sz w:val="18"/>
                <w:szCs w:val="18"/>
              </w:rPr>
              <w:t>分辨率：≥1920×1080像素</w:t>
            </w:r>
          </w:p>
          <w:p w14:paraId="04B67DA5">
            <w:pPr>
              <w:widowControl/>
              <w:spacing w:before="60" w:after="60"/>
              <w:jc w:val="left"/>
              <w:textAlignment w:val="center"/>
              <w:rPr>
                <w:sz w:val="18"/>
                <w:szCs w:val="18"/>
              </w:rPr>
            </w:pPr>
            <w:r>
              <w:rPr>
                <w:rFonts w:hint="eastAsia"/>
                <w:sz w:val="18"/>
                <w:szCs w:val="18"/>
              </w:rPr>
              <w:t>最低可用照度：彩色≤0.01Lx，黑白≤0.001Lx</w:t>
            </w:r>
          </w:p>
          <w:p w14:paraId="67FEC842">
            <w:pPr>
              <w:widowControl/>
              <w:spacing w:before="60" w:after="60"/>
              <w:jc w:val="left"/>
              <w:textAlignment w:val="center"/>
              <w:rPr>
                <w:sz w:val="18"/>
                <w:szCs w:val="18"/>
              </w:rPr>
            </w:pPr>
            <w:r>
              <w:rPr>
                <w:rFonts w:hint="eastAsia"/>
                <w:sz w:val="18"/>
                <w:szCs w:val="18"/>
              </w:rPr>
              <w:t>照度适应范围(宽动态)：≥100dB</w:t>
            </w:r>
          </w:p>
          <w:p w14:paraId="345567FB">
            <w:pPr>
              <w:widowControl/>
              <w:spacing w:before="60" w:after="60"/>
              <w:jc w:val="left"/>
              <w:textAlignment w:val="center"/>
              <w:rPr>
                <w:sz w:val="18"/>
                <w:szCs w:val="18"/>
              </w:rPr>
            </w:pPr>
            <w:r>
              <w:rPr>
                <w:rFonts w:hint="eastAsia"/>
                <w:sz w:val="18"/>
                <w:szCs w:val="18"/>
              </w:rPr>
              <w:t>色彩还原误差：△E≤15(6500K)，平均△E≤25(其他色温)</w:t>
            </w:r>
          </w:p>
          <w:p w14:paraId="4B82D4D6">
            <w:pPr>
              <w:widowControl/>
              <w:spacing w:before="60" w:after="60"/>
              <w:jc w:val="left"/>
              <w:textAlignment w:val="center"/>
              <w:rPr>
                <w:sz w:val="18"/>
                <w:szCs w:val="18"/>
              </w:rPr>
            </w:pPr>
            <w:r>
              <w:rPr>
                <w:rFonts w:hint="eastAsia"/>
                <w:sz w:val="18"/>
                <w:szCs w:val="18"/>
              </w:rPr>
              <w:t>帧率：fps ≥25</w:t>
            </w:r>
          </w:p>
          <w:p w14:paraId="752BE89C">
            <w:pPr>
              <w:widowControl/>
              <w:spacing w:before="60" w:after="60"/>
              <w:jc w:val="left"/>
              <w:textAlignment w:val="center"/>
              <w:rPr>
                <w:sz w:val="18"/>
                <w:szCs w:val="18"/>
              </w:rPr>
            </w:pPr>
            <w:r>
              <w:rPr>
                <w:rFonts w:hint="eastAsia"/>
                <w:sz w:val="18"/>
                <w:szCs w:val="18"/>
              </w:rPr>
              <w:t>延时：≤100ms</w:t>
            </w:r>
          </w:p>
          <w:p w14:paraId="3087A4D4">
            <w:pPr>
              <w:widowControl/>
              <w:spacing w:before="60" w:after="60"/>
              <w:jc w:val="left"/>
              <w:textAlignment w:val="center"/>
              <w:rPr>
                <w:sz w:val="18"/>
                <w:szCs w:val="18"/>
              </w:rPr>
            </w:pPr>
            <w:r>
              <w:rPr>
                <w:rFonts w:hint="eastAsia"/>
                <w:sz w:val="18"/>
                <w:szCs w:val="18"/>
              </w:rPr>
              <w:t>镜头：2-5mm</w:t>
            </w:r>
          </w:p>
          <w:p w14:paraId="5ECB321B">
            <w:pPr>
              <w:widowControl/>
              <w:spacing w:before="60" w:after="60"/>
              <w:jc w:val="left"/>
              <w:textAlignment w:val="center"/>
              <w:rPr>
                <w:sz w:val="18"/>
                <w:szCs w:val="18"/>
              </w:rPr>
            </w:pPr>
            <w:r>
              <w:rPr>
                <w:rFonts w:hint="eastAsia"/>
                <w:sz w:val="18"/>
                <w:szCs w:val="18"/>
              </w:rPr>
              <w:t>环境温度：-20℃～+60℃</w:t>
            </w:r>
          </w:p>
          <w:p w14:paraId="344E0E86">
            <w:pPr>
              <w:widowControl/>
              <w:spacing w:before="60" w:after="60"/>
              <w:jc w:val="left"/>
              <w:textAlignment w:val="center"/>
              <w:rPr>
                <w:sz w:val="18"/>
                <w:szCs w:val="18"/>
              </w:rPr>
            </w:pPr>
            <w:r>
              <w:rPr>
                <w:rFonts w:hint="eastAsia"/>
                <w:sz w:val="18"/>
                <w:szCs w:val="18"/>
              </w:rPr>
              <w:t>环境湿度：10%～95%RH，无冷凝</w:t>
            </w:r>
          </w:p>
          <w:p w14:paraId="319006EB">
            <w:pPr>
              <w:widowControl/>
              <w:spacing w:before="60" w:after="60"/>
              <w:jc w:val="left"/>
              <w:textAlignment w:val="center"/>
              <w:rPr>
                <w:sz w:val="18"/>
                <w:szCs w:val="18"/>
              </w:rPr>
            </w:pPr>
            <w:r>
              <w:rPr>
                <w:rFonts w:hint="eastAsia"/>
                <w:sz w:val="18"/>
                <w:szCs w:val="18"/>
              </w:rPr>
              <w:t>防护等级：≥IP66</w:t>
            </w:r>
          </w:p>
          <w:p w14:paraId="7D662FD9">
            <w:pPr>
              <w:widowControl/>
              <w:spacing w:before="60" w:after="60"/>
              <w:jc w:val="left"/>
              <w:textAlignment w:val="center"/>
              <w:rPr>
                <w:sz w:val="18"/>
                <w:szCs w:val="18"/>
              </w:rPr>
            </w:pPr>
            <w:r>
              <w:rPr>
                <w:rFonts w:hint="eastAsia"/>
                <w:sz w:val="18"/>
                <w:szCs w:val="18"/>
              </w:rPr>
              <w:t>其它：1、可看清15cm～40cm距离的表盘指针及刻度；</w:t>
            </w:r>
          </w:p>
        </w:tc>
        <w:tc>
          <w:tcPr>
            <w:tcW w:w="700" w:type="dxa"/>
            <w:tcBorders>
              <w:tl2br w:val="nil"/>
              <w:tr2bl w:val="nil"/>
            </w:tcBorders>
            <w:shd w:val="clear" w:color="auto" w:fill="auto"/>
            <w:tcMar>
              <w:top w:w="10" w:type="dxa"/>
              <w:left w:w="10" w:type="dxa"/>
              <w:right w:w="10" w:type="dxa"/>
            </w:tcMar>
            <w:vAlign w:val="center"/>
          </w:tcPr>
          <w:p w14:paraId="544686CD">
            <w:pPr>
              <w:widowControl/>
              <w:spacing w:before="60" w:after="60"/>
              <w:jc w:val="center"/>
              <w:textAlignment w:val="center"/>
              <w:rPr>
                <w:kern w:val="0"/>
                <w:sz w:val="18"/>
                <w:szCs w:val="18"/>
              </w:rPr>
            </w:pPr>
            <w:r>
              <w:rPr>
                <w:rFonts w:hint="eastAsia"/>
                <w:sz w:val="18"/>
                <w:szCs w:val="18"/>
              </w:rPr>
              <w:t>48</w:t>
            </w:r>
          </w:p>
        </w:tc>
        <w:tc>
          <w:tcPr>
            <w:tcW w:w="1920" w:type="dxa"/>
            <w:tcBorders>
              <w:tl2br w:val="nil"/>
              <w:tr2bl w:val="nil"/>
            </w:tcBorders>
            <w:shd w:val="clear" w:color="auto" w:fill="auto"/>
            <w:noWrap/>
            <w:tcMar>
              <w:top w:w="10" w:type="dxa"/>
              <w:left w:w="10" w:type="dxa"/>
              <w:right w:w="10" w:type="dxa"/>
            </w:tcMar>
            <w:vAlign w:val="center"/>
          </w:tcPr>
          <w:p w14:paraId="30AE40C3">
            <w:pPr>
              <w:spacing w:before="60" w:after="60"/>
              <w:rPr>
                <w:sz w:val="18"/>
                <w:szCs w:val="18"/>
              </w:rPr>
            </w:pPr>
          </w:p>
        </w:tc>
        <w:tc>
          <w:tcPr>
            <w:tcW w:w="780" w:type="dxa"/>
            <w:tcBorders>
              <w:tl2br w:val="nil"/>
              <w:tr2bl w:val="nil"/>
            </w:tcBorders>
            <w:shd w:val="clear" w:color="auto" w:fill="auto"/>
            <w:noWrap/>
            <w:tcMar>
              <w:top w:w="10" w:type="dxa"/>
              <w:left w:w="10" w:type="dxa"/>
              <w:right w:w="10" w:type="dxa"/>
            </w:tcMar>
            <w:vAlign w:val="center"/>
          </w:tcPr>
          <w:p w14:paraId="27F74DF6">
            <w:pPr>
              <w:spacing w:before="60" w:after="60"/>
              <w:rPr>
                <w:sz w:val="18"/>
                <w:szCs w:val="18"/>
              </w:rPr>
            </w:pPr>
          </w:p>
        </w:tc>
      </w:tr>
      <w:tr w14:paraId="16A36A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768" w:type="dxa"/>
            <w:tcBorders>
              <w:tl2br w:val="nil"/>
              <w:tr2bl w:val="nil"/>
            </w:tcBorders>
            <w:shd w:val="clear" w:color="auto" w:fill="auto"/>
            <w:tcMar>
              <w:top w:w="10" w:type="dxa"/>
              <w:left w:w="10" w:type="dxa"/>
              <w:right w:w="10" w:type="dxa"/>
            </w:tcMar>
            <w:vAlign w:val="center"/>
          </w:tcPr>
          <w:p w14:paraId="418CDE61">
            <w:pPr>
              <w:widowControl/>
              <w:spacing w:before="60" w:after="60"/>
              <w:jc w:val="center"/>
              <w:textAlignment w:val="center"/>
              <w:rPr>
                <w:kern w:val="0"/>
                <w:sz w:val="18"/>
                <w:szCs w:val="18"/>
              </w:rPr>
            </w:pPr>
            <w:r>
              <w:rPr>
                <w:rFonts w:hint="eastAsia"/>
                <w:sz w:val="18"/>
                <w:szCs w:val="18"/>
              </w:rPr>
              <w:t>1</w:t>
            </w:r>
            <w:r>
              <w:rPr>
                <w:sz w:val="18"/>
                <w:szCs w:val="18"/>
              </w:rPr>
              <w:t>.4</w:t>
            </w:r>
          </w:p>
        </w:tc>
        <w:tc>
          <w:tcPr>
            <w:tcW w:w="1210" w:type="dxa"/>
            <w:tcBorders>
              <w:tl2br w:val="nil"/>
              <w:tr2bl w:val="nil"/>
            </w:tcBorders>
            <w:shd w:val="clear" w:color="auto" w:fill="auto"/>
            <w:tcMar>
              <w:top w:w="10" w:type="dxa"/>
              <w:left w:w="10" w:type="dxa"/>
              <w:right w:w="10" w:type="dxa"/>
            </w:tcMar>
            <w:vAlign w:val="center"/>
          </w:tcPr>
          <w:p w14:paraId="543C0C39">
            <w:pPr>
              <w:widowControl/>
              <w:spacing w:before="60" w:after="60"/>
              <w:jc w:val="center"/>
              <w:textAlignment w:val="center"/>
              <w:rPr>
                <w:kern w:val="0"/>
                <w:sz w:val="18"/>
                <w:szCs w:val="18"/>
              </w:rPr>
            </w:pPr>
            <w:r>
              <w:rPr>
                <w:rFonts w:hint="eastAsia"/>
                <w:sz w:val="18"/>
                <w:szCs w:val="18"/>
              </w:rPr>
              <w:t>固定式图像采集终端（高清固定摄像头）</w:t>
            </w:r>
          </w:p>
        </w:tc>
        <w:tc>
          <w:tcPr>
            <w:tcW w:w="700" w:type="dxa"/>
            <w:tcBorders>
              <w:tl2br w:val="nil"/>
              <w:tr2bl w:val="nil"/>
            </w:tcBorders>
            <w:shd w:val="clear" w:color="auto" w:fill="auto"/>
            <w:tcMar>
              <w:top w:w="10" w:type="dxa"/>
              <w:left w:w="10" w:type="dxa"/>
              <w:right w:w="10" w:type="dxa"/>
            </w:tcMar>
            <w:vAlign w:val="center"/>
          </w:tcPr>
          <w:p w14:paraId="1EADD082">
            <w:pPr>
              <w:widowControl/>
              <w:spacing w:before="60" w:after="60"/>
              <w:jc w:val="center"/>
              <w:textAlignment w:val="center"/>
              <w:rPr>
                <w:kern w:val="0"/>
                <w:sz w:val="18"/>
                <w:szCs w:val="18"/>
              </w:rPr>
            </w:pPr>
          </w:p>
        </w:tc>
        <w:tc>
          <w:tcPr>
            <w:tcW w:w="2220" w:type="dxa"/>
            <w:tcBorders>
              <w:tl2br w:val="nil"/>
              <w:tr2bl w:val="nil"/>
            </w:tcBorders>
            <w:shd w:val="clear" w:color="auto" w:fill="auto"/>
            <w:tcMar>
              <w:top w:w="10" w:type="dxa"/>
              <w:left w:w="10" w:type="dxa"/>
              <w:right w:w="10" w:type="dxa"/>
            </w:tcMar>
            <w:vAlign w:val="center"/>
          </w:tcPr>
          <w:p w14:paraId="0D24D0FD">
            <w:pPr>
              <w:widowControl/>
              <w:spacing w:before="60" w:after="60"/>
              <w:jc w:val="left"/>
              <w:textAlignment w:val="center"/>
              <w:rPr>
                <w:sz w:val="18"/>
                <w:szCs w:val="18"/>
              </w:rPr>
            </w:pPr>
            <w:r>
              <w:rPr>
                <w:rFonts w:hint="eastAsia"/>
                <w:sz w:val="18"/>
                <w:szCs w:val="18"/>
              </w:rPr>
              <w:t>具有200万像素 1/2.7"  CMOS传感器。</w:t>
            </w:r>
          </w:p>
          <w:p w14:paraId="58723181">
            <w:pPr>
              <w:widowControl/>
              <w:spacing w:before="60" w:after="60"/>
              <w:jc w:val="left"/>
              <w:textAlignment w:val="center"/>
              <w:rPr>
                <w:sz w:val="18"/>
                <w:szCs w:val="18"/>
              </w:rPr>
            </w:pPr>
            <w:r>
              <w:rPr>
                <w:rFonts w:hint="eastAsia"/>
                <w:sz w:val="18"/>
                <w:szCs w:val="18"/>
              </w:rPr>
              <w:t>焦距范围需满足该场景下的功能要求。</w:t>
            </w:r>
          </w:p>
          <w:p w14:paraId="2FE21986">
            <w:pPr>
              <w:widowControl/>
              <w:spacing w:before="60" w:after="60"/>
              <w:jc w:val="left"/>
              <w:textAlignment w:val="center"/>
              <w:rPr>
                <w:sz w:val="18"/>
                <w:szCs w:val="18"/>
              </w:rPr>
            </w:pPr>
            <w:r>
              <w:rPr>
                <w:rFonts w:hint="eastAsia"/>
                <w:sz w:val="18"/>
                <w:szCs w:val="18"/>
              </w:rPr>
              <w:t>支持南网PG协议和国标GB/T 28181协议。</w:t>
            </w:r>
          </w:p>
          <w:p w14:paraId="0FFA0698">
            <w:pPr>
              <w:widowControl/>
              <w:spacing w:before="60" w:after="60"/>
              <w:jc w:val="left"/>
              <w:textAlignment w:val="center"/>
              <w:rPr>
                <w:sz w:val="18"/>
                <w:szCs w:val="18"/>
              </w:rPr>
            </w:pPr>
            <w:r>
              <w:rPr>
                <w:rFonts w:hint="eastAsia"/>
                <w:sz w:val="18"/>
                <w:szCs w:val="18"/>
              </w:rPr>
              <w:t>支持三码流技术，支持主码流1920x1080@30fps、第三码流1920x1080@25fps和子码流704x576@25fps。</w:t>
            </w:r>
          </w:p>
          <w:p w14:paraId="05DBB1B1">
            <w:pPr>
              <w:widowControl/>
              <w:spacing w:before="60" w:after="60"/>
              <w:jc w:val="left"/>
              <w:textAlignment w:val="center"/>
              <w:rPr>
                <w:sz w:val="18"/>
                <w:szCs w:val="18"/>
              </w:rPr>
            </w:pPr>
            <w:r>
              <w:rPr>
                <w:rFonts w:hint="eastAsia"/>
                <w:sz w:val="18"/>
                <w:szCs w:val="18"/>
              </w:rPr>
              <w:t>在1920x1080@25fps下，清晰度不小于1100TVL。</w:t>
            </w:r>
          </w:p>
          <w:p w14:paraId="583C76D1">
            <w:pPr>
              <w:widowControl/>
              <w:spacing w:before="60" w:after="60"/>
              <w:jc w:val="left"/>
              <w:textAlignment w:val="center"/>
              <w:rPr>
                <w:sz w:val="18"/>
                <w:szCs w:val="18"/>
              </w:rPr>
            </w:pPr>
            <w:r>
              <w:rPr>
                <w:rFonts w:hint="eastAsia"/>
                <w:sz w:val="18"/>
                <w:szCs w:val="18"/>
              </w:rPr>
              <w:t>IP67防尘防水等级。</w:t>
            </w:r>
          </w:p>
          <w:p w14:paraId="7DBE2F68">
            <w:pPr>
              <w:widowControl/>
              <w:spacing w:before="60" w:after="60"/>
              <w:jc w:val="left"/>
              <w:textAlignment w:val="center"/>
              <w:rPr>
                <w:rFonts w:hint="eastAsia"/>
                <w:sz w:val="18"/>
                <w:szCs w:val="18"/>
              </w:rPr>
            </w:pPr>
            <w:r>
              <w:rPr>
                <w:rFonts w:hint="eastAsia"/>
                <w:sz w:val="18"/>
                <w:szCs w:val="18"/>
              </w:rPr>
              <w:t>用于阀厅区域的设备必须满足在强电磁场干扰环境下使用的要求。产品需通过GB/T17626中严酷等级为4级的电磁兼容性检验：静电放电抗扰度试验、射频电磁场辐射抗扰度试验、电快速瞬变脉冲群抗扰度试验、浪涌（冲击）抗扰度试验、射频场感应的传导骚扰抗扰度、工频磁场的抗扰度试验。</w:t>
            </w:r>
          </w:p>
        </w:tc>
        <w:tc>
          <w:tcPr>
            <w:tcW w:w="700" w:type="dxa"/>
            <w:tcBorders>
              <w:tl2br w:val="nil"/>
              <w:tr2bl w:val="nil"/>
            </w:tcBorders>
            <w:shd w:val="clear" w:color="auto" w:fill="auto"/>
            <w:tcMar>
              <w:top w:w="10" w:type="dxa"/>
              <w:left w:w="10" w:type="dxa"/>
              <w:right w:w="10" w:type="dxa"/>
            </w:tcMar>
            <w:vAlign w:val="center"/>
          </w:tcPr>
          <w:p w14:paraId="042D9A4D">
            <w:pPr>
              <w:widowControl/>
              <w:spacing w:before="60" w:after="60"/>
              <w:jc w:val="center"/>
              <w:textAlignment w:val="center"/>
              <w:rPr>
                <w:kern w:val="0"/>
                <w:sz w:val="18"/>
                <w:szCs w:val="18"/>
              </w:rPr>
            </w:pPr>
            <w:r>
              <w:rPr>
                <w:rFonts w:hint="eastAsia"/>
                <w:sz w:val="18"/>
                <w:szCs w:val="18"/>
              </w:rPr>
              <w:t>63</w:t>
            </w:r>
          </w:p>
        </w:tc>
        <w:tc>
          <w:tcPr>
            <w:tcW w:w="1920" w:type="dxa"/>
            <w:tcBorders>
              <w:tl2br w:val="nil"/>
              <w:tr2bl w:val="nil"/>
            </w:tcBorders>
            <w:shd w:val="clear" w:color="auto" w:fill="auto"/>
            <w:noWrap/>
            <w:tcMar>
              <w:top w:w="10" w:type="dxa"/>
              <w:left w:w="10" w:type="dxa"/>
              <w:right w:w="10" w:type="dxa"/>
            </w:tcMar>
            <w:vAlign w:val="center"/>
          </w:tcPr>
          <w:p w14:paraId="648536A4">
            <w:pPr>
              <w:spacing w:before="60" w:after="60"/>
              <w:rPr>
                <w:sz w:val="18"/>
                <w:szCs w:val="18"/>
              </w:rPr>
            </w:pPr>
          </w:p>
        </w:tc>
        <w:tc>
          <w:tcPr>
            <w:tcW w:w="780" w:type="dxa"/>
            <w:tcBorders>
              <w:tl2br w:val="nil"/>
              <w:tr2bl w:val="nil"/>
            </w:tcBorders>
            <w:shd w:val="clear" w:color="auto" w:fill="auto"/>
            <w:noWrap/>
            <w:tcMar>
              <w:top w:w="10" w:type="dxa"/>
              <w:left w:w="10" w:type="dxa"/>
              <w:right w:w="10" w:type="dxa"/>
            </w:tcMar>
            <w:vAlign w:val="center"/>
          </w:tcPr>
          <w:p w14:paraId="658E1408">
            <w:pPr>
              <w:spacing w:before="60" w:after="60"/>
              <w:rPr>
                <w:sz w:val="18"/>
                <w:szCs w:val="18"/>
              </w:rPr>
            </w:pPr>
          </w:p>
        </w:tc>
      </w:tr>
      <w:tr w14:paraId="71E243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768" w:type="dxa"/>
            <w:tcBorders>
              <w:tl2br w:val="nil"/>
              <w:tr2bl w:val="nil"/>
            </w:tcBorders>
            <w:shd w:val="clear" w:color="auto" w:fill="auto"/>
            <w:tcMar>
              <w:top w:w="10" w:type="dxa"/>
              <w:left w:w="10" w:type="dxa"/>
              <w:right w:w="10" w:type="dxa"/>
            </w:tcMar>
            <w:vAlign w:val="center"/>
          </w:tcPr>
          <w:p w14:paraId="16401451">
            <w:pPr>
              <w:widowControl/>
              <w:spacing w:before="60" w:after="60"/>
              <w:jc w:val="center"/>
              <w:textAlignment w:val="center"/>
              <w:rPr>
                <w:kern w:val="0"/>
                <w:sz w:val="18"/>
                <w:szCs w:val="18"/>
              </w:rPr>
            </w:pPr>
            <w:r>
              <w:rPr>
                <w:rFonts w:hint="eastAsia"/>
                <w:sz w:val="18"/>
                <w:szCs w:val="18"/>
              </w:rPr>
              <w:t>1</w:t>
            </w:r>
            <w:r>
              <w:rPr>
                <w:sz w:val="18"/>
                <w:szCs w:val="18"/>
              </w:rPr>
              <w:t>.5</w:t>
            </w:r>
          </w:p>
        </w:tc>
        <w:tc>
          <w:tcPr>
            <w:tcW w:w="1210" w:type="dxa"/>
            <w:tcBorders>
              <w:tl2br w:val="nil"/>
              <w:tr2bl w:val="nil"/>
            </w:tcBorders>
            <w:shd w:val="clear" w:color="auto" w:fill="auto"/>
            <w:tcMar>
              <w:top w:w="10" w:type="dxa"/>
              <w:left w:w="10" w:type="dxa"/>
              <w:right w:w="10" w:type="dxa"/>
            </w:tcMar>
            <w:vAlign w:val="center"/>
          </w:tcPr>
          <w:p w14:paraId="33581402">
            <w:pPr>
              <w:widowControl/>
              <w:spacing w:before="60" w:after="60"/>
              <w:jc w:val="center"/>
              <w:textAlignment w:val="center"/>
              <w:rPr>
                <w:kern w:val="0"/>
                <w:sz w:val="18"/>
                <w:szCs w:val="18"/>
              </w:rPr>
            </w:pPr>
            <w:r>
              <w:rPr>
                <w:rFonts w:hint="eastAsia"/>
                <w:sz w:val="18"/>
                <w:szCs w:val="18"/>
              </w:rPr>
              <w:t>双光谱红外热成像球机</w:t>
            </w:r>
          </w:p>
        </w:tc>
        <w:tc>
          <w:tcPr>
            <w:tcW w:w="700" w:type="dxa"/>
            <w:tcBorders>
              <w:tl2br w:val="nil"/>
              <w:tr2bl w:val="nil"/>
            </w:tcBorders>
            <w:shd w:val="clear" w:color="auto" w:fill="auto"/>
            <w:tcMar>
              <w:top w:w="10" w:type="dxa"/>
              <w:left w:w="10" w:type="dxa"/>
              <w:right w:w="10" w:type="dxa"/>
            </w:tcMar>
            <w:vAlign w:val="center"/>
          </w:tcPr>
          <w:p w14:paraId="55046D7D">
            <w:pPr>
              <w:widowControl/>
              <w:spacing w:before="60" w:after="60"/>
              <w:jc w:val="center"/>
              <w:textAlignment w:val="center"/>
              <w:rPr>
                <w:kern w:val="0"/>
                <w:sz w:val="18"/>
                <w:szCs w:val="18"/>
              </w:rPr>
            </w:pPr>
            <w:r>
              <w:rPr>
                <w:kern w:val="0"/>
                <w:sz w:val="18"/>
                <w:szCs w:val="18"/>
              </w:rPr>
              <w:t>台</w:t>
            </w:r>
          </w:p>
        </w:tc>
        <w:tc>
          <w:tcPr>
            <w:tcW w:w="2220" w:type="dxa"/>
            <w:tcBorders>
              <w:tl2br w:val="nil"/>
              <w:tr2bl w:val="nil"/>
            </w:tcBorders>
            <w:shd w:val="clear" w:color="auto" w:fill="auto"/>
            <w:tcMar>
              <w:top w:w="10" w:type="dxa"/>
              <w:left w:w="10" w:type="dxa"/>
              <w:right w:w="10" w:type="dxa"/>
            </w:tcMar>
            <w:vAlign w:val="center"/>
          </w:tcPr>
          <w:p w14:paraId="25E9294E">
            <w:pPr>
              <w:pStyle w:val="76"/>
              <w:spacing w:line="276" w:lineRule="auto"/>
              <w:jc w:val="left"/>
              <w:rPr>
                <w:rFonts w:eastAsiaTheme="minorEastAsia"/>
                <w:sz w:val="18"/>
                <w:szCs w:val="18"/>
              </w:rPr>
            </w:pPr>
            <w:r>
              <w:rPr>
                <w:rFonts w:hint="eastAsia" w:eastAsiaTheme="minorEastAsia"/>
                <w:sz w:val="18"/>
                <w:szCs w:val="18"/>
              </w:rPr>
              <w:t>红外热成像：</w:t>
            </w:r>
          </w:p>
          <w:p w14:paraId="7CE26774">
            <w:pPr>
              <w:pStyle w:val="76"/>
              <w:spacing w:line="276" w:lineRule="auto"/>
              <w:jc w:val="left"/>
              <w:rPr>
                <w:rFonts w:eastAsiaTheme="minorEastAsia"/>
                <w:sz w:val="18"/>
                <w:szCs w:val="18"/>
              </w:rPr>
            </w:pPr>
            <w:r>
              <w:rPr>
                <w:rFonts w:hint="eastAsia" w:eastAsiaTheme="minorEastAsia"/>
                <w:sz w:val="18"/>
                <w:szCs w:val="18"/>
              </w:rPr>
              <w:t>最大图像尺寸：640×512</w:t>
            </w:r>
          </w:p>
          <w:p w14:paraId="14A7D058">
            <w:pPr>
              <w:pStyle w:val="76"/>
              <w:spacing w:line="276" w:lineRule="auto"/>
              <w:jc w:val="left"/>
              <w:rPr>
                <w:rFonts w:eastAsiaTheme="minorEastAsia"/>
                <w:sz w:val="18"/>
                <w:szCs w:val="18"/>
              </w:rPr>
            </w:pPr>
            <w:r>
              <w:rPr>
                <w:rFonts w:hint="eastAsia" w:eastAsiaTheme="minorEastAsia"/>
                <w:sz w:val="18"/>
                <w:szCs w:val="18"/>
              </w:rPr>
              <w:t>焦距范围需满足该场景下的功能要求。</w:t>
            </w:r>
          </w:p>
          <w:p w14:paraId="04F0758C">
            <w:pPr>
              <w:pStyle w:val="76"/>
              <w:spacing w:line="276" w:lineRule="auto"/>
              <w:jc w:val="left"/>
              <w:rPr>
                <w:rFonts w:eastAsiaTheme="minorEastAsia"/>
                <w:sz w:val="18"/>
                <w:szCs w:val="18"/>
              </w:rPr>
            </w:pPr>
            <w:r>
              <w:rPr>
                <w:rFonts w:hint="eastAsia" w:eastAsiaTheme="minorEastAsia"/>
                <w:sz w:val="18"/>
                <w:szCs w:val="18"/>
              </w:rPr>
              <w:t>测温范围：-20℃-150℃，0℃-550℃</w:t>
            </w:r>
          </w:p>
          <w:p w14:paraId="17DA2A78">
            <w:pPr>
              <w:pStyle w:val="76"/>
              <w:spacing w:line="276" w:lineRule="auto"/>
              <w:jc w:val="left"/>
              <w:rPr>
                <w:rFonts w:eastAsiaTheme="minorEastAsia"/>
                <w:sz w:val="18"/>
                <w:szCs w:val="18"/>
              </w:rPr>
            </w:pPr>
            <w:r>
              <w:rPr>
                <w:rFonts w:hint="eastAsia" w:eastAsiaTheme="minorEastAsia"/>
                <w:sz w:val="18"/>
                <w:szCs w:val="18"/>
              </w:rPr>
              <w:t>测温精度：±2度（或者量程的±2%）</w:t>
            </w:r>
          </w:p>
          <w:p w14:paraId="279BF052">
            <w:pPr>
              <w:pStyle w:val="76"/>
              <w:spacing w:line="276" w:lineRule="auto"/>
              <w:jc w:val="left"/>
              <w:rPr>
                <w:rFonts w:eastAsiaTheme="minorEastAsia"/>
                <w:sz w:val="18"/>
                <w:szCs w:val="18"/>
              </w:rPr>
            </w:pPr>
            <w:r>
              <w:rPr>
                <w:rFonts w:hint="eastAsia" w:eastAsiaTheme="minorEastAsia"/>
                <w:sz w:val="18"/>
                <w:szCs w:val="18"/>
              </w:rPr>
              <w:t>可见光：</w:t>
            </w:r>
          </w:p>
          <w:p w14:paraId="245F5282">
            <w:pPr>
              <w:pStyle w:val="76"/>
              <w:spacing w:line="276" w:lineRule="auto"/>
              <w:jc w:val="left"/>
              <w:rPr>
                <w:rFonts w:eastAsiaTheme="minorEastAsia"/>
                <w:sz w:val="18"/>
                <w:szCs w:val="18"/>
              </w:rPr>
            </w:pPr>
            <w:r>
              <w:rPr>
                <w:rFonts w:hint="eastAsia" w:eastAsiaTheme="minorEastAsia"/>
                <w:sz w:val="18"/>
                <w:szCs w:val="18"/>
              </w:rPr>
              <w:t>200万像素</w:t>
            </w:r>
          </w:p>
          <w:p w14:paraId="77ECFB19">
            <w:pPr>
              <w:pStyle w:val="76"/>
              <w:spacing w:line="276" w:lineRule="auto"/>
              <w:jc w:val="left"/>
              <w:rPr>
                <w:rFonts w:eastAsiaTheme="minorEastAsia"/>
                <w:sz w:val="18"/>
                <w:szCs w:val="18"/>
              </w:rPr>
            </w:pPr>
            <w:r>
              <w:rPr>
                <w:rFonts w:hint="eastAsia" w:eastAsiaTheme="minorEastAsia"/>
                <w:sz w:val="18"/>
                <w:szCs w:val="18"/>
              </w:rPr>
              <w:t>焦距范围需满足该场景下的功能要求。</w:t>
            </w:r>
          </w:p>
          <w:p w14:paraId="5969DEEC">
            <w:pPr>
              <w:pStyle w:val="76"/>
              <w:spacing w:line="276" w:lineRule="auto"/>
              <w:jc w:val="left"/>
              <w:rPr>
                <w:rFonts w:eastAsiaTheme="minorEastAsia"/>
                <w:sz w:val="18"/>
                <w:szCs w:val="18"/>
              </w:rPr>
            </w:pPr>
            <w:r>
              <w:rPr>
                <w:rFonts w:hint="eastAsia" w:eastAsiaTheme="minorEastAsia"/>
                <w:sz w:val="18"/>
                <w:szCs w:val="18"/>
              </w:rPr>
              <w:t>支持南网PG协议和国标GB/T 28181协议。</w:t>
            </w:r>
          </w:p>
          <w:p w14:paraId="26067D59">
            <w:pPr>
              <w:pStyle w:val="76"/>
              <w:spacing w:line="276" w:lineRule="auto"/>
              <w:jc w:val="left"/>
              <w:rPr>
                <w:rFonts w:eastAsiaTheme="minorEastAsia"/>
                <w:sz w:val="18"/>
                <w:szCs w:val="18"/>
              </w:rPr>
            </w:pPr>
            <w:r>
              <w:rPr>
                <w:rFonts w:hint="eastAsia" w:eastAsiaTheme="minorEastAsia"/>
                <w:sz w:val="18"/>
                <w:szCs w:val="18"/>
              </w:rPr>
              <w:t>防护等级：IP67</w:t>
            </w:r>
          </w:p>
        </w:tc>
        <w:tc>
          <w:tcPr>
            <w:tcW w:w="700" w:type="dxa"/>
            <w:tcBorders>
              <w:tl2br w:val="nil"/>
              <w:tr2bl w:val="nil"/>
            </w:tcBorders>
            <w:shd w:val="clear" w:color="auto" w:fill="auto"/>
            <w:tcMar>
              <w:top w:w="10" w:type="dxa"/>
              <w:left w:w="10" w:type="dxa"/>
              <w:right w:w="10" w:type="dxa"/>
            </w:tcMar>
            <w:vAlign w:val="center"/>
          </w:tcPr>
          <w:p w14:paraId="6203853D">
            <w:pPr>
              <w:widowControl/>
              <w:spacing w:before="60" w:after="60"/>
              <w:jc w:val="center"/>
              <w:textAlignment w:val="center"/>
              <w:rPr>
                <w:kern w:val="0"/>
                <w:sz w:val="18"/>
                <w:szCs w:val="18"/>
              </w:rPr>
            </w:pPr>
            <w:r>
              <w:rPr>
                <w:rFonts w:hint="eastAsia"/>
                <w:sz w:val="18"/>
                <w:szCs w:val="18"/>
              </w:rPr>
              <w:t>44</w:t>
            </w:r>
          </w:p>
        </w:tc>
        <w:tc>
          <w:tcPr>
            <w:tcW w:w="1920" w:type="dxa"/>
            <w:tcBorders>
              <w:tl2br w:val="nil"/>
              <w:tr2bl w:val="nil"/>
            </w:tcBorders>
            <w:shd w:val="clear" w:color="auto" w:fill="auto"/>
            <w:noWrap/>
            <w:tcMar>
              <w:top w:w="10" w:type="dxa"/>
              <w:left w:w="10" w:type="dxa"/>
              <w:right w:w="10" w:type="dxa"/>
            </w:tcMar>
            <w:vAlign w:val="center"/>
          </w:tcPr>
          <w:p w14:paraId="3C1B610F">
            <w:pPr>
              <w:spacing w:before="60" w:after="60"/>
              <w:rPr>
                <w:sz w:val="18"/>
                <w:szCs w:val="18"/>
              </w:rPr>
            </w:pPr>
          </w:p>
        </w:tc>
        <w:tc>
          <w:tcPr>
            <w:tcW w:w="780" w:type="dxa"/>
            <w:tcBorders>
              <w:tl2br w:val="nil"/>
              <w:tr2bl w:val="nil"/>
            </w:tcBorders>
            <w:shd w:val="clear" w:color="auto" w:fill="auto"/>
            <w:noWrap/>
            <w:tcMar>
              <w:top w:w="10" w:type="dxa"/>
              <w:left w:w="10" w:type="dxa"/>
              <w:right w:w="10" w:type="dxa"/>
            </w:tcMar>
            <w:vAlign w:val="center"/>
          </w:tcPr>
          <w:p w14:paraId="01674582">
            <w:pPr>
              <w:spacing w:before="60" w:after="60"/>
              <w:rPr>
                <w:sz w:val="18"/>
                <w:szCs w:val="18"/>
              </w:rPr>
            </w:pPr>
          </w:p>
        </w:tc>
      </w:tr>
      <w:tr w14:paraId="7A7827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768" w:type="dxa"/>
            <w:tcBorders>
              <w:tl2br w:val="nil"/>
              <w:tr2bl w:val="nil"/>
            </w:tcBorders>
            <w:shd w:val="clear" w:color="auto" w:fill="auto"/>
            <w:tcMar>
              <w:top w:w="10" w:type="dxa"/>
              <w:left w:w="10" w:type="dxa"/>
              <w:right w:w="10" w:type="dxa"/>
            </w:tcMar>
            <w:vAlign w:val="center"/>
          </w:tcPr>
          <w:p w14:paraId="10454779">
            <w:pPr>
              <w:widowControl/>
              <w:spacing w:before="60" w:after="60"/>
              <w:jc w:val="center"/>
              <w:textAlignment w:val="center"/>
              <w:rPr>
                <w:kern w:val="0"/>
                <w:sz w:val="18"/>
                <w:szCs w:val="18"/>
              </w:rPr>
            </w:pPr>
            <w:r>
              <w:rPr>
                <w:rFonts w:hint="eastAsia"/>
                <w:sz w:val="18"/>
                <w:szCs w:val="18"/>
              </w:rPr>
              <w:t>1</w:t>
            </w:r>
            <w:r>
              <w:rPr>
                <w:sz w:val="18"/>
                <w:szCs w:val="18"/>
              </w:rPr>
              <w:t>.6</w:t>
            </w:r>
          </w:p>
        </w:tc>
        <w:tc>
          <w:tcPr>
            <w:tcW w:w="1210" w:type="dxa"/>
            <w:tcBorders>
              <w:tl2br w:val="nil"/>
              <w:tr2bl w:val="nil"/>
            </w:tcBorders>
            <w:shd w:val="clear" w:color="auto" w:fill="auto"/>
            <w:tcMar>
              <w:top w:w="10" w:type="dxa"/>
              <w:left w:w="10" w:type="dxa"/>
              <w:right w:w="10" w:type="dxa"/>
            </w:tcMar>
            <w:vAlign w:val="center"/>
          </w:tcPr>
          <w:p w14:paraId="4CD3993D">
            <w:pPr>
              <w:widowControl/>
              <w:spacing w:before="60" w:after="60"/>
              <w:jc w:val="center"/>
              <w:textAlignment w:val="center"/>
              <w:rPr>
                <w:kern w:val="0"/>
                <w:sz w:val="18"/>
                <w:szCs w:val="18"/>
              </w:rPr>
            </w:pPr>
            <w:r>
              <w:rPr>
                <w:rFonts w:hint="eastAsia"/>
                <w:sz w:val="18"/>
                <w:szCs w:val="18"/>
              </w:rPr>
              <w:t>红外网络球机</w:t>
            </w:r>
          </w:p>
        </w:tc>
        <w:tc>
          <w:tcPr>
            <w:tcW w:w="700" w:type="dxa"/>
            <w:tcBorders>
              <w:tl2br w:val="nil"/>
              <w:tr2bl w:val="nil"/>
            </w:tcBorders>
            <w:shd w:val="clear" w:color="auto" w:fill="auto"/>
            <w:tcMar>
              <w:top w:w="10" w:type="dxa"/>
              <w:left w:w="10" w:type="dxa"/>
              <w:right w:w="10" w:type="dxa"/>
            </w:tcMar>
            <w:vAlign w:val="center"/>
          </w:tcPr>
          <w:p w14:paraId="6CAAA069">
            <w:pPr>
              <w:widowControl/>
              <w:spacing w:before="60" w:after="60"/>
              <w:jc w:val="center"/>
              <w:textAlignment w:val="center"/>
              <w:rPr>
                <w:kern w:val="0"/>
                <w:sz w:val="18"/>
                <w:szCs w:val="18"/>
              </w:rPr>
            </w:pPr>
            <w:r>
              <w:rPr>
                <w:kern w:val="0"/>
                <w:sz w:val="18"/>
                <w:szCs w:val="18"/>
              </w:rPr>
              <w:t>台</w:t>
            </w:r>
          </w:p>
        </w:tc>
        <w:tc>
          <w:tcPr>
            <w:tcW w:w="2220" w:type="dxa"/>
            <w:tcBorders>
              <w:tl2br w:val="nil"/>
              <w:tr2bl w:val="nil"/>
            </w:tcBorders>
            <w:shd w:val="clear" w:color="auto" w:fill="auto"/>
            <w:tcMar>
              <w:top w:w="10" w:type="dxa"/>
              <w:left w:w="10" w:type="dxa"/>
              <w:right w:w="10" w:type="dxa"/>
            </w:tcMar>
            <w:vAlign w:val="center"/>
          </w:tcPr>
          <w:p w14:paraId="68D8C185">
            <w:pPr>
              <w:widowControl/>
              <w:jc w:val="left"/>
              <w:textAlignment w:val="center"/>
              <w:rPr>
                <w:sz w:val="18"/>
                <w:szCs w:val="18"/>
              </w:rPr>
            </w:pPr>
            <w:r>
              <w:rPr>
                <w:rFonts w:hint="eastAsia"/>
                <w:sz w:val="18"/>
                <w:szCs w:val="18"/>
              </w:rPr>
              <w:t>有效像素：≥1920×1080光学变焦：≥30倍（室外型），≥20倍（室内型）；</w:t>
            </w:r>
          </w:p>
          <w:p w14:paraId="5E850260">
            <w:pPr>
              <w:widowControl/>
              <w:jc w:val="left"/>
              <w:textAlignment w:val="center"/>
              <w:rPr>
                <w:sz w:val="18"/>
                <w:szCs w:val="18"/>
              </w:rPr>
            </w:pPr>
            <w:r>
              <w:rPr>
                <w:rFonts w:hint="eastAsia"/>
                <w:sz w:val="18"/>
                <w:szCs w:val="18"/>
              </w:rPr>
              <w:t>数字变焦≥16倍（室外型），数字变焦≥12倍（室内型）；</w:t>
            </w:r>
          </w:p>
          <w:p w14:paraId="2FB90EC4">
            <w:pPr>
              <w:widowControl/>
              <w:jc w:val="left"/>
              <w:textAlignment w:val="center"/>
              <w:rPr>
                <w:sz w:val="18"/>
                <w:szCs w:val="18"/>
              </w:rPr>
            </w:pPr>
            <w:r>
              <w:rPr>
                <w:rFonts w:hint="eastAsia"/>
                <w:sz w:val="18"/>
                <w:szCs w:val="18"/>
              </w:rPr>
              <w:t>最低照度：彩色0.005Lux@（50 IRE@F1.6)，黑白0.0005Lux（50 IRE@F1.6)；</w:t>
            </w:r>
          </w:p>
          <w:p w14:paraId="697852A3">
            <w:pPr>
              <w:widowControl/>
              <w:jc w:val="left"/>
              <w:textAlignment w:val="center"/>
              <w:rPr>
                <w:sz w:val="18"/>
                <w:szCs w:val="18"/>
              </w:rPr>
            </w:pPr>
            <w:r>
              <w:rPr>
                <w:rFonts w:hint="eastAsia"/>
                <w:sz w:val="18"/>
                <w:szCs w:val="18"/>
              </w:rPr>
              <w:t>信噪比：≥50dB；</w:t>
            </w:r>
          </w:p>
          <w:p w14:paraId="48072476">
            <w:pPr>
              <w:widowControl/>
              <w:jc w:val="left"/>
              <w:textAlignment w:val="center"/>
              <w:rPr>
                <w:sz w:val="18"/>
                <w:szCs w:val="18"/>
              </w:rPr>
            </w:pPr>
            <w:r>
              <w:rPr>
                <w:rFonts w:hint="eastAsia"/>
                <w:sz w:val="18"/>
                <w:szCs w:val="18"/>
              </w:rPr>
              <w:t>红外补光距离：≥60m；</w:t>
            </w:r>
          </w:p>
          <w:p w14:paraId="550E9643">
            <w:pPr>
              <w:widowControl/>
              <w:jc w:val="left"/>
              <w:textAlignment w:val="center"/>
              <w:rPr>
                <w:sz w:val="18"/>
                <w:szCs w:val="18"/>
              </w:rPr>
            </w:pPr>
            <w:r>
              <w:rPr>
                <w:rFonts w:hint="eastAsia"/>
                <w:sz w:val="18"/>
                <w:szCs w:val="18"/>
              </w:rPr>
              <w:t>旋转角度：水平360°连续，垂直-15°-90°(自动翻转)；</w:t>
            </w:r>
          </w:p>
          <w:p w14:paraId="2BA7688D">
            <w:pPr>
              <w:widowControl/>
              <w:jc w:val="left"/>
              <w:textAlignment w:val="center"/>
              <w:rPr>
                <w:sz w:val="18"/>
                <w:szCs w:val="18"/>
              </w:rPr>
            </w:pPr>
            <w:r>
              <w:rPr>
                <w:rFonts w:hint="eastAsia"/>
                <w:sz w:val="18"/>
                <w:szCs w:val="18"/>
              </w:rPr>
              <w:t>旋转速度：水平≥220°/s,垂直≥180°/s，速度5级以上可调；</w:t>
            </w:r>
          </w:p>
          <w:p w14:paraId="5062A564">
            <w:pPr>
              <w:widowControl/>
              <w:jc w:val="left"/>
              <w:textAlignment w:val="center"/>
              <w:rPr>
                <w:sz w:val="18"/>
                <w:szCs w:val="18"/>
              </w:rPr>
            </w:pPr>
            <w:r>
              <w:rPr>
                <w:rFonts w:hint="eastAsia"/>
                <w:sz w:val="18"/>
                <w:szCs w:val="18"/>
              </w:rPr>
              <w:t>预置位：≥128个；</w:t>
            </w:r>
          </w:p>
          <w:p w14:paraId="736FC1B2">
            <w:pPr>
              <w:widowControl/>
              <w:jc w:val="left"/>
              <w:textAlignment w:val="center"/>
              <w:rPr>
                <w:sz w:val="18"/>
                <w:szCs w:val="18"/>
              </w:rPr>
            </w:pPr>
            <w:r>
              <w:rPr>
                <w:rFonts w:hint="eastAsia"/>
                <w:sz w:val="18"/>
                <w:szCs w:val="18"/>
              </w:rPr>
              <w:t>隐私遮挡区域：≥4个；</w:t>
            </w:r>
          </w:p>
          <w:p w14:paraId="2166B7BC">
            <w:pPr>
              <w:widowControl/>
              <w:spacing w:before="60" w:after="60"/>
              <w:jc w:val="left"/>
              <w:textAlignment w:val="center"/>
              <w:rPr>
                <w:rFonts w:hint="eastAsia"/>
                <w:sz w:val="18"/>
                <w:szCs w:val="18"/>
              </w:rPr>
            </w:pPr>
            <w:r>
              <w:rPr>
                <w:rFonts w:hint="eastAsia"/>
                <w:sz w:val="18"/>
                <w:szCs w:val="18"/>
              </w:rPr>
              <w:t>动态侦测：开/关可选，≥64个可设置区域。</w:t>
            </w:r>
          </w:p>
        </w:tc>
        <w:tc>
          <w:tcPr>
            <w:tcW w:w="700" w:type="dxa"/>
            <w:tcBorders>
              <w:tl2br w:val="nil"/>
              <w:tr2bl w:val="nil"/>
            </w:tcBorders>
            <w:shd w:val="clear" w:color="auto" w:fill="auto"/>
            <w:tcMar>
              <w:top w:w="10" w:type="dxa"/>
              <w:left w:w="10" w:type="dxa"/>
              <w:right w:w="10" w:type="dxa"/>
            </w:tcMar>
            <w:vAlign w:val="center"/>
          </w:tcPr>
          <w:p w14:paraId="7CA37AB0">
            <w:pPr>
              <w:widowControl/>
              <w:spacing w:before="60" w:after="60"/>
              <w:jc w:val="center"/>
              <w:textAlignment w:val="center"/>
              <w:rPr>
                <w:kern w:val="0"/>
                <w:sz w:val="18"/>
                <w:szCs w:val="18"/>
              </w:rPr>
            </w:pPr>
            <w:r>
              <w:rPr>
                <w:rFonts w:hint="eastAsia"/>
                <w:sz w:val="18"/>
                <w:szCs w:val="18"/>
              </w:rPr>
              <w:t>62</w:t>
            </w:r>
          </w:p>
        </w:tc>
        <w:tc>
          <w:tcPr>
            <w:tcW w:w="1920" w:type="dxa"/>
            <w:tcBorders>
              <w:tl2br w:val="nil"/>
              <w:tr2bl w:val="nil"/>
            </w:tcBorders>
            <w:shd w:val="clear" w:color="auto" w:fill="auto"/>
            <w:noWrap/>
            <w:tcMar>
              <w:top w:w="10" w:type="dxa"/>
              <w:left w:w="10" w:type="dxa"/>
              <w:right w:w="10" w:type="dxa"/>
            </w:tcMar>
            <w:vAlign w:val="center"/>
          </w:tcPr>
          <w:p w14:paraId="26A6B883">
            <w:pPr>
              <w:spacing w:before="60" w:after="60"/>
              <w:rPr>
                <w:sz w:val="18"/>
                <w:szCs w:val="18"/>
              </w:rPr>
            </w:pPr>
          </w:p>
        </w:tc>
        <w:tc>
          <w:tcPr>
            <w:tcW w:w="780" w:type="dxa"/>
            <w:tcBorders>
              <w:tl2br w:val="nil"/>
              <w:tr2bl w:val="nil"/>
            </w:tcBorders>
            <w:shd w:val="clear" w:color="auto" w:fill="auto"/>
            <w:noWrap/>
            <w:tcMar>
              <w:top w:w="10" w:type="dxa"/>
              <w:left w:w="10" w:type="dxa"/>
              <w:right w:w="10" w:type="dxa"/>
            </w:tcMar>
            <w:vAlign w:val="center"/>
          </w:tcPr>
          <w:p w14:paraId="650135C1">
            <w:pPr>
              <w:spacing w:before="60" w:after="60"/>
              <w:rPr>
                <w:sz w:val="18"/>
                <w:szCs w:val="18"/>
              </w:rPr>
            </w:pPr>
          </w:p>
        </w:tc>
      </w:tr>
      <w:tr w14:paraId="247595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768" w:type="dxa"/>
            <w:tcBorders>
              <w:tl2br w:val="nil"/>
              <w:tr2bl w:val="nil"/>
            </w:tcBorders>
            <w:shd w:val="clear" w:color="auto" w:fill="auto"/>
            <w:tcMar>
              <w:top w:w="10" w:type="dxa"/>
              <w:left w:w="10" w:type="dxa"/>
              <w:right w:w="10" w:type="dxa"/>
            </w:tcMar>
            <w:vAlign w:val="center"/>
          </w:tcPr>
          <w:p w14:paraId="64403B79">
            <w:pPr>
              <w:widowControl/>
              <w:spacing w:before="60" w:after="60"/>
              <w:jc w:val="center"/>
              <w:textAlignment w:val="center"/>
              <w:rPr>
                <w:rFonts w:hint="eastAsia"/>
                <w:sz w:val="18"/>
                <w:szCs w:val="18"/>
              </w:rPr>
            </w:pPr>
            <w:r>
              <w:rPr>
                <w:rFonts w:hint="eastAsia"/>
                <w:sz w:val="18"/>
                <w:szCs w:val="18"/>
              </w:rPr>
              <w:t>1</w:t>
            </w:r>
            <w:r>
              <w:rPr>
                <w:sz w:val="18"/>
                <w:szCs w:val="18"/>
              </w:rPr>
              <w:t>.7</w:t>
            </w:r>
          </w:p>
        </w:tc>
        <w:tc>
          <w:tcPr>
            <w:tcW w:w="1210" w:type="dxa"/>
            <w:tcBorders>
              <w:tl2br w:val="nil"/>
              <w:tr2bl w:val="nil"/>
            </w:tcBorders>
            <w:shd w:val="clear" w:color="auto" w:fill="auto"/>
            <w:tcMar>
              <w:top w:w="10" w:type="dxa"/>
              <w:left w:w="10" w:type="dxa"/>
              <w:right w:w="10" w:type="dxa"/>
            </w:tcMar>
            <w:vAlign w:val="center"/>
          </w:tcPr>
          <w:p w14:paraId="0F3684F3">
            <w:pPr>
              <w:widowControl/>
              <w:spacing w:before="60" w:after="60"/>
              <w:jc w:val="center"/>
              <w:textAlignment w:val="center"/>
              <w:rPr>
                <w:rFonts w:hint="eastAsia"/>
                <w:sz w:val="18"/>
                <w:szCs w:val="18"/>
              </w:rPr>
            </w:pPr>
            <w:r>
              <w:rPr>
                <w:rFonts w:hint="eastAsia"/>
                <w:sz w:val="18"/>
                <w:szCs w:val="18"/>
              </w:rPr>
              <w:t>视频配电箱</w:t>
            </w:r>
          </w:p>
        </w:tc>
        <w:tc>
          <w:tcPr>
            <w:tcW w:w="700" w:type="dxa"/>
            <w:tcBorders>
              <w:tl2br w:val="nil"/>
              <w:tr2bl w:val="nil"/>
            </w:tcBorders>
            <w:shd w:val="clear" w:color="auto" w:fill="auto"/>
            <w:tcMar>
              <w:top w:w="10" w:type="dxa"/>
              <w:left w:w="10" w:type="dxa"/>
              <w:right w:w="10" w:type="dxa"/>
            </w:tcMar>
            <w:vAlign w:val="center"/>
          </w:tcPr>
          <w:p w14:paraId="399718A6">
            <w:pPr>
              <w:widowControl/>
              <w:spacing w:before="60" w:after="60"/>
              <w:jc w:val="center"/>
              <w:textAlignment w:val="center"/>
              <w:rPr>
                <w:kern w:val="0"/>
                <w:sz w:val="18"/>
                <w:szCs w:val="18"/>
              </w:rPr>
            </w:pPr>
            <w:r>
              <w:rPr>
                <w:rFonts w:hint="eastAsia"/>
                <w:kern w:val="0"/>
                <w:sz w:val="18"/>
                <w:szCs w:val="18"/>
              </w:rPr>
              <w:t>套</w:t>
            </w:r>
          </w:p>
        </w:tc>
        <w:tc>
          <w:tcPr>
            <w:tcW w:w="2220" w:type="dxa"/>
            <w:tcBorders>
              <w:tl2br w:val="nil"/>
              <w:tr2bl w:val="nil"/>
            </w:tcBorders>
            <w:shd w:val="clear" w:color="auto" w:fill="auto"/>
            <w:tcMar>
              <w:top w:w="10" w:type="dxa"/>
              <w:left w:w="10" w:type="dxa"/>
              <w:right w:w="10" w:type="dxa"/>
            </w:tcMar>
            <w:vAlign w:val="center"/>
          </w:tcPr>
          <w:p w14:paraId="74995EE2">
            <w:pPr>
              <w:widowControl/>
              <w:jc w:val="left"/>
              <w:textAlignment w:val="center"/>
              <w:rPr>
                <w:rFonts w:hint="eastAsia"/>
                <w:sz w:val="18"/>
                <w:szCs w:val="18"/>
              </w:rPr>
            </w:pPr>
            <w:r>
              <w:rPr>
                <w:rFonts w:hint="eastAsia" w:eastAsiaTheme="minorEastAsia"/>
                <w:sz w:val="18"/>
                <w:szCs w:val="18"/>
              </w:rPr>
              <w:t>含配套摄像机配电箱，不锈钢材质，内含空开、接线端子、熔纤盒、电源防雷器、光纤跳线等。</w:t>
            </w:r>
          </w:p>
        </w:tc>
        <w:tc>
          <w:tcPr>
            <w:tcW w:w="700" w:type="dxa"/>
            <w:tcBorders>
              <w:tl2br w:val="nil"/>
              <w:tr2bl w:val="nil"/>
            </w:tcBorders>
            <w:shd w:val="clear" w:color="auto" w:fill="auto"/>
            <w:tcMar>
              <w:top w:w="10" w:type="dxa"/>
              <w:left w:w="10" w:type="dxa"/>
              <w:right w:w="10" w:type="dxa"/>
            </w:tcMar>
            <w:vAlign w:val="center"/>
          </w:tcPr>
          <w:p w14:paraId="3ADA085A">
            <w:pPr>
              <w:widowControl/>
              <w:spacing w:before="60" w:after="60"/>
              <w:jc w:val="center"/>
              <w:textAlignment w:val="center"/>
              <w:rPr>
                <w:rFonts w:hint="eastAsia"/>
                <w:sz w:val="18"/>
                <w:szCs w:val="18"/>
              </w:rPr>
            </w:pPr>
            <w:r>
              <w:rPr>
                <w:rFonts w:hint="eastAsia"/>
                <w:sz w:val="18"/>
                <w:szCs w:val="18"/>
              </w:rPr>
              <w:t>2</w:t>
            </w:r>
            <w:r>
              <w:rPr>
                <w:sz w:val="18"/>
                <w:szCs w:val="18"/>
              </w:rPr>
              <w:t>00</w:t>
            </w:r>
          </w:p>
        </w:tc>
        <w:tc>
          <w:tcPr>
            <w:tcW w:w="1920" w:type="dxa"/>
            <w:tcBorders>
              <w:tl2br w:val="nil"/>
              <w:tr2bl w:val="nil"/>
            </w:tcBorders>
            <w:shd w:val="clear" w:color="auto" w:fill="auto"/>
            <w:noWrap/>
            <w:tcMar>
              <w:top w:w="10" w:type="dxa"/>
              <w:left w:w="10" w:type="dxa"/>
              <w:right w:w="10" w:type="dxa"/>
            </w:tcMar>
            <w:vAlign w:val="center"/>
          </w:tcPr>
          <w:p w14:paraId="597F2F19">
            <w:pPr>
              <w:spacing w:before="60" w:after="60"/>
              <w:rPr>
                <w:sz w:val="18"/>
                <w:szCs w:val="18"/>
              </w:rPr>
            </w:pPr>
          </w:p>
        </w:tc>
        <w:tc>
          <w:tcPr>
            <w:tcW w:w="780" w:type="dxa"/>
            <w:tcBorders>
              <w:tl2br w:val="nil"/>
              <w:tr2bl w:val="nil"/>
            </w:tcBorders>
            <w:shd w:val="clear" w:color="auto" w:fill="auto"/>
            <w:noWrap/>
            <w:tcMar>
              <w:top w:w="10" w:type="dxa"/>
              <w:left w:w="10" w:type="dxa"/>
              <w:right w:w="10" w:type="dxa"/>
            </w:tcMar>
            <w:vAlign w:val="center"/>
          </w:tcPr>
          <w:p w14:paraId="7F3EBA14">
            <w:pPr>
              <w:spacing w:before="60" w:after="60"/>
              <w:rPr>
                <w:sz w:val="18"/>
                <w:szCs w:val="18"/>
              </w:rPr>
            </w:pPr>
          </w:p>
        </w:tc>
      </w:tr>
      <w:tr w14:paraId="294882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768" w:type="dxa"/>
            <w:tcBorders>
              <w:tl2br w:val="nil"/>
              <w:tr2bl w:val="nil"/>
            </w:tcBorders>
            <w:shd w:val="clear" w:color="auto" w:fill="auto"/>
            <w:tcMar>
              <w:top w:w="10" w:type="dxa"/>
              <w:left w:w="10" w:type="dxa"/>
              <w:right w:w="10" w:type="dxa"/>
            </w:tcMar>
            <w:vAlign w:val="center"/>
          </w:tcPr>
          <w:p w14:paraId="6E9D7789">
            <w:pPr>
              <w:widowControl/>
              <w:spacing w:before="60" w:after="60"/>
              <w:jc w:val="center"/>
              <w:textAlignment w:val="center"/>
              <w:rPr>
                <w:b/>
                <w:bCs/>
                <w:kern w:val="0"/>
                <w:sz w:val="18"/>
                <w:szCs w:val="18"/>
              </w:rPr>
            </w:pPr>
            <w:r>
              <w:rPr>
                <w:rFonts w:hint="eastAsia"/>
                <w:b/>
                <w:bCs/>
                <w:kern w:val="0"/>
                <w:sz w:val="18"/>
                <w:szCs w:val="18"/>
              </w:rPr>
              <w:t>2</w:t>
            </w:r>
          </w:p>
        </w:tc>
        <w:tc>
          <w:tcPr>
            <w:tcW w:w="1210" w:type="dxa"/>
            <w:tcBorders>
              <w:tl2br w:val="nil"/>
              <w:tr2bl w:val="nil"/>
            </w:tcBorders>
            <w:shd w:val="clear" w:color="auto" w:fill="auto"/>
            <w:tcMar>
              <w:top w:w="10" w:type="dxa"/>
              <w:left w:w="10" w:type="dxa"/>
              <w:right w:w="10" w:type="dxa"/>
            </w:tcMar>
            <w:vAlign w:val="center"/>
          </w:tcPr>
          <w:p w14:paraId="29FFBC88">
            <w:pPr>
              <w:widowControl/>
              <w:spacing w:before="60" w:after="60"/>
              <w:jc w:val="center"/>
              <w:textAlignment w:val="center"/>
              <w:rPr>
                <w:b/>
                <w:bCs/>
                <w:kern w:val="0"/>
                <w:sz w:val="18"/>
                <w:szCs w:val="18"/>
              </w:rPr>
            </w:pPr>
            <w:r>
              <w:rPr>
                <w:rFonts w:hint="eastAsia"/>
                <w:b/>
                <w:bCs/>
                <w:sz w:val="18"/>
                <w:szCs w:val="18"/>
              </w:rPr>
              <w:t>智能监视系统硬件</w:t>
            </w:r>
          </w:p>
        </w:tc>
        <w:tc>
          <w:tcPr>
            <w:tcW w:w="700" w:type="dxa"/>
            <w:tcBorders>
              <w:tl2br w:val="nil"/>
              <w:tr2bl w:val="nil"/>
            </w:tcBorders>
            <w:shd w:val="clear" w:color="auto" w:fill="auto"/>
            <w:tcMar>
              <w:top w:w="10" w:type="dxa"/>
              <w:left w:w="10" w:type="dxa"/>
              <w:right w:w="10" w:type="dxa"/>
            </w:tcMar>
            <w:vAlign w:val="center"/>
          </w:tcPr>
          <w:p w14:paraId="52F06753">
            <w:pPr>
              <w:widowControl/>
              <w:spacing w:before="60" w:after="60"/>
              <w:jc w:val="center"/>
              <w:textAlignment w:val="center"/>
              <w:rPr>
                <w:kern w:val="0"/>
                <w:sz w:val="18"/>
                <w:szCs w:val="18"/>
              </w:rPr>
            </w:pPr>
          </w:p>
        </w:tc>
        <w:tc>
          <w:tcPr>
            <w:tcW w:w="2220" w:type="dxa"/>
            <w:tcBorders>
              <w:tl2br w:val="nil"/>
              <w:tr2bl w:val="nil"/>
            </w:tcBorders>
            <w:shd w:val="clear" w:color="auto" w:fill="auto"/>
            <w:tcMar>
              <w:top w:w="10" w:type="dxa"/>
              <w:left w:w="10" w:type="dxa"/>
              <w:right w:w="10" w:type="dxa"/>
            </w:tcMar>
            <w:vAlign w:val="center"/>
          </w:tcPr>
          <w:p w14:paraId="6BB8C4A6">
            <w:pPr>
              <w:spacing w:before="60" w:after="60"/>
              <w:rPr>
                <w:sz w:val="18"/>
                <w:szCs w:val="18"/>
              </w:rPr>
            </w:pPr>
          </w:p>
        </w:tc>
        <w:tc>
          <w:tcPr>
            <w:tcW w:w="700" w:type="dxa"/>
            <w:tcBorders>
              <w:tl2br w:val="nil"/>
              <w:tr2bl w:val="nil"/>
            </w:tcBorders>
            <w:shd w:val="clear" w:color="auto" w:fill="auto"/>
            <w:tcMar>
              <w:top w:w="10" w:type="dxa"/>
              <w:left w:w="10" w:type="dxa"/>
              <w:right w:w="10" w:type="dxa"/>
            </w:tcMar>
            <w:vAlign w:val="center"/>
          </w:tcPr>
          <w:p w14:paraId="2A5D0AEB">
            <w:pPr>
              <w:widowControl/>
              <w:spacing w:before="60" w:after="60"/>
              <w:jc w:val="center"/>
              <w:textAlignment w:val="center"/>
              <w:rPr>
                <w:kern w:val="0"/>
                <w:sz w:val="18"/>
                <w:szCs w:val="18"/>
              </w:rPr>
            </w:pPr>
          </w:p>
        </w:tc>
        <w:tc>
          <w:tcPr>
            <w:tcW w:w="1920" w:type="dxa"/>
            <w:tcBorders>
              <w:tl2br w:val="nil"/>
              <w:tr2bl w:val="nil"/>
            </w:tcBorders>
            <w:shd w:val="clear" w:color="auto" w:fill="auto"/>
            <w:noWrap/>
            <w:tcMar>
              <w:top w:w="10" w:type="dxa"/>
              <w:left w:w="10" w:type="dxa"/>
              <w:right w:w="10" w:type="dxa"/>
            </w:tcMar>
            <w:vAlign w:val="center"/>
          </w:tcPr>
          <w:p w14:paraId="4E78A187">
            <w:pPr>
              <w:spacing w:before="60" w:after="60"/>
              <w:rPr>
                <w:sz w:val="18"/>
                <w:szCs w:val="18"/>
              </w:rPr>
            </w:pPr>
          </w:p>
        </w:tc>
        <w:tc>
          <w:tcPr>
            <w:tcW w:w="780" w:type="dxa"/>
            <w:tcBorders>
              <w:tl2br w:val="nil"/>
              <w:tr2bl w:val="nil"/>
            </w:tcBorders>
            <w:shd w:val="clear" w:color="auto" w:fill="auto"/>
            <w:noWrap/>
            <w:tcMar>
              <w:top w:w="10" w:type="dxa"/>
              <w:left w:w="10" w:type="dxa"/>
              <w:right w:w="10" w:type="dxa"/>
            </w:tcMar>
            <w:vAlign w:val="center"/>
          </w:tcPr>
          <w:p w14:paraId="04D98ED0">
            <w:pPr>
              <w:spacing w:before="60" w:after="60"/>
              <w:rPr>
                <w:sz w:val="18"/>
                <w:szCs w:val="18"/>
              </w:rPr>
            </w:pPr>
          </w:p>
        </w:tc>
      </w:tr>
      <w:tr w14:paraId="4AF148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768" w:type="dxa"/>
            <w:tcBorders>
              <w:tl2br w:val="nil"/>
              <w:tr2bl w:val="nil"/>
            </w:tcBorders>
            <w:shd w:val="clear" w:color="auto" w:fill="auto"/>
            <w:tcMar>
              <w:top w:w="10" w:type="dxa"/>
              <w:left w:w="10" w:type="dxa"/>
              <w:right w:w="10" w:type="dxa"/>
            </w:tcMar>
            <w:vAlign w:val="center"/>
          </w:tcPr>
          <w:p w14:paraId="5DB2FBCD">
            <w:pPr>
              <w:widowControl/>
              <w:spacing w:before="60" w:after="60"/>
              <w:jc w:val="center"/>
              <w:textAlignment w:val="center"/>
              <w:rPr>
                <w:sz w:val="18"/>
                <w:szCs w:val="18"/>
              </w:rPr>
            </w:pPr>
            <w:r>
              <w:rPr>
                <w:rFonts w:hint="eastAsia"/>
                <w:sz w:val="18"/>
                <w:szCs w:val="18"/>
              </w:rPr>
              <w:t>2.1</w:t>
            </w:r>
          </w:p>
        </w:tc>
        <w:tc>
          <w:tcPr>
            <w:tcW w:w="1210" w:type="dxa"/>
            <w:tcBorders>
              <w:tl2br w:val="nil"/>
              <w:tr2bl w:val="nil"/>
            </w:tcBorders>
            <w:shd w:val="clear" w:color="auto" w:fill="auto"/>
            <w:tcMar>
              <w:top w:w="10" w:type="dxa"/>
              <w:left w:w="10" w:type="dxa"/>
              <w:right w:w="10" w:type="dxa"/>
            </w:tcMar>
            <w:vAlign w:val="center"/>
          </w:tcPr>
          <w:p w14:paraId="3672CCB4">
            <w:pPr>
              <w:widowControl/>
              <w:spacing w:before="60" w:after="60"/>
              <w:jc w:val="center"/>
              <w:textAlignment w:val="center"/>
              <w:rPr>
                <w:sz w:val="18"/>
                <w:szCs w:val="18"/>
              </w:rPr>
            </w:pPr>
            <w:r>
              <w:rPr>
                <w:rFonts w:hint="eastAsia"/>
                <w:sz w:val="18"/>
                <w:szCs w:val="18"/>
              </w:rPr>
              <w:t>PTN600接地在线监测系统</w:t>
            </w:r>
          </w:p>
        </w:tc>
        <w:tc>
          <w:tcPr>
            <w:tcW w:w="700" w:type="dxa"/>
            <w:tcBorders>
              <w:tl2br w:val="nil"/>
              <w:tr2bl w:val="nil"/>
            </w:tcBorders>
            <w:shd w:val="clear" w:color="auto" w:fill="auto"/>
            <w:tcMar>
              <w:top w:w="10" w:type="dxa"/>
              <w:left w:w="10" w:type="dxa"/>
              <w:right w:w="10" w:type="dxa"/>
            </w:tcMar>
            <w:vAlign w:val="center"/>
          </w:tcPr>
          <w:p w14:paraId="6D23D813">
            <w:pPr>
              <w:widowControl/>
              <w:spacing w:before="60" w:after="60"/>
              <w:jc w:val="center"/>
              <w:textAlignment w:val="center"/>
              <w:rPr>
                <w:kern w:val="0"/>
                <w:sz w:val="18"/>
                <w:szCs w:val="18"/>
              </w:rPr>
            </w:pPr>
            <w:r>
              <w:rPr>
                <w:kern w:val="0"/>
                <w:sz w:val="18"/>
                <w:szCs w:val="18"/>
              </w:rPr>
              <w:t>套</w:t>
            </w:r>
          </w:p>
        </w:tc>
        <w:tc>
          <w:tcPr>
            <w:tcW w:w="2220" w:type="dxa"/>
            <w:tcBorders>
              <w:tl2br w:val="nil"/>
              <w:tr2bl w:val="nil"/>
            </w:tcBorders>
            <w:shd w:val="clear" w:color="auto" w:fill="auto"/>
            <w:tcMar>
              <w:top w:w="10" w:type="dxa"/>
              <w:left w:w="10" w:type="dxa"/>
              <w:right w:w="10" w:type="dxa"/>
            </w:tcMar>
            <w:vAlign w:val="center"/>
          </w:tcPr>
          <w:p w14:paraId="13254412">
            <w:pPr>
              <w:widowControl/>
              <w:spacing w:before="60" w:after="60"/>
              <w:jc w:val="left"/>
              <w:textAlignment w:val="center"/>
              <w:rPr>
                <w:sz w:val="18"/>
                <w:szCs w:val="18"/>
              </w:rPr>
            </w:pPr>
            <w:r>
              <w:rPr>
                <w:sz w:val="18"/>
                <w:szCs w:val="18"/>
              </w:rPr>
              <w:t>全站PTN600在二次屏集中一点与主接地网相连，通过新增N600小母线电流在线监测系统1套，实时掌握电压回路运行状况。N600小母线电流在线监测系统由1只高清度电流传感器及1套智能终端组成，输出DC 4-20mA数据至</w:t>
            </w:r>
            <w:r>
              <w:rPr>
                <w:rFonts w:hint="eastAsia"/>
                <w:sz w:val="18"/>
                <w:szCs w:val="18"/>
              </w:rPr>
              <w:t>开入</w:t>
            </w:r>
            <w:r>
              <w:rPr>
                <w:sz w:val="18"/>
                <w:szCs w:val="18"/>
              </w:rPr>
              <w:t>备用回路。</w:t>
            </w:r>
          </w:p>
          <w:p w14:paraId="17B12110">
            <w:pPr>
              <w:widowControl/>
              <w:spacing w:before="60" w:after="60"/>
              <w:jc w:val="left"/>
              <w:textAlignment w:val="center"/>
              <w:rPr>
                <w:sz w:val="18"/>
                <w:szCs w:val="18"/>
              </w:rPr>
            </w:pPr>
            <w:r>
              <w:rPr>
                <w:rFonts w:hint="eastAsia"/>
                <w:sz w:val="18"/>
                <w:szCs w:val="18"/>
              </w:rPr>
              <w:t>本系统同时包含全站柔直变及220kV站用变铁芯夹件及接地电流监测，通过安装高精度电流传感器进行监测，信号传输并接入智能终端。</w:t>
            </w:r>
          </w:p>
        </w:tc>
        <w:tc>
          <w:tcPr>
            <w:tcW w:w="700" w:type="dxa"/>
            <w:tcBorders>
              <w:tl2br w:val="nil"/>
              <w:tr2bl w:val="nil"/>
            </w:tcBorders>
            <w:shd w:val="clear" w:color="auto" w:fill="auto"/>
            <w:tcMar>
              <w:top w:w="10" w:type="dxa"/>
              <w:left w:w="10" w:type="dxa"/>
              <w:right w:w="10" w:type="dxa"/>
            </w:tcMar>
            <w:vAlign w:val="center"/>
          </w:tcPr>
          <w:p w14:paraId="014E10F9">
            <w:pPr>
              <w:widowControl/>
              <w:spacing w:before="60" w:after="60"/>
              <w:jc w:val="center"/>
              <w:textAlignment w:val="center"/>
              <w:rPr>
                <w:sz w:val="18"/>
                <w:szCs w:val="18"/>
              </w:rPr>
            </w:pPr>
            <w:r>
              <w:rPr>
                <w:rFonts w:hint="eastAsia"/>
                <w:sz w:val="18"/>
                <w:szCs w:val="18"/>
              </w:rPr>
              <w:t>1</w:t>
            </w:r>
          </w:p>
        </w:tc>
        <w:tc>
          <w:tcPr>
            <w:tcW w:w="1920" w:type="dxa"/>
            <w:tcBorders>
              <w:tl2br w:val="nil"/>
              <w:tr2bl w:val="nil"/>
            </w:tcBorders>
            <w:shd w:val="clear" w:color="auto" w:fill="auto"/>
            <w:noWrap/>
            <w:tcMar>
              <w:top w:w="10" w:type="dxa"/>
              <w:left w:w="10" w:type="dxa"/>
              <w:right w:w="10" w:type="dxa"/>
            </w:tcMar>
            <w:vAlign w:val="center"/>
          </w:tcPr>
          <w:p w14:paraId="2AEDCFBD">
            <w:pPr>
              <w:spacing w:before="60" w:after="60"/>
              <w:rPr>
                <w:sz w:val="18"/>
                <w:szCs w:val="18"/>
              </w:rPr>
            </w:pPr>
          </w:p>
        </w:tc>
        <w:tc>
          <w:tcPr>
            <w:tcW w:w="780" w:type="dxa"/>
            <w:tcBorders>
              <w:tl2br w:val="nil"/>
              <w:tr2bl w:val="nil"/>
            </w:tcBorders>
            <w:shd w:val="clear" w:color="auto" w:fill="auto"/>
            <w:noWrap/>
            <w:tcMar>
              <w:top w:w="10" w:type="dxa"/>
              <w:left w:w="10" w:type="dxa"/>
              <w:right w:w="10" w:type="dxa"/>
            </w:tcMar>
            <w:vAlign w:val="center"/>
          </w:tcPr>
          <w:p w14:paraId="004750BE">
            <w:pPr>
              <w:spacing w:before="60" w:after="60"/>
              <w:rPr>
                <w:sz w:val="18"/>
                <w:szCs w:val="18"/>
              </w:rPr>
            </w:pPr>
          </w:p>
        </w:tc>
      </w:tr>
      <w:tr w14:paraId="01C124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768" w:type="dxa"/>
            <w:tcBorders>
              <w:tl2br w:val="nil"/>
              <w:tr2bl w:val="nil"/>
            </w:tcBorders>
            <w:shd w:val="clear" w:color="auto" w:fill="auto"/>
            <w:tcMar>
              <w:top w:w="10" w:type="dxa"/>
              <w:left w:w="10" w:type="dxa"/>
              <w:right w:w="10" w:type="dxa"/>
            </w:tcMar>
            <w:vAlign w:val="center"/>
          </w:tcPr>
          <w:p w14:paraId="2569C811">
            <w:pPr>
              <w:widowControl/>
              <w:spacing w:before="60" w:after="60"/>
              <w:jc w:val="center"/>
              <w:textAlignment w:val="center"/>
              <w:rPr>
                <w:sz w:val="18"/>
                <w:szCs w:val="18"/>
              </w:rPr>
            </w:pPr>
            <w:r>
              <w:rPr>
                <w:rFonts w:hint="eastAsia"/>
                <w:sz w:val="18"/>
                <w:szCs w:val="18"/>
              </w:rPr>
              <w:t>2.2</w:t>
            </w:r>
          </w:p>
        </w:tc>
        <w:tc>
          <w:tcPr>
            <w:tcW w:w="1210" w:type="dxa"/>
            <w:tcBorders>
              <w:tl2br w:val="nil"/>
              <w:tr2bl w:val="nil"/>
            </w:tcBorders>
            <w:shd w:val="clear" w:color="auto" w:fill="auto"/>
            <w:tcMar>
              <w:top w:w="10" w:type="dxa"/>
              <w:left w:w="10" w:type="dxa"/>
              <w:right w:w="10" w:type="dxa"/>
            </w:tcMar>
            <w:vAlign w:val="center"/>
          </w:tcPr>
          <w:p w14:paraId="662CEDB8">
            <w:pPr>
              <w:pStyle w:val="76"/>
              <w:spacing w:line="360" w:lineRule="auto"/>
              <w:rPr>
                <w:rFonts w:eastAsiaTheme="minorEastAsia"/>
                <w:sz w:val="18"/>
                <w:szCs w:val="18"/>
              </w:rPr>
            </w:pPr>
            <w:r>
              <w:rPr>
                <w:rFonts w:eastAsiaTheme="minorEastAsia"/>
                <w:sz w:val="18"/>
                <w:szCs w:val="18"/>
              </w:rPr>
              <w:t>微气象仪</w:t>
            </w:r>
          </w:p>
        </w:tc>
        <w:tc>
          <w:tcPr>
            <w:tcW w:w="700" w:type="dxa"/>
            <w:tcBorders>
              <w:tl2br w:val="nil"/>
              <w:tr2bl w:val="nil"/>
            </w:tcBorders>
            <w:shd w:val="clear" w:color="auto" w:fill="auto"/>
            <w:tcMar>
              <w:top w:w="10" w:type="dxa"/>
              <w:left w:w="10" w:type="dxa"/>
              <w:right w:w="10" w:type="dxa"/>
            </w:tcMar>
            <w:vAlign w:val="center"/>
          </w:tcPr>
          <w:p w14:paraId="64A898DD">
            <w:pPr>
              <w:pStyle w:val="76"/>
              <w:spacing w:line="360" w:lineRule="auto"/>
              <w:rPr>
                <w:rFonts w:eastAsiaTheme="minorEastAsia"/>
                <w:sz w:val="18"/>
                <w:szCs w:val="18"/>
              </w:rPr>
            </w:pPr>
            <w:r>
              <w:rPr>
                <w:rFonts w:eastAsiaTheme="minorEastAsia"/>
                <w:sz w:val="18"/>
                <w:szCs w:val="18"/>
              </w:rPr>
              <w:t>套</w:t>
            </w:r>
          </w:p>
        </w:tc>
        <w:tc>
          <w:tcPr>
            <w:tcW w:w="2220" w:type="dxa"/>
            <w:tcBorders>
              <w:tl2br w:val="nil"/>
              <w:tr2bl w:val="nil"/>
            </w:tcBorders>
            <w:shd w:val="clear" w:color="auto" w:fill="auto"/>
            <w:tcMar>
              <w:top w:w="10" w:type="dxa"/>
              <w:left w:w="10" w:type="dxa"/>
              <w:right w:w="10" w:type="dxa"/>
            </w:tcMar>
            <w:vAlign w:val="center"/>
          </w:tcPr>
          <w:p w14:paraId="32FD3B24">
            <w:pPr>
              <w:pStyle w:val="76"/>
              <w:spacing w:line="276" w:lineRule="auto"/>
              <w:jc w:val="left"/>
              <w:rPr>
                <w:rFonts w:eastAsiaTheme="minorEastAsia"/>
                <w:sz w:val="18"/>
                <w:szCs w:val="18"/>
              </w:rPr>
            </w:pPr>
            <w:r>
              <w:rPr>
                <w:rFonts w:hint="eastAsia" w:eastAsiaTheme="minorEastAsia"/>
                <w:sz w:val="18"/>
                <w:szCs w:val="18"/>
              </w:rPr>
              <w:t>六</w:t>
            </w:r>
            <w:r>
              <w:rPr>
                <w:rFonts w:eastAsiaTheme="minorEastAsia"/>
                <w:sz w:val="18"/>
                <w:szCs w:val="18"/>
              </w:rPr>
              <w:t>要素包含</w:t>
            </w:r>
            <w:r>
              <w:rPr>
                <w:rFonts w:hint="eastAsia" w:eastAsiaTheme="minorEastAsia"/>
                <w:sz w:val="18"/>
                <w:szCs w:val="18"/>
              </w:rPr>
              <w:t>环境温度、相对湿度、风速、风向、大气压力、光学雨量；</w:t>
            </w:r>
            <w:r>
              <w:rPr>
                <w:rFonts w:eastAsiaTheme="minorEastAsia"/>
                <w:sz w:val="18"/>
                <w:szCs w:val="18"/>
              </w:rPr>
              <w:t>免维护。</w:t>
            </w:r>
          </w:p>
        </w:tc>
        <w:tc>
          <w:tcPr>
            <w:tcW w:w="700" w:type="dxa"/>
            <w:tcBorders>
              <w:tl2br w:val="nil"/>
              <w:tr2bl w:val="nil"/>
            </w:tcBorders>
            <w:shd w:val="clear" w:color="auto" w:fill="auto"/>
            <w:tcMar>
              <w:top w:w="10" w:type="dxa"/>
              <w:left w:w="10" w:type="dxa"/>
              <w:right w:w="10" w:type="dxa"/>
            </w:tcMar>
            <w:vAlign w:val="center"/>
          </w:tcPr>
          <w:p w14:paraId="37D29A49">
            <w:pPr>
              <w:widowControl/>
              <w:spacing w:line="360" w:lineRule="auto"/>
              <w:jc w:val="center"/>
              <w:rPr>
                <w:rFonts w:eastAsiaTheme="minorEastAsia"/>
                <w:sz w:val="18"/>
                <w:szCs w:val="18"/>
              </w:rPr>
            </w:pPr>
            <w:r>
              <w:rPr>
                <w:rFonts w:eastAsiaTheme="minorEastAsia"/>
                <w:sz w:val="18"/>
                <w:szCs w:val="18"/>
              </w:rPr>
              <w:t>1</w:t>
            </w:r>
          </w:p>
        </w:tc>
        <w:tc>
          <w:tcPr>
            <w:tcW w:w="1920" w:type="dxa"/>
            <w:tcBorders>
              <w:tl2br w:val="nil"/>
              <w:tr2bl w:val="nil"/>
            </w:tcBorders>
            <w:shd w:val="clear" w:color="auto" w:fill="auto"/>
            <w:noWrap/>
            <w:tcMar>
              <w:top w:w="10" w:type="dxa"/>
              <w:left w:w="10" w:type="dxa"/>
              <w:right w:w="10" w:type="dxa"/>
            </w:tcMar>
            <w:vAlign w:val="center"/>
          </w:tcPr>
          <w:p w14:paraId="2575C3EE">
            <w:pPr>
              <w:spacing w:before="60" w:after="60"/>
              <w:rPr>
                <w:sz w:val="18"/>
                <w:szCs w:val="18"/>
              </w:rPr>
            </w:pPr>
          </w:p>
        </w:tc>
        <w:tc>
          <w:tcPr>
            <w:tcW w:w="780" w:type="dxa"/>
            <w:tcBorders>
              <w:tl2br w:val="nil"/>
              <w:tr2bl w:val="nil"/>
            </w:tcBorders>
            <w:shd w:val="clear" w:color="auto" w:fill="auto"/>
            <w:noWrap/>
            <w:tcMar>
              <w:top w:w="10" w:type="dxa"/>
              <w:left w:w="10" w:type="dxa"/>
              <w:right w:w="10" w:type="dxa"/>
            </w:tcMar>
            <w:vAlign w:val="center"/>
          </w:tcPr>
          <w:p w14:paraId="31EA3A08">
            <w:pPr>
              <w:spacing w:before="60" w:after="60"/>
              <w:rPr>
                <w:sz w:val="18"/>
                <w:szCs w:val="18"/>
              </w:rPr>
            </w:pPr>
          </w:p>
        </w:tc>
      </w:tr>
      <w:tr w14:paraId="3FE9BA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768" w:type="dxa"/>
            <w:tcBorders>
              <w:tl2br w:val="nil"/>
              <w:tr2bl w:val="nil"/>
            </w:tcBorders>
            <w:shd w:val="clear" w:color="auto" w:fill="auto"/>
            <w:tcMar>
              <w:top w:w="10" w:type="dxa"/>
              <w:left w:w="10" w:type="dxa"/>
              <w:right w:w="10" w:type="dxa"/>
            </w:tcMar>
            <w:vAlign w:val="center"/>
          </w:tcPr>
          <w:p w14:paraId="69916DE0">
            <w:pPr>
              <w:widowControl/>
              <w:spacing w:before="60" w:after="60"/>
              <w:jc w:val="center"/>
              <w:textAlignment w:val="center"/>
              <w:rPr>
                <w:kern w:val="0"/>
                <w:sz w:val="18"/>
                <w:szCs w:val="18"/>
              </w:rPr>
            </w:pPr>
            <w:r>
              <w:rPr>
                <w:rFonts w:hint="eastAsia"/>
                <w:sz w:val="18"/>
                <w:szCs w:val="18"/>
              </w:rPr>
              <w:t>2.3</w:t>
            </w:r>
          </w:p>
        </w:tc>
        <w:tc>
          <w:tcPr>
            <w:tcW w:w="1210" w:type="dxa"/>
            <w:tcBorders>
              <w:tl2br w:val="nil"/>
              <w:tr2bl w:val="nil"/>
            </w:tcBorders>
            <w:shd w:val="clear" w:color="auto" w:fill="auto"/>
            <w:tcMar>
              <w:top w:w="10" w:type="dxa"/>
              <w:left w:w="10" w:type="dxa"/>
              <w:right w:w="10" w:type="dxa"/>
            </w:tcMar>
            <w:vAlign w:val="center"/>
          </w:tcPr>
          <w:p w14:paraId="0B311215">
            <w:pPr>
              <w:widowControl/>
              <w:spacing w:before="60" w:after="60"/>
              <w:jc w:val="center"/>
              <w:textAlignment w:val="center"/>
              <w:rPr>
                <w:sz w:val="18"/>
                <w:szCs w:val="18"/>
              </w:rPr>
            </w:pPr>
            <w:r>
              <w:rPr>
                <w:rFonts w:hint="eastAsia"/>
                <w:sz w:val="18"/>
                <w:szCs w:val="18"/>
              </w:rPr>
              <w:t>水浸传感器</w:t>
            </w:r>
          </w:p>
        </w:tc>
        <w:tc>
          <w:tcPr>
            <w:tcW w:w="700" w:type="dxa"/>
            <w:tcBorders>
              <w:tl2br w:val="nil"/>
              <w:tr2bl w:val="nil"/>
            </w:tcBorders>
            <w:shd w:val="clear" w:color="auto" w:fill="auto"/>
            <w:tcMar>
              <w:top w:w="10" w:type="dxa"/>
              <w:left w:w="10" w:type="dxa"/>
              <w:right w:w="10" w:type="dxa"/>
            </w:tcMar>
            <w:vAlign w:val="center"/>
          </w:tcPr>
          <w:p w14:paraId="748F62BA">
            <w:pPr>
              <w:widowControl/>
              <w:spacing w:before="60" w:after="60"/>
              <w:jc w:val="center"/>
              <w:textAlignment w:val="center"/>
              <w:rPr>
                <w:kern w:val="0"/>
                <w:sz w:val="18"/>
                <w:szCs w:val="18"/>
              </w:rPr>
            </w:pPr>
            <w:r>
              <w:rPr>
                <w:rFonts w:hint="eastAsia"/>
                <w:kern w:val="0"/>
                <w:sz w:val="18"/>
                <w:szCs w:val="18"/>
              </w:rPr>
              <w:t>个</w:t>
            </w:r>
          </w:p>
        </w:tc>
        <w:tc>
          <w:tcPr>
            <w:tcW w:w="2220" w:type="dxa"/>
            <w:tcBorders>
              <w:tl2br w:val="nil"/>
              <w:tr2bl w:val="nil"/>
            </w:tcBorders>
            <w:shd w:val="clear" w:color="auto" w:fill="auto"/>
            <w:tcMar>
              <w:top w:w="10" w:type="dxa"/>
              <w:left w:w="10" w:type="dxa"/>
              <w:right w:w="10" w:type="dxa"/>
            </w:tcMar>
            <w:vAlign w:val="center"/>
          </w:tcPr>
          <w:p w14:paraId="3BCB7521">
            <w:pPr>
              <w:widowControl/>
              <w:spacing w:before="60" w:after="60"/>
              <w:jc w:val="left"/>
              <w:textAlignment w:val="center"/>
              <w:rPr>
                <w:sz w:val="18"/>
                <w:szCs w:val="18"/>
              </w:rPr>
            </w:pPr>
            <w:r>
              <w:rPr>
                <w:sz w:val="18"/>
                <w:szCs w:val="18"/>
              </w:rPr>
              <w:t>供电电源：AC24V±10%</w:t>
            </w:r>
          </w:p>
          <w:p w14:paraId="07593AB3">
            <w:pPr>
              <w:widowControl/>
              <w:spacing w:before="60" w:after="60"/>
              <w:jc w:val="left"/>
              <w:textAlignment w:val="center"/>
              <w:rPr>
                <w:sz w:val="18"/>
                <w:szCs w:val="18"/>
              </w:rPr>
            </w:pPr>
            <w:r>
              <w:rPr>
                <w:sz w:val="18"/>
                <w:szCs w:val="18"/>
              </w:rPr>
              <w:t>组成：电极片（或感应绳）、信号变换器</w:t>
            </w:r>
          </w:p>
          <w:p w14:paraId="052D91FD">
            <w:pPr>
              <w:widowControl/>
              <w:spacing w:before="60" w:after="60"/>
              <w:jc w:val="left"/>
              <w:textAlignment w:val="center"/>
              <w:rPr>
                <w:sz w:val="18"/>
                <w:szCs w:val="18"/>
              </w:rPr>
            </w:pPr>
            <w:r>
              <w:rPr>
                <w:sz w:val="18"/>
                <w:szCs w:val="18"/>
              </w:rPr>
              <w:t>感应绳长度:可定制</w:t>
            </w:r>
          </w:p>
          <w:p w14:paraId="404649C9">
            <w:pPr>
              <w:widowControl/>
              <w:spacing w:before="60" w:after="60"/>
              <w:jc w:val="left"/>
              <w:textAlignment w:val="center"/>
              <w:rPr>
                <w:sz w:val="18"/>
                <w:szCs w:val="18"/>
              </w:rPr>
            </w:pPr>
            <w:r>
              <w:rPr>
                <w:sz w:val="18"/>
                <w:szCs w:val="18"/>
              </w:rPr>
              <w:t>输出形式：正常输出，灯为绿色，闪烁；告警输出，灯为红色，蜂鸣器报警</w:t>
            </w:r>
          </w:p>
          <w:p w14:paraId="63898AAB">
            <w:pPr>
              <w:widowControl/>
              <w:spacing w:before="60" w:after="60"/>
              <w:jc w:val="left"/>
              <w:textAlignment w:val="center"/>
              <w:rPr>
                <w:sz w:val="18"/>
                <w:szCs w:val="18"/>
              </w:rPr>
            </w:pPr>
            <w:r>
              <w:rPr>
                <w:sz w:val="18"/>
                <w:szCs w:val="18"/>
              </w:rPr>
              <w:t>工作环境：-40~85</w:t>
            </w:r>
            <w:r>
              <w:rPr>
                <w:rFonts w:hint="eastAsia" w:ascii="宋体" w:hAnsi="宋体" w:cs="宋体"/>
                <w:sz w:val="18"/>
                <w:szCs w:val="18"/>
              </w:rPr>
              <w:t>℃</w:t>
            </w:r>
            <w:r>
              <w:rPr>
                <w:sz w:val="18"/>
                <w:szCs w:val="18"/>
              </w:rPr>
              <w:t>，10%RH~95%RH</w:t>
            </w:r>
          </w:p>
          <w:p w14:paraId="2E99BC7B">
            <w:pPr>
              <w:widowControl/>
              <w:spacing w:before="60" w:after="60"/>
              <w:jc w:val="left"/>
              <w:textAlignment w:val="center"/>
              <w:rPr>
                <w:sz w:val="18"/>
                <w:szCs w:val="18"/>
              </w:rPr>
            </w:pPr>
            <w:r>
              <w:rPr>
                <w:sz w:val="18"/>
                <w:szCs w:val="18"/>
              </w:rPr>
              <w:t>误报率：&lt;100ppm</w:t>
            </w:r>
          </w:p>
        </w:tc>
        <w:tc>
          <w:tcPr>
            <w:tcW w:w="700" w:type="dxa"/>
            <w:tcBorders>
              <w:tl2br w:val="nil"/>
              <w:tr2bl w:val="nil"/>
            </w:tcBorders>
            <w:shd w:val="clear" w:color="auto" w:fill="auto"/>
            <w:tcMar>
              <w:top w:w="10" w:type="dxa"/>
              <w:left w:w="10" w:type="dxa"/>
              <w:right w:w="10" w:type="dxa"/>
            </w:tcMar>
            <w:vAlign w:val="center"/>
          </w:tcPr>
          <w:p w14:paraId="5AE085E9">
            <w:pPr>
              <w:widowControl/>
              <w:spacing w:before="60" w:after="60"/>
              <w:jc w:val="center"/>
              <w:textAlignment w:val="center"/>
              <w:rPr>
                <w:sz w:val="18"/>
                <w:szCs w:val="18"/>
              </w:rPr>
            </w:pPr>
            <w:r>
              <w:rPr>
                <w:rFonts w:hint="eastAsia"/>
                <w:sz w:val="18"/>
                <w:szCs w:val="18"/>
              </w:rPr>
              <w:t>46</w:t>
            </w:r>
          </w:p>
        </w:tc>
        <w:tc>
          <w:tcPr>
            <w:tcW w:w="1920" w:type="dxa"/>
            <w:tcBorders>
              <w:tl2br w:val="nil"/>
              <w:tr2bl w:val="nil"/>
            </w:tcBorders>
            <w:shd w:val="clear" w:color="auto" w:fill="auto"/>
            <w:noWrap/>
            <w:tcMar>
              <w:top w:w="10" w:type="dxa"/>
              <w:left w:w="10" w:type="dxa"/>
              <w:right w:w="10" w:type="dxa"/>
            </w:tcMar>
            <w:vAlign w:val="center"/>
          </w:tcPr>
          <w:p w14:paraId="727E2391">
            <w:pPr>
              <w:spacing w:before="60" w:after="60"/>
              <w:rPr>
                <w:sz w:val="18"/>
                <w:szCs w:val="18"/>
              </w:rPr>
            </w:pPr>
          </w:p>
        </w:tc>
        <w:tc>
          <w:tcPr>
            <w:tcW w:w="780" w:type="dxa"/>
            <w:tcBorders>
              <w:tl2br w:val="nil"/>
              <w:tr2bl w:val="nil"/>
            </w:tcBorders>
            <w:shd w:val="clear" w:color="auto" w:fill="auto"/>
            <w:noWrap/>
            <w:tcMar>
              <w:top w:w="10" w:type="dxa"/>
              <w:left w:w="10" w:type="dxa"/>
              <w:right w:w="10" w:type="dxa"/>
            </w:tcMar>
            <w:vAlign w:val="center"/>
          </w:tcPr>
          <w:p w14:paraId="6C276F67">
            <w:pPr>
              <w:spacing w:before="60" w:after="60"/>
              <w:rPr>
                <w:sz w:val="18"/>
                <w:szCs w:val="18"/>
              </w:rPr>
            </w:pPr>
          </w:p>
        </w:tc>
      </w:tr>
      <w:tr w14:paraId="1B83AE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768" w:type="dxa"/>
            <w:tcBorders>
              <w:tl2br w:val="nil"/>
              <w:tr2bl w:val="nil"/>
            </w:tcBorders>
            <w:shd w:val="clear" w:color="auto" w:fill="auto"/>
            <w:tcMar>
              <w:top w:w="10" w:type="dxa"/>
              <w:left w:w="10" w:type="dxa"/>
              <w:right w:w="10" w:type="dxa"/>
            </w:tcMar>
            <w:vAlign w:val="center"/>
          </w:tcPr>
          <w:p w14:paraId="04B12CF6">
            <w:pPr>
              <w:widowControl/>
              <w:spacing w:before="60" w:after="60"/>
              <w:jc w:val="center"/>
              <w:textAlignment w:val="center"/>
              <w:rPr>
                <w:sz w:val="18"/>
                <w:szCs w:val="18"/>
              </w:rPr>
            </w:pPr>
            <w:r>
              <w:rPr>
                <w:rFonts w:hint="eastAsia"/>
                <w:sz w:val="18"/>
                <w:szCs w:val="18"/>
              </w:rPr>
              <w:t>2.4</w:t>
            </w:r>
          </w:p>
        </w:tc>
        <w:tc>
          <w:tcPr>
            <w:tcW w:w="1210" w:type="dxa"/>
            <w:tcBorders>
              <w:tl2br w:val="nil"/>
              <w:tr2bl w:val="nil"/>
            </w:tcBorders>
            <w:shd w:val="clear" w:color="auto" w:fill="auto"/>
            <w:tcMar>
              <w:top w:w="10" w:type="dxa"/>
              <w:left w:w="10" w:type="dxa"/>
              <w:right w:w="10" w:type="dxa"/>
            </w:tcMar>
            <w:vAlign w:val="center"/>
          </w:tcPr>
          <w:p w14:paraId="1C1699F5">
            <w:pPr>
              <w:widowControl/>
              <w:spacing w:before="60" w:after="60"/>
              <w:jc w:val="center"/>
              <w:textAlignment w:val="center"/>
              <w:rPr>
                <w:sz w:val="18"/>
                <w:szCs w:val="18"/>
              </w:rPr>
            </w:pPr>
            <w:r>
              <w:rPr>
                <w:rFonts w:hint="eastAsia"/>
                <w:sz w:val="18"/>
                <w:szCs w:val="18"/>
              </w:rPr>
              <w:t>温湿度传感器</w:t>
            </w:r>
          </w:p>
        </w:tc>
        <w:tc>
          <w:tcPr>
            <w:tcW w:w="700" w:type="dxa"/>
            <w:tcBorders>
              <w:tl2br w:val="nil"/>
              <w:tr2bl w:val="nil"/>
            </w:tcBorders>
            <w:shd w:val="clear" w:color="auto" w:fill="auto"/>
            <w:tcMar>
              <w:top w:w="10" w:type="dxa"/>
              <w:left w:w="10" w:type="dxa"/>
              <w:right w:w="10" w:type="dxa"/>
            </w:tcMar>
            <w:vAlign w:val="center"/>
          </w:tcPr>
          <w:p w14:paraId="2A1D1583">
            <w:pPr>
              <w:widowControl/>
              <w:spacing w:before="60" w:after="60"/>
              <w:jc w:val="center"/>
              <w:textAlignment w:val="center"/>
              <w:rPr>
                <w:kern w:val="0"/>
                <w:sz w:val="18"/>
                <w:szCs w:val="18"/>
              </w:rPr>
            </w:pPr>
            <w:r>
              <w:rPr>
                <w:rFonts w:hint="eastAsia"/>
                <w:kern w:val="0"/>
                <w:sz w:val="18"/>
                <w:szCs w:val="18"/>
              </w:rPr>
              <w:t>个</w:t>
            </w:r>
          </w:p>
        </w:tc>
        <w:tc>
          <w:tcPr>
            <w:tcW w:w="2220" w:type="dxa"/>
            <w:tcBorders>
              <w:tl2br w:val="nil"/>
              <w:tr2bl w:val="nil"/>
            </w:tcBorders>
            <w:shd w:val="clear" w:color="auto" w:fill="auto"/>
            <w:tcMar>
              <w:top w:w="10" w:type="dxa"/>
              <w:left w:w="10" w:type="dxa"/>
              <w:right w:w="10" w:type="dxa"/>
            </w:tcMar>
            <w:vAlign w:val="center"/>
          </w:tcPr>
          <w:p w14:paraId="38CEFD56">
            <w:pPr>
              <w:widowControl/>
              <w:jc w:val="left"/>
              <w:rPr>
                <w:sz w:val="18"/>
                <w:szCs w:val="18"/>
              </w:rPr>
            </w:pPr>
            <w:r>
              <w:rPr>
                <w:rFonts w:hint="eastAsia"/>
                <w:sz w:val="18"/>
                <w:szCs w:val="18"/>
              </w:rPr>
              <w:t>温度测量范围： -20℃～+100℃；</w:t>
            </w:r>
          </w:p>
          <w:p w14:paraId="77D98F4D">
            <w:pPr>
              <w:widowControl/>
              <w:jc w:val="left"/>
              <w:rPr>
                <w:sz w:val="18"/>
                <w:szCs w:val="18"/>
              </w:rPr>
            </w:pPr>
            <w:r>
              <w:rPr>
                <w:rFonts w:hint="eastAsia"/>
                <w:sz w:val="18"/>
                <w:szCs w:val="18"/>
              </w:rPr>
              <w:t>温度测量精度：0.5℃；</w:t>
            </w:r>
          </w:p>
          <w:p w14:paraId="705B6C9D">
            <w:pPr>
              <w:widowControl/>
              <w:jc w:val="left"/>
              <w:rPr>
                <w:sz w:val="18"/>
                <w:szCs w:val="18"/>
              </w:rPr>
            </w:pPr>
            <w:r>
              <w:rPr>
                <w:rFonts w:hint="eastAsia"/>
                <w:sz w:val="18"/>
                <w:szCs w:val="18"/>
              </w:rPr>
              <w:t>湿度测量范围：0%～100%RH；</w:t>
            </w:r>
          </w:p>
          <w:p w14:paraId="7E62B5BF">
            <w:pPr>
              <w:widowControl/>
              <w:jc w:val="left"/>
              <w:rPr>
                <w:sz w:val="18"/>
                <w:szCs w:val="18"/>
              </w:rPr>
            </w:pPr>
            <w:r>
              <w:rPr>
                <w:rFonts w:hint="eastAsia"/>
                <w:sz w:val="18"/>
                <w:szCs w:val="18"/>
              </w:rPr>
              <w:t>湿度测量精度：±1%RH（25℃）；</w:t>
            </w:r>
          </w:p>
          <w:p w14:paraId="2BE36430">
            <w:pPr>
              <w:widowControl/>
              <w:jc w:val="left"/>
              <w:rPr>
                <w:sz w:val="18"/>
                <w:szCs w:val="18"/>
              </w:rPr>
            </w:pPr>
            <w:r>
              <w:rPr>
                <w:rFonts w:hint="eastAsia"/>
                <w:sz w:val="18"/>
                <w:szCs w:val="18"/>
              </w:rPr>
              <w:t>响应时间：≤2s；</w:t>
            </w:r>
          </w:p>
          <w:p w14:paraId="4D874C65">
            <w:pPr>
              <w:widowControl/>
              <w:jc w:val="left"/>
              <w:rPr>
                <w:sz w:val="18"/>
                <w:szCs w:val="18"/>
              </w:rPr>
            </w:pPr>
            <w:r>
              <w:rPr>
                <w:rFonts w:hint="eastAsia"/>
                <w:sz w:val="18"/>
                <w:szCs w:val="18"/>
              </w:rPr>
              <w:t>数据传输距离：≥800m；</w:t>
            </w:r>
          </w:p>
          <w:p w14:paraId="5A8A990E">
            <w:pPr>
              <w:widowControl/>
              <w:jc w:val="left"/>
              <w:rPr>
                <w:sz w:val="18"/>
                <w:szCs w:val="18"/>
              </w:rPr>
            </w:pPr>
            <w:r>
              <w:rPr>
                <w:rFonts w:hint="eastAsia"/>
                <w:sz w:val="18"/>
                <w:szCs w:val="18"/>
              </w:rPr>
              <w:t>环境温度： -20℃～+70℃；</w:t>
            </w:r>
          </w:p>
          <w:p w14:paraId="121E8A2D">
            <w:pPr>
              <w:widowControl/>
              <w:jc w:val="left"/>
              <w:rPr>
                <w:sz w:val="18"/>
                <w:szCs w:val="18"/>
              </w:rPr>
            </w:pPr>
            <w:r>
              <w:rPr>
                <w:rFonts w:hint="eastAsia"/>
                <w:sz w:val="18"/>
                <w:szCs w:val="18"/>
              </w:rPr>
              <w:t>环境湿度：10%～95%RH ；</w:t>
            </w:r>
          </w:p>
          <w:p w14:paraId="38A79CE4">
            <w:pPr>
              <w:widowControl/>
              <w:jc w:val="left"/>
              <w:rPr>
                <w:sz w:val="18"/>
                <w:szCs w:val="18"/>
              </w:rPr>
            </w:pPr>
            <w:r>
              <w:rPr>
                <w:rFonts w:hint="eastAsia"/>
                <w:sz w:val="18"/>
                <w:szCs w:val="18"/>
              </w:rPr>
              <w:t>输出方式：4 mA ~20mA或RS-485/232接口；</w:t>
            </w:r>
          </w:p>
        </w:tc>
        <w:tc>
          <w:tcPr>
            <w:tcW w:w="700" w:type="dxa"/>
            <w:tcBorders>
              <w:tl2br w:val="nil"/>
              <w:tr2bl w:val="nil"/>
            </w:tcBorders>
            <w:shd w:val="clear" w:color="auto" w:fill="auto"/>
            <w:tcMar>
              <w:top w:w="10" w:type="dxa"/>
              <w:left w:w="10" w:type="dxa"/>
              <w:right w:w="10" w:type="dxa"/>
            </w:tcMar>
            <w:vAlign w:val="center"/>
          </w:tcPr>
          <w:p w14:paraId="113AA7AE">
            <w:pPr>
              <w:widowControl/>
              <w:spacing w:before="60" w:after="60"/>
              <w:jc w:val="center"/>
              <w:textAlignment w:val="center"/>
              <w:rPr>
                <w:sz w:val="18"/>
                <w:szCs w:val="18"/>
              </w:rPr>
            </w:pPr>
            <w:r>
              <w:rPr>
                <w:rFonts w:hint="eastAsia"/>
                <w:sz w:val="18"/>
                <w:szCs w:val="18"/>
              </w:rPr>
              <w:t>82</w:t>
            </w:r>
          </w:p>
        </w:tc>
        <w:tc>
          <w:tcPr>
            <w:tcW w:w="1920" w:type="dxa"/>
            <w:tcBorders>
              <w:tl2br w:val="nil"/>
              <w:tr2bl w:val="nil"/>
            </w:tcBorders>
            <w:shd w:val="clear" w:color="auto" w:fill="auto"/>
            <w:noWrap/>
            <w:tcMar>
              <w:top w:w="10" w:type="dxa"/>
              <w:left w:w="10" w:type="dxa"/>
              <w:right w:w="10" w:type="dxa"/>
            </w:tcMar>
            <w:vAlign w:val="center"/>
          </w:tcPr>
          <w:p w14:paraId="123F7151">
            <w:pPr>
              <w:widowControl/>
              <w:spacing w:before="60" w:after="60"/>
              <w:jc w:val="center"/>
              <w:textAlignment w:val="center"/>
              <w:rPr>
                <w:sz w:val="18"/>
                <w:szCs w:val="18"/>
              </w:rPr>
            </w:pPr>
          </w:p>
        </w:tc>
        <w:tc>
          <w:tcPr>
            <w:tcW w:w="780" w:type="dxa"/>
            <w:tcBorders>
              <w:tl2br w:val="nil"/>
              <w:tr2bl w:val="nil"/>
            </w:tcBorders>
            <w:shd w:val="clear" w:color="auto" w:fill="auto"/>
            <w:noWrap/>
            <w:tcMar>
              <w:top w:w="10" w:type="dxa"/>
              <w:left w:w="10" w:type="dxa"/>
              <w:right w:w="10" w:type="dxa"/>
            </w:tcMar>
            <w:vAlign w:val="center"/>
          </w:tcPr>
          <w:p w14:paraId="26EADF42">
            <w:pPr>
              <w:spacing w:before="60" w:after="60"/>
              <w:rPr>
                <w:sz w:val="18"/>
                <w:szCs w:val="18"/>
              </w:rPr>
            </w:pPr>
          </w:p>
        </w:tc>
      </w:tr>
      <w:tr w14:paraId="0779B8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768" w:type="dxa"/>
            <w:tcBorders>
              <w:tl2br w:val="nil"/>
              <w:tr2bl w:val="nil"/>
            </w:tcBorders>
            <w:shd w:val="clear" w:color="auto" w:fill="auto"/>
            <w:tcMar>
              <w:top w:w="10" w:type="dxa"/>
              <w:left w:w="10" w:type="dxa"/>
              <w:right w:w="10" w:type="dxa"/>
            </w:tcMar>
            <w:vAlign w:val="center"/>
          </w:tcPr>
          <w:p w14:paraId="25CE6307">
            <w:pPr>
              <w:widowControl/>
              <w:spacing w:before="60" w:after="60"/>
              <w:jc w:val="center"/>
              <w:textAlignment w:val="center"/>
              <w:rPr>
                <w:sz w:val="18"/>
                <w:szCs w:val="18"/>
              </w:rPr>
            </w:pPr>
            <w:r>
              <w:rPr>
                <w:rFonts w:hint="eastAsia"/>
                <w:sz w:val="18"/>
                <w:szCs w:val="18"/>
              </w:rPr>
              <w:t>2.5</w:t>
            </w:r>
          </w:p>
        </w:tc>
        <w:tc>
          <w:tcPr>
            <w:tcW w:w="1210" w:type="dxa"/>
            <w:tcBorders>
              <w:tl2br w:val="nil"/>
              <w:tr2bl w:val="nil"/>
            </w:tcBorders>
            <w:shd w:val="clear" w:color="auto" w:fill="auto"/>
            <w:tcMar>
              <w:top w:w="10" w:type="dxa"/>
              <w:left w:w="10" w:type="dxa"/>
              <w:right w:w="10" w:type="dxa"/>
            </w:tcMar>
            <w:vAlign w:val="center"/>
          </w:tcPr>
          <w:p w14:paraId="79B9BA8A">
            <w:pPr>
              <w:widowControl/>
              <w:spacing w:before="60" w:after="60"/>
              <w:jc w:val="center"/>
              <w:textAlignment w:val="center"/>
              <w:rPr>
                <w:sz w:val="18"/>
                <w:szCs w:val="18"/>
              </w:rPr>
            </w:pPr>
            <w:r>
              <w:rPr>
                <w:rFonts w:hint="eastAsia"/>
                <w:sz w:val="18"/>
                <w:szCs w:val="18"/>
              </w:rPr>
              <w:t>环境数据综合处理单元</w:t>
            </w:r>
          </w:p>
        </w:tc>
        <w:tc>
          <w:tcPr>
            <w:tcW w:w="700" w:type="dxa"/>
            <w:tcBorders>
              <w:tl2br w:val="nil"/>
              <w:tr2bl w:val="nil"/>
            </w:tcBorders>
            <w:shd w:val="clear" w:color="auto" w:fill="auto"/>
            <w:tcMar>
              <w:top w:w="10" w:type="dxa"/>
              <w:left w:w="10" w:type="dxa"/>
              <w:right w:w="10" w:type="dxa"/>
            </w:tcMar>
            <w:vAlign w:val="center"/>
          </w:tcPr>
          <w:p w14:paraId="65362668">
            <w:pPr>
              <w:widowControl/>
              <w:spacing w:before="60" w:after="60"/>
              <w:jc w:val="center"/>
              <w:textAlignment w:val="center"/>
              <w:rPr>
                <w:kern w:val="0"/>
                <w:sz w:val="18"/>
                <w:szCs w:val="18"/>
              </w:rPr>
            </w:pPr>
            <w:r>
              <w:rPr>
                <w:rFonts w:hint="eastAsia"/>
                <w:kern w:val="0"/>
                <w:sz w:val="18"/>
                <w:szCs w:val="18"/>
              </w:rPr>
              <w:t>台</w:t>
            </w:r>
          </w:p>
        </w:tc>
        <w:tc>
          <w:tcPr>
            <w:tcW w:w="2220" w:type="dxa"/>
            <w:tcBorders>
              <w:tl2br w:val="nil"/>
              <w:tr2bl w:val="nil"/>
            </w:tcBorders>
            <w:shd w:val="clear" w:color="auto" w:fill="auto"/>
            <w:tcMar>
              <w:top w:w="10" w:type="dxa"/>
              <w:left w:w="10" w:type="dxa"/>
              <w:right w:w="10" w:type="dxa"/>
            </w:tcMar>
            <w:vAlign w:val="center"/>
          </w:tcPr>
          <w:p w14:paraId="696C61BC">
            <w:pPr>
              <w:widowControl/>
              <w:jc w:val="left"/>
              <w:rPr>
                <w:sz w:val="18"/>
                <w:szCs w:val="18"/>
              </w:rPr>
            </w:pPr>
            <w:r>
              <w:rPr>
                <w:rFonts w:hint="eastAsia"/>
                <w:sz w:val="18"/>
                <w:szCs w:val="18"/>
              </w:rPr>
              <w:t>接入范围：环境采集单元负责环境信息接入；</w:t>
            </w:r>
          </w:p>
          <w:p w14:paraId="7DEE5018">
            <w:pPr>
              <w:widowControl/>
              <w:jc w:val="left"/>
              <w:rPr>
                <w:sz w:val="18"/>
                <w:szCs w:val="18"/>
              </w:rPr>
            </w:pPr>
            <w:r>
              <w:rPr>
                <w:rFonts w:hint="eastAsia"/>
                <w:sz w:val="18"/>
                <w:szCs w:val="18"/>
              </w:rPr>
              <w:t>接入能力：应具备16路4~20mA的标准电流环信号的接入能力，具备8路RS-485/232接口；</w:t>
            </w:r>
          </w:p>
          <w:p w14:paraId="3A83B104">
            <w:pPr>
              <w:widowControl/>
              <w:jc w:val="left"/>
              <w:rPr>
                <w:sz w:val="18"/>
                <w:szCs w:val="18"/>
              </w:rPr>
            </w:pPr>
            <w:r>
              <w:rPr>
                <w:rFonts w:hint="eastAsia"/>
                <w:sz w:val="18"/>
                <w:szCs w:val="18"/>
              </w:rPr>
              <w:t>接入方式：环境信息的采集应支持集中、分布等接入方式，可集中在RPU实现，可就地布置环境信息采集单元分布式实现，也可就近接入IP摄像机；</w:t>
            </w:r>
          </w:p>
          <w:p w14:paraId="692AA983">
            <w:pPr>
              <w:widowControl/>
              <w:jc w:val="left"/>
              <w:rPr>
                <w:sz w:val="18"/>
                <w:szCs w:val="18"/>
              </w:rPr>
            </w:pPr>
            <w:r>
              <w:rPr>
                <w:rFonts w:hint="eastAsia"/>
                <w:sz w:val="18"/>
                <w:szCs w:val="18"/>
              </w:rPr>
              <w:t>接入协议：宜采用Modbus、BACnet、南方电网104规约或IEC61850 MMS协议等方式与就近安装的IP摄像机或RPU进行交互通信。</w:t>
            </w:r>
          </w:p>
        </w:tc>
        <w:tc>
          <w:tcPr>
            <w:tcW w:w="700" w:type="dxa"/>
            <w:tcBorders>
              <w:tl2br w:val="nil"/>
              <w:tr2bl w:val="nil"/>
            </w:tcBorders>
            <w:shd w:val="clear" w:color="auto" w:fill="auto"/>
            <w:tcMar>
              <w:top w:w="10" w:type="dxa"/>
              <w:left w:w="10" w:type="dxa"/>
              <w:right w:w="10" w:type="dxa"/>
            </w:tcMar>
            <w:vAlign w:val="center"/>
          </w:tcPr>
          <w:p w14:paraId="24B5F63C">
            <w:pPr>
              <w:widowControl/>
              <w:spacing w:before="60" w:after="60"/>
              <w:jc w:val="center"/>
              <w:textAlignment w:val="center"/>
              <w:rPr>
                <w:sz w:val="18"/>
                <w:szCs w:val="18"/>
              </w:rPr>
            </w:pPr>
            <w:r>
              <w:rPr>
                <w:rFonts w:hint="eastAsia"/>
                <w:sz w:val="18"/>
                <w:szCs w:val="18"/>
              </w:rPr>
              <w:t>8</w:t>
            </w:r>
          </w:p>
        </w:tc>
        <w:tc>
          <w:tcPr>
            <w:tcW w:w="1920" w:type="dxa"/>
            <w:tcBorders>
              <w:tl2br w:val="nil"/>
              <w:tr2bl w:val="nil"/>
            </w:tcBorders>
            <w:shd w:val="clear" w:color="auto" w:fill="auto"/>
            <w:noWrap/>
            <w:tcMar>
              <w:top w:w="10" w:type="dxa"/>
              <w:left w:w="10" w:type="dxa"/>
              <w:right w:w="10" w:type="dxa"/>
            </w:tcMar>
            <w:vAlign w:val="center"/>
          </w:tcPr>
          <w:p w14:paraId="73B427FF">
            <w:pPr>
              <w:widowControl/>
              <w:spacing w:before="60" w:after="60"/>
              <w:jc w:val="center"/>
              <w:textAlignment w:val="center"/>
              <w:rPr>
                <w:sz w:val="18"/>
                <w:szCs w:val="18"/>
              </w:rPr>
            </w:pPr>
          </w:p>
        </w:tc>
        <w:tc>
          <w:tcPr>
            <w:tcW w:w="780" w:type="dxa"/>
            <w:tcBorders>
              <w:tl2br w:val="nil"/>
              <w:tr2bl w:val="nil"/>
            </w:tcBorders>
            <w:shd w:val="clear" w:color="auto" w:fill="auto"/>
            <w:noWrap/>
            <w:tcMar>
              <w:top w:w="10" w:type="dxa"/>
              <w:left w:w="10" w:type="dxa"/>
              <w:right w:w="10" w:type="dxa"/>
            </w:tcMar>
            <w:vAlign w:val="center"/>
          </w:tcPr>
          <w:p w14:paraId="616F576C">
            <w:pPr>
              <w:spacing w:before="60" w:after="60"/>
              <w:rPr>
                <w:sz w:val="18"/>
                <w:szCs w:val="18"/>
              </w:rPr>
            </w:pPr>
          </w:p>
        </w:tc>
      </w:tr>
      <w:tr w14:paraId="0ADD76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66" w:hRule="atLeast"/>
        </w:trPr>
        <w:tc>
          <w:tcPr>
            <w:tcW w:w="768" w:type="dxa"/>
            <w:tcBorders>
              <w:tl2br w:val="nil"/>
              <w:tr2bl w:val="nil"/>
            </w:tcBorders>
            <w:shd w:val="clear" w:color="auto" w:fill="auto"/>
            <w:tcMar>
              <w:top w:w="10" w:type="dxa"/>
              <w:left w:w="10" w:type="dxa"/>
              <w:right w:w="10" w:type="dxa"/>
            </w:tcMar>
            <w:vAlign w:val="center"/>
          </w:tcPr>
          <w:p w14:paraId="63B19AE1">
            <w:pPr>
              <w:widowControl/>
              <w:spacing w:before="60" w:after="60"/>
              <w:jc w:val="center"/>
              <w:textAlignment w:val="center"/>
              <w:rPr>
                <w:sz w:val="18"/>
                <w:szCs w:val="18"/>
              </w:rPr>
            </w:pPr>
            <w:r>
              <w:rPr>
                <w:rFonts w:hint="eastAsia"/>
                <w:sz w:val="18"/>
                <w:szCs w:val="18"/>
              </w:rPr>
              <w:t>2.6</w:t>
            </w:r>
          </w:p>
          <w:p w14:paraId="2F8F909E">
            <w:pPr>
              <w:widowControl/>
              <w:spacing w:before="60" w:after="60"/>
              <w:jc w:val="center"/>
              <w:textAlignment w:val="center"/>
              <w:rPr>
                <w:sz w:val="18"/>
                <w:szCs w:val="18"/>
              </w:rPr>
            </w:pPr>
          </w:p>
        </w:tc>
        <w:tc>
          <w:tcPr>
            <w:tcW w:w="1210" w:type="dxa"/>
            <w:tcBorders>
              <w:tl2br w:val="nil"/>
              <w:tr2bl w:val="nil"/>
            </w:tcBorders>
            <w:shd w:val="clear" w:color="auto" w:fill="auto"/>
            <w:tcMar>
              <w:top w:w="10" w:type="dxa"/>
              <w:left w:w="10" w:type="dxa"/>
              <w:right w:w="10" w:type="dxa"/>
            </w:tcMar>
            <w:vAlign w:val="center"/>
          </w:tcPr>
          <w:p w14:paraId="31ABBFF0">
            <w:pPr>
              <w:widowControl/>
              <w:spacing w:before="60" w:after="60"/>
              <w:jc w:val="center"/>
              <w:textAlignment w:val="center"/>
              <w:rPr>
                <w:sz w:val="18"/>
                <w:szCs w:val="18"/>
              </w:rPr>
            </w:pPr>
            <w:r>
              <w:rPr>
                <w:rFonts w:hint="eastAsia"/>
                <w:sz w:val="18"/>
                <w:szCs w:val="18"/>
              </w:rPr>
              <w:t>风机、水泵远方控制模块</w:t>
            </w:r>
          </w:p>
        </w:tc>
        <w:tc>
          <w:tcPr>
            <w:tcW w:w="700" w:type="dxa"/>
            <w:tcBorders>
              <w:tl2br w:val="nil"/>
              <w:tr2bl w:val="nil"/>
            </w:tcBorders>
            <w:shd w:val="clear" w:color="auto" w:fill="auto"/>
            <w:tcMar>
              <w:top w:w="10" w:type="dxa"/>
              <w:left w:w="10" w:type="dxa"/>
              <w:right w:w="10" w:type="dxa"/>
            </w:tcMar>
            <w:vAlign w:val="center"/>
          </w:tcPr>
          <w:p w14:paraId="24EF190E">
            <w:pPr>
              <w:widowControl/>
              <w:spacing w:before="60" w:after="60"/>
              <w:jc w:val="center"/>
              <w:textAlignment w:val="center"/>
              <w:rPr>
                <w:kern w:val="0"/>
                <w:sz w:val="18"/>
                <w:szCs w:val="18"/>
              </w:rPr>
            </w:pPr>
            <w:r>
              <w:rPr>
                <w:rFonts w:hint="eastAsia"/>
                <w:kern w:val="0"/>
                <w:sz w:val="18"/>
                <w:szCs w:val="18"/>
              </w:rPr>
              <w:t>套</w:t>
            </w:r>
          </w:p>
        </w:tc>
        <w:tc>
          <w:tcPr>
            <w:tcW w:w="2220" w:type="dxa"/>
            <w:tcBorders>
              <w:tl2br w:val="nil"/>
              <w:tr2bl w:val="nil"/>
            </w:tcBorders>
            <w:shd w:val="clear" w:color="auto" w:fill="auto"/>
            <w:tcMar>
              <w:top w:w="10" w:type="dxa"/>
              <w:left w:w="10" w:type="dxa"/>
              <w:right w:w="10" w:type="dxa"/>
            </w:tcMar>
            <w:vAlign w:val="center"/>
          </w:tcPr>
          <w:p w14:paraId="03A0F0C7">
            <w:pPr>
              <w:widowControl/>
              <w:jc w:val="left"/>
              <w:rPr>
                <w:sz w:val="18"/>
                <w:szCs w:val="18"/>
              </w:rPr>
            </w:pPr>
            <w:r>
              <w:rPr>
                <w:rFonts w:hint="eastAsia"/>
                <w:sz w:val="18"/>
                <w:szCs w:val="18"/>
              </w:rPr>
              <w:t>（1）风机控制器参数满足</w:t>
            </w:r>
          </w:p>
          <w:p w14:paraId="5041A8BB">
            <w:pPr>
              <w:widowControl/>
              <w:jc w:val="left"/>
              <w:rPr>
                <w:sz w:val="18"/>
                <w:szCs w:val="18"/>
              </w:rPr>
            </w:pPr>
            <w:r>
              <w:rPr>
                <w:rFonts w:hint="eastAsia"/>
                <w:sz w:val="18"/>
                <w:szCs w:val="18"/>
              </w:rPr>
              <w:t>a、支持远程控制；</w:t>
            </w:r>
          </w:p>
          <w:p w14:paraId="01F2EEBF">
            <w:pPr>
              <w:widowControl/>
              <w:jc w:val="left"/>
              <w:rPr>
                <w:sz w:val="18"/>
                <w:szCs w:val="18"/>
              </w:rPr>
            </w:pPr>
            <w:r>
              <w:rPr>
                <w:rFonts w:hint="eastAsia"/>
                <w:sz w:val="18"/>
                <w:szCs w:val="18"/>
              </w:rPr>
              <w:t>b、适用于交流50Hz，额定电压220V/380V,额定电流16A的线路中[3000W(容性负载900W)]；</w:t>
            </w:r>
          </w:p>
          <w:p w14:paraId="5FBDBC93">
            <w:pPr>
              <w:widowControl/>
              <w:jc w:val="left"/>
              <w:rPr>
                <w:sz w:val="18"/>
                <w:szCs w:val="18"/>
              </w:rPr>
            </w:pPr>
            <w:r>
              <w:rPr>
                <w:rFonts w:hint="eastAsia"/>
                <w:sz w:val="18"/>
                <w:szCs w:val="18"/>
              </w:rPr>
              <w:t>c、运行温度：-25℃~+65℃；</w:t>
            </w:r>
          </w:p>
          <w:p w14:paraId="0CF82D2C">
            <w:pPr>
              <w:widowControl/>
              <w:jc w:val="left"/>
              <w:rPr>
                <w:sz w:val="18"/>
                <w:szCs w:val="18"/>
              </w:rPr>
            </w:pPr>
            <w:r>
              <w:rPr>
                <w:rFonts w:hint="eastAsia"/>
                <w:sz w:val="18"/>
                <w:szCs w:val="18"/>
              </w:rPr>
              <w:t>d、额定短路分断能力：6kA；</w:t>
            </w:r>
          </w:p>
          <w:p w14:paraId="27E9AC54">
            <w:pPr>
              <w:widowControl/>
              <w:jc w:val="left"/>
              <w:rPr>
                <w:sz w:val="18"/>
                <w:szCs w:val="18"/>
              </w:rPr>
            </w:pPr>
            <w:r>
              <w:rPr>
                <w:rFonts w:hint="eastAsia"/>
                <w:sz w:val="18"/>
                <w:szCs w:val="18"/>
              </w:rPr>
              <w:t>e、额定冲击耐受电压：6kV；</w:t>
            </w:r>
          </w:p>
          <w:p w14:paraId="4A84E6F6">
            <w:pPr>
              <w:widowControl/>
              <w:jc w:val="left"/>
              <w:rPr>
                <w:sz w:val="18"/>
                <w:szCs w:val="18"/>
              </w:rPr>
            </w:pPr>
            <w:r>
              <w:rPr>
                <w:rFonts w:hint="eastAsia"/>
                <w:sz w:val="18"/>
                <w:szCs w:val="18"/>
              </w:rPr>
              <w:t>f、机械寿命：大于10000次；</w:t>
            </w:r>
          </w:p>
          <w:p w14:paraId="679D3A0A">
            <w:pPr>
              <w:widowControl/>
              <w:jc w:val="left"/>
              <w:rPr>
                <w:sz w:val="18"/>
                <w:szCs w:val="18"/>
              </w:rPr>
            </w:pPr>
            <w:r>
              <w:rPr>
                <w:rFonts w:hint="eastAsia"/>
                <w:sz w:val="18"/>
                <w:szCs w:val="18"/>
              </w:rPr>
              <w:t>g、电气寿命：大于6000次；</w:t>
            </w:r>
          </w:p>
          <w:p w14:paraId="15C88733">
            <w:pPr>
              <w:widowControl/>
              <w:jc w:val="left"/>
              <w:rPr>
                <w:sz w:val="18"/>
                <w:szCs w:val="18"/>
              </w:rPr>
            </w:pPr>
            <w:r>
              <w:rPr>
                <w:rFonts w:hint="eastAsia"/>
                <w:sz w:val="18"/>
                <w:szCs w:val="18"/>
              </w:rPr>
              <w:t>h、最大接线能力：50mm²；</w:t>
            </w:r>
          </w:p>
          <w:p w14:paraId="48F762C7">
            <w:pPr>
              <w:widowControl/>
              <w:jc w:val="left"/>
              <w:rPr>
                <w:sz w:val="18"/>
                <w:szCs w:val="18"/>
              </w:rPr>
            </w:pPr>
            <w:r>
              <w:rPr>
                <w:rFonts w:hint="eastAsia"/>
                <w:sz w:val="18"/>
                <w:szCs w:val="18"/>
              </w:rPr>
              <w:t>i、防护等级：IP20；</w:t>
            </w:r>
          </w:p>
          <w:p w14:paraId="55954F6C">
            <w:pPr>
              <w:widowControl/>
              <w:jc w:val="left"/>
              <w:rPr>
                <w:sz w:val="18"/>
                <w:szCs w:val="18"/>
              </w:rPr>
            </w:pPr>
            <w:r>
              <w:rPr>
                <w:rFonts w:hint="eastAsia"/>
                <w:sz w:val="18"/>
                <w:szCs w:val="18"/>
              </w:rPr>
              <w:t>j、远程控制协议：RS485；</w:t>
            </w:r>
          </w:p>
          <w:p w14:paraId="5C14C7FC">
            <w:pPr>
              <w:widowControl/>
              <w:jc w:val="left"/>
              <w:rPr>
                <w:sz w:val="18"/>
                <w:szCs w:val="18"/>
              </w:rPr>
            </w:pPr>
            <w:r>
              <w:rPr>
                <w:rFonts w:hint="eastAsia"/>
                <w:sz w:val="18"/>
                <w:szCs w:val="18"/>
              </w:rPr>
              <w:t>（2）水泵控制器参数满足</w:t>
            </w:r>
          </w:p>
          <w:p w14:paraId="24490203">
            <w:pPr>
              <w:widowControl/>
              <w:jc w:val="left"/>
              <w:rPr>
                <w:sz w:val="18"/>
                <w:szCs w:val="18"/>
              </w:rPr>
            </w:pPr>
            <w:r>
              <w:rPr>
                <w:rFonts w:hint="eastAsia"/>
                <w:sz w:val="18"/>
                <w:szCs w:val="18"/>
              </w:rPr>
              <w:t>a.电源： AC220V 50Hz，&lt;5W（此处为PUC200自身功耗，不含控制回路线圈功耗）；尺寸：212*140*60（mm）；</w:t>
            </w:r>
          </w:p>
          <w:p w14:paraId="1FDF0369">
            <w:pPr>
              <w:widowControl/>
              <w:jc w:val="left"/>
              <w:rPr>
                <w:sz w:val="18"/>
                <w:szCs w:val="18"/>
              </w:rPr>
            </w:pPr>
            <w:r>
              <w:rPr>
                <w:rFonts w:hint="eastAsia"/>
                <w:sz w:val="18"/>
                <w:szCs w:val="18"/>
              </w:rPr>
              <w:t>b.工作环境：温度：-20℃~70℃；湿度：0~99%RH；模拟水位测量：量程：0~5米，接口：DC24V两线4~20mA 电流环；精度：1%；</w:t>
            </w:r>
          </w:p>
          <w:p w14:paraId="49929036">
            <w:pPr>
              <w:widowControl/>
              <w:jc w:val="left"/>
              <w:rPr>
                <w:sz w:val="18"/>
                <w:szCs w:val="18"/>
              </w:rPr>
            </w:pPr>
            <w:r>
              <w:rPr>
                <w:rFonts w:hint="eastAsia"/>
                <w:sz w:val="18"/>
                <w:szCs w:val="18"/>
              </w:rPr>
              <w:t>浮球开关（浮球与水泵的联动需满足就地及远程控制）：</w:t>
            </w:r>
          </w:p>
          <w:p w14:paraId="16B342E2">
            <w:pPr>
              <w:widowControl/>
              <w:jc w:val="left"/>
              <w:rPr>
                <w:sz w:val="18"/>
                <w:szCs w:val="18"/>
              </w:rPr>
            </w:pPr>
            <w:r>
              <w:rPr>
                <w:rFonts w:hint="eastAsia"/>
                <w:sz w:val="18"/>
                <w:szCs w:val="18"/>
              </w:rPr>
              <w:t>上浮球：常开触点输入（水位越限时触点闭合）下浮球：常开触点输入（水位越限时触点闭合）超警戒水位浮球：常开触点输入（水位越限时触点闭合），支持超警戒水位报警信息上送至主站系统显示；</w:t>
            </w:r>
          </w:p>
          <w:p w14:paraId="761994B7">
            <w:pPr>
              <w:widowControl/>
              <w:jc w:val="left"/>
              <w:rPr>
                <w:sz w:val="18"/>
                <w:szCs w:val="18"/>
              </w:rPr>
            </w:pPr>
            <w:r>
              <w:rPr>
                <w:rFonts w:hint="eastAsia"/>
                <w:sz w:val="18"/>
                <w:szCs w:val="18"/>
              </w:rPr>
              <w:t>c.输出：常开触点输出；</w:t>
            </w:r>
          </w:p>
          <w:p w14:paraId="4E6B2EA9">
            <w:pPr>
              <w:widowControl/>
              <w:jc w:val="left"/>
              <w:rPr>
                <w:sz w:val="18"/>
                <w:szCs w:val="18"/>
              </w:rPr>
            </w:pPr>
            <w:r>
              <w:rPr>
                <w:rFonts w:hint="eastAsia"/>
                <w:sz w:val="18"/>
                <w:szCs w:val="18"/>
              </w:rPr>
              <w:t>d.节点容量：5A  250VAC；</w:t>
            </w:r>
          </w:p>
          <w:p w14:paraId="00E9DEBE">
            <w:pPr>
              <w:widowControl/>
              <w:jc w:val="left"/>
              <w:rPr>
                <w:sz w:val="18"/>
                <w:szCs w:val="18"/>
              </w:rPr>
            </w:pPr>
            <w:r>
              <w:rPr>
                <w:rFonts w:hint="eastAsia"/>
                <w:sz w:val="18"/>
                <w:szCs w:val="18"/>
              </w:rPr>
              <w:t>e.通信端口：两线RS485，9600bps；</w:t>
            </w:r>
          </w:p>
          <w:p w14:paraId="2712CE3B">
            <w:pPr>
              <w:widowControl/>
              <w:jc w:val="left"/>
              <w:rPr>
                <w:sz w:val="18"/>
                <w:szCs w:val="18"/>
              </w:rPr>
            </w:pPr>
            <w:r>
              <w:rPr>
                <w:rFonts w:hint="eastAsia"/>
                <w:sz w:val="18"/>
                <w:szCs w:val="18"/>
              </w:rPr>
              <w:t>f.通信地址：1~255；</w:t>
            </w:r>
          </w:p>
          <w:p w14:paraId="177E718C">
            <w:pPr>
              <w:widowControl/>
              <w:jc w:val="left"/>
              <w:rPr>
                <w:sz w:val="18"/>
                <w:szCs w:val="18"/>
              </w:rPr>
            </w:pPr>
            <w:r>
              <w:rPr>
                <w:rFonts w:hint="eastAsia"/>
                <w:sz w:val="18"/>
                <w:szCs w:val="18"/>
              </w:rPr>
              <w:t>g.通信协议：RS 485。</w:t>
            </w:r>
            <w:r>
              <w:rPr>
                <w:rFonts w:hint="eastAsia"/>
                <w:sz w:val="18"/>
                <w:szCs w:val="18"/>
              </w:rPr>
              <w:br w:type="textWrapping"/>
            </w:r>
            <w:r>
              <w:rPr>
                <w:rFonts w:hint="eastAsia"/>
                <w:sz w:val="18"/>
                <w:szCs w:val="18"/>
              </w:rPr>
              <w:t>（3）安装范围需覆盖全站所有排污泵、风机的远方控制需求（不包含消防水泵、消防风机）</w:t>
            </w:r>
          </w:p>
        </w:tc>
        <w:tc>
          <w:tcPr>
            <w:tcW w:w="700" w:type="dxa"/>
            <w:tcBorders>
              <w:tl2br w:val="nil"/>
              <w:tr2bl w:val="nil"/>
            </w:tcBorders>
            <w:shd w:val="clear" w:color="auto" w:fill="auto"/>
            <w:tcMar>
              <w:top w:w="10" w:type="dxa"/>
              <w:left w:w="10" w:type="dxa"/>
              <w:right w:w="10" w:type="dxa"/>
            </w:tcMar>
            <w:vAlign w:val="center"/>
          </w:tcPr>
          <w:p w14:paraId="68D6CB1B">
            <w:pPr>
              <w:widowControl/>
              <w:spacing w:before="60" w:after="60"/>
              <w:jc w:val="center"/>
              <w:textAlignment w:val="center"/>
              <w:rPr>
                <w:sz w:val="18"/>
                <w:szCs w:val="18"/>
              </w:rPr>
            </w:pPr>
            <w:r>
              <w:rPr>
                <w:rFonts w:hint="eastAsia"/>
                <w:sz w:val="18"/>
                <w:szCs w:val="18"/>
              </w:rPr>
              <w:t>1</w:t>
            </w:r>
          </w:p>
        </w:tc>
        <w:tc>
          <w:tcPr>
            <w:tcW w:w="1920" w:type="dxa"/>
            <w:tcBorders>
              <w:tl2br w:val="nil"/>
              <w:tr2bl w:val="nil"/>
            </w:tcBorders>
            <w:shd w:val="clear" w:color="auto" w:fill="auto"/>
            <w:noWrap/>
            <w:tcMar>
              <w:top w:w="10" w:type="dxa"/>
              <w:left w:w="10" w:type="dxa"/>
              <w:right w:w="10" w:type="dxa"/>
            </w:tcMar>
            <w:vAlign w:val="center"/>
          </w:tcPr>
          <w:p w14:paraId="133AB8B2">
            <w:pPr>
              <w:widowControl/>
              <w:spacing w:before="60" w:after="60"/>
              <w:jc w:val="center"/>
              <w:textAlignment w:val="center"/>
              <w:rPr>
                <w:sz w:val="18"/>
                <w:szCs w:val="18"/>
              </w:rPr>
            </w:pPr>
          </w:p>
        </w:tc>
        <w:tc>
          <w:tcPr>
            <w:tcW w:w="780" w:type="dxa"/>
            <w:tcBorders>
              <w:tl2br w:val="nil"/>
              <w:tr2bl w:val="nil"/>
            </w:tcBorders>
            <w:shd w:val="clear" w:color="auto" w:fill="auto"/>
            <w:noWrap/>
            <w:tcMar>
              <w:top w:w="10" w:type="dxa"/>
              <w:left w:w="10" w:type="dxa"/>
              <w:right w:w="10" w:type="dxa"/>
            </w:tcMar>
            <w:vAlign w:val="center"/>
          </w:tcPr>
          <w:p w14:paraId="4ECC336B">
            <w:pPr>
              <w:spacing w:before="60" w:after="60"/>
              <w:rPr>
                <w:sz w:val="18"/>
                <w:szCs w:val="18"/>
              </w:rPr>
            </w:pPr>
          </w:p>
        </w:tc>
      </w:tr>
      <w:tr w14:paraId="67060F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768" w:type="dxa"/>
            <w:tcBorders>
              <w:tl2br w:val="nil"/>
              <w:tr2bl w:val="nil"/>
            </w:tcBorders>
            <w:shd w:val="clear" w:color="auto" w:fill="auto"/>
            <w:tcMar>
              <w:top w:w="10" w:type="dxa"/>
              <w:left w:w="10" w:type="dxa"/>
              <w:right w:w="10" w:type="dxa"/>
            </w:tcMar>
            <w:vAlign w:val="center"/>
          </w:tcPr>
          <w:p w14:paraId="6D272606">
            <w:pPr>
              <w:widowControl/>
              <w:spacing w:before="60" w:after="60"/>
              <w:jc w:val="center"/>
              <w:textAlignment w:val="center"/>
              <w:rPr>
                <w:sz w:val="18"/>
                <w:szCs w:val="18"/>
              </w:rPr>
            </w:pPr>
            <w:r>
              <w:rPr>
                <w:rFonts w:hint="eastAsia"/>
                <w:sz w:val="18"/>
                <w:szCs w:val="18"/>
              </w:rPr>
              <w:t>2.7</w:t>
            </w:r>
          </w:p>
        </w:tc>
        <w:tc>
          <w:tcPr>
            <w:tcW w:w="1210" w:type="dxa"/>
            <w:tcBorders>
              <w:tl2br w:val="nil"/>
              <w:tr2bl w:val="nil"/>
            </w:tcBorders>
            <w:shd w:val="clear" w:color="auto" w:fill="auto"/>
            <w:tcMar>
              <w:top w:w="10" w:type="dxa"/>
              <w:left w:w="10" w:type="dxa"/>
              <w:right w:w="10" w:type="dxa"/>
            </w:tcMar>
            <w:vAlign w:val="center"/>
          </w:tcPr>
          <w:p w14:paraId="11EAB788">
            <w:pPr>
              <w:widowControl/>
              <w:spacing w:before="60" w:after="60"/>
              <w:jc w:val="center"/>
              <w:textAlignment w:val="center"/>
              <w:rPr>
                <w:sz w:val="18"/>
                <w:szCs w:val="18"/>
              </w:rPr>
            </w:pPr>
            <w:r>
              <w:rPr>
                <w:rFonts w:hint="eastAsia"/>
                <w:sz w:val="18"/>
                <w:szCs w:val="18"/>
              </w:rPr>
              <w:t>电子巡查装置</w:t>
            </w:r>
          </w:p>
        </w:tc>
        <w:tc>
          <w:tcPr>
            <w:tcW w:w="700" w:type="dxa"/>
            <w:tcBorders>
              <w:tl2br w:val="nil"/>
              <w:tr2bl w:val="nil"/>
            </w:tcBorders>
            <w:shd w:val="clear" w:color="auto" w:fill="auto"/>
            <w:tcMar>
              <w:top w:w="10" w:type="dxa"/>
              <w:left w:w="10" w:type="dxa"/>
              <w:right w:w="10" w:type="dxa"/>
            </w:tcMar>
            <w:vAlign w:val="center"/>
          </w:tcPr>
          <w:p w14:paraId="748F9FEA">
            <w:pPr>
              <w:widowControl/>
              <w:spacing w:before="60" w:after="60"/>
              <w:jc w:val="center"/>
              <w:textAlignment w:val="center"/>
              <w:rPr>
                <w:kern w:val="0"/>
                <w:sz w:val="18"/>
                <w:szCs w:val="18"/>
              </w:rPr>
            </w:pPr>
            <w:r>
              <w:rPr>
                <w:rFonts w:hint="eastAsia"/>
                <w:kern w:val="0"/>
                <w:sz w:val="18"/>
                <w:szCs w:val="18"/>
              </w:rPr>
              <w:t>套</w:t>
            </w:r>
          </w:p>
        </w:tc>
        <w:tc>
          <w:tcPr>
            <w:tcW w:w="2220" w:type="dxa"/>
            <w:tcBorders>
              <w:tl2br w:val="nil"/>
              <w:tr2bl w:val="nil"/>
            </w:tcBorders>
            <w:shd w:val="clear" w:color="auto" w:fill="auto"/>
            <w:tcMar>
              <w:top w:w="10" w:type="dxa"/>
              <w:left w:w="10" w:type="dxa"/>
              <w:right w:w="10" w:type="dxa"/>
            </w:tcMar>
            <w:vAlign w:val="center"/>
          </w:tcPr>
          <w:p w14:paraId="44F6C719">
            <w:pPr>
              <w:widowControl/>
              <w:jc w:val="left"/>
              <w:rPr>
                <w:sz w:val="18"/>
                <w:szCs w:val="18"/>
              </w:rPr>
            </w:pPr>
            <w:r>
              <w:rPr>
                <w:rFonts w:hint="eastAsia"/>
                <w:sz w:val="18"/>
                <w:szCs w:val="18"/>
              </w:rPr>
              <w:t>满足站内三级反恐需求</w:t>
            </w:r>
          </w:p>
        </w:tc>
        <w:tc>
          <w:tcPr>
            <w:tcW w:w="700" w:type="dxa"/>
            <w:tcBorders>
              <w:tl2br w:val="nil"/>
              <w:tr2bl w:val="nil"/>
            </w:tcBorders>
            <w:shd w:val="clear" w:color="auto" w:fill="auto"/>
            <w:tcMar>
              <w:top w:w="10" w:type="dxa"/>
              <w:left w:w="10" w:type="dxa"/>
              <w:right w:w="10" w:type="dxa"/>
            </w:tcMar>
            <w:vAlign w:val="center"/>
          </w:tcPr>
          <w:p w14:paraId="4A40E3EC">
            <w:pPr>
              <w:widowControl/>
              <w:spacing w:before="60" w:after="60"/>
              <w:jc w:val="center"/>
              <w:textAlignment w:val="center"/>
              <w:rPr>
                <w:sz w:val="18"/>
                <w:szCs w:val="18"/>
              </w:rPr>
            </w:pPr>
            <w:r>
              <w:rPr>
                <w:rFonts w:hint="eastAsia"/>
                <w:sz w:val="18"/>
                <w:szCs w:val="18"/>
              </w:rPr>
              <w:t>1</w:t>
            </w:r>
          </w:p>
        </w:tc>
        <w:tc>
          <w:tcPr>
            <w:tcW w:w="1920" w:type="dxa"/>
            <w:tcBorders>
              <w:tl2br w:val="nil"/>
              <w:tr2bl w:val="nil"/>
            </w:tcBorders>
            <w:shd w:val="clear" w:color="auto" w:fill="auto"/>
            <w:noWrap/>
            <w:tcMar>
              <w:top w:w="10" w:type="dxa"/>
              <w:left w:w="10" w:type="dxa"/>
              <w:right w:w="10" w:type="dxa"/>
            </w:tcMar>
            <w:vAlign w:val="center"/>
          </w:tcPr>
          <w:p w14:paraId="3674A668">
            <w:pPr>
              <w:widowControl/>
              <w:spacing w:before="60" w:after="60"/>
              <w:jc w:val="center"/>
              <w:textAlignment w:val="center"/>
              <w:rPr>
                <w:sz w:val="18"/>
                <w:szCs w:val="18"/>
              </w:rPr>
            </w:pPr>
          </w:p>
        </w:tc>
        <w:tc>
          <w:tcPr>
            <w:tcW w:w="780" w:type="dxa"/>
            <w:tcBorders>
              <w:tl2br w:val="nil"/>
              <w:tr2bl w:val="nil"/>
            </w:tcBorders>
            <w:shd w:val="clear" w:color="auto" w:fill="auto"/>
            <w:noWrap/>
            <w:tcMar>
              <w:top w:w="10" w:type="dxa"/>
              <w:left w:w="10" w:type="dxa"/>
              <w:right w:w="10" w:type="dxa"/>
            </w:tcMar>
            <w:vAlign w:val="center"/>
          </w:tcPr>
          <w:p w14:paraId="3420BD2C">
            <w:pPr>
              <w:spacing w:before="60" w:after="60"/>
              <w:rPr>
                <w:sz w:val="18"/>
                <w:szCs w:val="18"/>
              </w:rPr>
            </w:pPr>
          </w:p>
        </w:tc>
      </w:tr>
      <w:tr w14:paraId="106C0E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768" w:type="dxa"/>
            <w:tcBorders>
              <w:tl2br w:val="nil"/>
              <w:tr2bl w:val="nil"/>
            </w:tcBorders>
            <w:shd w:val="clear" w:color="auto" w:fill="auto"/>
            <w:tcMar>
              <w:top w:w="10" w:type="dxa"/>
              <w:left w:w="10" w:type="dxa"/>
              <w:right w:w="10" w:type="dxa"/>
            </w:tcMar>
            <w:vAlign w:val="center"/>
          </w:tcPr>
          <w:p w14:paraId="6E82565E">
            <w:pPr>
              <w:widowControl/>
              <w:spacing w:before="60" w:after="60"/>
              <w:jc w:val="center"/>
              <w:textAlignment w:val="center"/>
              <w:rPr>
                <w:b/>
                <w:bCs/>
                <w:kern w:val="0"/>
                <w:sz w:val="18"/>
                <w:szCs w:val="18"/>
              </w:rPr>
            </w:pPr>
            <w:r>
              <w:rPr>
                <w:rFonts w:hint="eastAsia"/>
                <w:b/>
                <w:bCs/>
                <w:kern w:val="0"/>
                <w:sz w:val="18"/>
                <w:szCs w:val="18"/>
              </w:rPr>
              <w:t>3</w:t>
            </w:r>
          </w:p>
        </w:tc>
        <w:tc>
          <w:tcPr>
            <w:tcW w:w="1210" w:type="dxa"/>
            <w:tcBorders>
              <w:tl2br w:val="nil"/>
              <w:tr2bl w:val="nil"/>
            </w:tcBorders>
            <w:shd w:val="clear" w:color="auto" w:fill="auto"/>
            <w:tcMar>
              <w:top w:w="10" w:type="dxa"/>
              <w:left w:w="10" w:type="dxa"/>
              <w:right w:w="10" w:type="dxa"/>
            </w:tcMar>
            <w:vAlign w:val="center"/>
          </w:tcPr>
          <w:p w14:paraId="1938467E">
            <w:pPr>
              <w:widowControl/>
              <w:spacing w:before="60" w:after="60"/>
              <w:jc w:val="center"/>
              <w:textAlignment w:val="center"/>
              <w:rPr>
                <w:b/>
                <w:bCs/>
                <w:kern w:val="0"/>
                <w:sz w:val="18"/>
                <w:szCs w:val="18"/>
              </w:rPr>
            </w:pPr>
            <w:r>
              <w:rPr>
                <w:rFonts w:hint="eastAsia"/>
                <w:b/>
                <w:bCs/>
                <w:sz w:val="18"/>
                <w:szCs w:val="18"/>
              </w:rPr>
              <w:t>站端硬件及智能网关</w:t>
            </w:r>
          </w:p>
        </w:tc>
        <w:tc>
          <w:tcPr>
            <w:tcW w:w="700" w:type="dxa"/>
            <w:tcBorders>
              <w:tl2br w:val="nil"/>
              <w:tr2bl w:val="nil"/>
            </w:tcBorders>
            <w:shd w:val="clear" w:color="auto" w:fill="auto"/>
            <w:tcMar>
              <w:top w:w="10" w:type="dxa"/>
              <w:left w:w="10" w:type="dxa"/>
              <w:right w:w="10" w:type="dxa"/>
            </w:tcMar>
            <w:vAlign w:val="center"/>
          </w:tcPr>
          <w:p w14:paraId="1EF50A72">
            <w:pPr>
              <w:widowControl/>
              <w:spacing w:before="60" w:after="60"/>
              <w:jc w:val="center"/>
              <w:textAlignment w:val="center"/>
              <w:rPr>
                <w:kern w:val="0"/>
                <w:sz w:val="18"/>
                <w:szCs w:val="18"/>
              </w:rPr>
            </w:pPr>
          </w:p>
        </w:tc>
        <w:tc>
          <w:tcPr>
            <w:tcW w:w="2220" w:type="dxa"/>
            <w:tcBorders>
              <w:tl2br w:val="nil"/>
              <w:tr2bl w:val="nil"/>
            </w:tcBorders>
            <w:shd w:val="clear" w:color="auto" w:fill="auto"/>
            <w:tcMar>
              <w:top w:w="10" w:type="dxa"/>
              <w:left w:w="10" w:type="dxa"/>
              <w:right w:w="10" w:type="dxa"/>
            </w:tcMar>
            <w:vAlign w:val="center"/>
          </w:tcPr>
          <w:p w14:paraId="399E7382">
            <w:pPr>
              <w:spacing w:before="60" w:after="60"/>
              <w:rPr>
                <w:sz w:val="18"/>
                <w:szCs w:val="18"/>
              </w:rPr>
            </w:pPr>
          </w:p>
        </w:tc>
        <w:tc>
          <w:tcPr>
            <w:tcW w:w="700" w:type="dxa"/>
            <w:tcBorders>
              <w:tl2br w:val="nil"/>
              <w:tr2bl w:val="nil"/>
            </w:tcBorders>
            <w:shd w:val="clear" w:color="auto" w:fill="auto"/>
            <w:tcMar>
              <w:top w:w="10" w:type="dxa"/>
              <w:left w:w="10" w:type="dxa"/>
              <w:right w:w="10" w:type="dxa"/>
            </w:tcMar>
            <w:vAlign w:val="center"/>
          </w:tcPr>
          <w:p w14:paraId="0EC20FA1">
            <w:pPr>
              <w:widowControl/>
              <w:spacing w:before="60" w:after="60"/>
              <w:jc w:val="center"/>
              <w:textAlignment w:val="center"/>
              <w:rPr>
                <w:kern w:val="0"/>
                <w:sz w:val="18"/>
                <w:szCs w:val="18"/>
              </w:rPr>
            </w:pPr>
          </w:p>
        </w:tc>
        <w:tc>
          <w:tcPr>
            <w:tcW w:w="1920" w:type="dxa"/>
            <w:tcBorders>
              <w:tl2br w:val="nil"/>
              <w:tr2bl w:val="nil"/>
            </w:tcBorders>
            <w:shd w:val="clear" w:color="auto" w:fill="auto"/>
            <w:noWrap/>
            <w:tcMar>
              <w:top w:w="10" w:type="dxa"/>
              <w:left w:w="10" w:type="dxa"/>
              <w:right w:w="10" w:type="dxa"/>
            </w:tcMar>
            <w:vAlign w:val="center"/>
          </w:tcPr>
          <w:p w14:paraId="45DE5F51">
            <w:pPr>
              <w:spacing w:before="60" w:after="60"/>
              <w:rPr>
                <w:sz w:val="18"/>
                <w:szCs w:val="18"/>
              </w:rPr>
            </w:pPr>
          </w:p>
        </w:tc>
        <w:tc>
          <w:tcPr>
            <w:tcW w:w="780" w:type="dxa"/>
            <w:tcBorders>
              <w:tl2br w:val="nil"/>
              <w:tr2bl w:val="nil"/>
            </w:tcBorders>
            <w:shd w:val="clear" w:color="auto" w:fill="auto"/>
            <w:noWrap/>
            <w:tcMar>
              <w:top w:w="10" w:type="dxa"/>
              <w:left w:w="10" w:type="dxa"/>
              <w:right w:w="10" w:type="dxa"/>
            </w:tcMar>
            <w:vAlign w:val="center"/>
          </w:tcPr>
          <w:p w14:paraId="7EFB795E">
            <w:pPr>
              <w:spacing w:before="60" w:after="60"/>
              <w:rPr>
                <w:sz w:val="18"/>
                <w:szCs w:val="18"/>
              </w:rPr>
            </w:pPr>
          </w:p>
        </w:tc>
      </w:tr>
      <w:tr w14:paraId="77E693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768" w:type="dxa"/>
            <w:tcBorders>
              <w:tl2br w:val="nil"/>
              <w:tr2bl w:val="nil"/>
            </w:tcBorders>
            <w:shd w:val="clear" w:color="auto" w:fill="auto"/>
            <w:tcMar>
              <w:top w:w="10" w:type="dxa"/>
              <w:left w:w="10" w:type="dxa"/>
              <w:right w:w="10" w:type="dxa"/>
            </w:tcMar>
            <w:vAlign w:val="center"/>
          </w:tcPr>
          <w:p w14:paraId="1C6C687A">
            <w:pPr>
              <w:widowControl/>
              <w:spacing w:before="60" w:after="60"/>
              <w:jc w:val="center"/>
              <w:textAlignment w:val="center"/>
              <w:rPr>
                <w:kern w:val="0"/>
                <w:sz w:val="18"/>
                <w:szCs w:val="18"/>
              </w:rPr>
            </w:pPr>
            <w:r>
              <w:rPr>
                <w:rFonts w:hint="eastAsia"/>
                <w:sz w:val="18"/>
                <w:szCs w:val="18"/>
              </w:rPr>
              <w:t>3.1</w:t>
            </w:r>
          </w:p>
        </w:tc>
        <w:tc>
          <w:tcPr>
            <w:tcW w:w="1210" w:type="dxa"/>
            <w:tcBorders>
              <w:tl2br w:val="nil"/>
              <w:tr2bl w:val="nil"/>
            </w:tcBorders>
            <w:shd w:val="clear" w:color="auto" w:fill="auto"/>
            <w:tcMar>
              <w:top w:w="10" w:type="dxa"/>
              <w:left w:w="10" w:type="dxa"/>
              <w:right w:w="10" w:type="dxa"/>
            </w:tcMar>
            <w:vAlign w:val="center"/>
          </w:tcPr>
          <w:p w14:paraId="05F0CA05">
            <w:pPr>
              <w:widowControl/>
              <w:spacing w:before="60" w:after="60"/>
              <w:jc w:val="center"/>
              <w:textAlignment w:val="center"/>
              <w:rPr>
                <w:sz w:val="18"/>
                <w:szCs w:val="18"/>
              </w:rPr>
            </w:pPr>
            <w:r>
              <w:rPr>
                <w:rFonts w:hint="eastAsia"/>
                <w:sz w:val="18"/>
                <w:szCs w:val="18"/>
              </w:rPr>
              <w:t>站端数据接口转发装置</w:t>
            </w:r>
          </w:p>
        </w:tc>
        <w:tc>
          <w:tcPr>
            <w:tcW w:w="700" w:type="dxa"/>
            <w:tcBorders>
              <w:tl2br w:val="nil"/>
              <w:tr2bl w:val="nil"/>
            </w:tcBorders>
            <w:shd w:val="clear" w:color="auto" w:fill="auto"/>
            <w:tcMar>
              <w:top w:w="10" w:type="dxa"/>
              <w:left w:w="10" w:type="dxa"/>
              <w:right w:w="10" w:type="dxa"/>
            </w:tcMar>
            <w:vAlign w:val="center"/>
          </w:tcPr>
          <w:p w14:paraId="0182D00D">
            <w:pPr>
              <w:widowControl/>
              <w:spacing w:before="60" w:after="60"/>
              <w:jc w:val="center"/>
              <w:textAlignment w:val="center"/>
              <w:rPr>
                <w:kern w:val="0"/>
                <w:sz w:val="18"/>
                <w:szCs w:val="18"/>
              </w:rPr>
            </w:pPr>
            <w:r>
              <w:rPr>
                <w:rFonts w:hint="eastAsia"/>
                <w:kern w:val="0"/>
                <w:sz w:val="18"/>
                <w:szCs w:val="18"/>
              </w:rPr>
              <w:t>台</w:t>
            </w:r>
          </w:p>
        </w:tc>
        <w:tc>
          <w:tcPr>
            <w:tcW w:w="2220" w:type="dxa"/>
            <w:tcBorders>
              <w:tl2br w:val="nil"/>
              <w:tr2bl w:val="nil"/>
            </w:tcBorders>
            <w:shd w:val="clear" w:color="auto" w:fill="auto"/>
            <w:tcMar>
              <w:top w:w="10" w:type="dxa"/>
              <w:left w:w="10" w:type="dxa"/>
              <w:right w:w="10" w:type="dxa"/>
            </w:tcMar>
            <w:vAlign w:val="center"/>
          </w:tcPr>
          <w:p w14:paraId="127438F9">
            <w:pPr>
              <w:widowControl/>
              <w:jc w:val="left"/>
              <w:rPr>
                <w:sz w:val="18"/>
                <w:szCs w:val="18"/>
              </w:rPr>
            </w:pPr>
            <w:r>
              <w:rPr>
                <w:rFonts w:hint="eastAsia"/>
                <w:sz w:val="18"/>
                <w:szCs w:val="18"/>
              </w:rPr>
              <w:t>I区数据单向采集装置</w:t>
            </w:r>
          </w:p>
          <w:p w14:paraId="0FBA6F6B">
            <w:pPr>
              <w:widowControl/>
              <w:jc w:val="left"/>
              <w:rPr>
                <w:sz w:val="18"/>
                <w:szCs w:val="18"/>
              </w:rPr>
            </w:pPr>
            <w:r>
              <w:rPr>
                <w:rFonts w:hint="eastAsia"/>
                <w:sz w:val="18"/>
                <w:szCs w:val="18"/>
              </w:rPr>
              <w:t>2*CPU（国产化）（核心≧8，线程≧16，主频≧2.1GHz）</w:t>
            </w:r>
          </w:p>
          <w:p w14:paraId="7E511B5F">
            <w:pPr>
              <w:widowControl/>
              <w:jc w:val="left"/>
              <w:rPr>
                <w:sz w:val="18"/>
                <w:szCs w:val="18"/>
              </w:rPr>
            </w:pPr>
            <w:r>
              <w:rPr>
                <w:rFonts w:hint="eastAsia"/>
                <w:sz w:val="18"/>
                <w:szCs w:val="18"/>
              </w:rPr>
              <w:t>内存≧128G</w:t>
            </w:r>
          </w:p>
          <w:p w14:paraId="0893F640">
            <w:pPr>
              <w:widowControl/>
              <w:jc w:val="left"/>
              <w:rPr>
                <w:sz w:val="18"/>
                <w:szCs w:val="18"/>
              </w:rPr>
            </w:pPr>
            <w:r>
              <w:rPr>
                <w:rFonts w:hint="eastAsia"/>
                <w:sz w:val="18"/>
                <w:szCs w:val="18"/>
              </w:rPr>
              <w:t>双口千兆以太网</w:t>
            </w:r>
          </w:p>
          <w:p w14:paraId="2F5AB251">
            <w:pPr>
              <w:widowControl/>
              <w:jc w:val="left"/>
              <w:rPr>
                <w:sz w:val="18"/>
                <w:szCs w:val="18"/>
              </w:rPr>
            </w:pPr>
            <w:r>
              <w:rPr>
                <w:rFonts w:hint="eastAsia"/>
                <w:sz w:val="18"/>
                <w:szCs w:val="18"/>
              </w:rPr>
              <w:t>满足电力标准机柜安装</w:t>
            </w:r>
          </w:p>
        </w:tc>
        <w:tc>
          <w:tcPr>
            <w:tcW w:w="700" w:type="dxa"/>
            <w:tcBorders>
              <w:tl2br w:val="nil"/>
              <w:tr2bl w:val="nil"/>
            </w:tcBorders>
            <w:shd w:val="clear" w:color="auto" w:fill="auto"/>
            <w:tcMar>
              <w:top w:w="10" w:type="dxa"/>
              <w:left w:w="10" w:type="dxa"/>
              <w:right w:w="10" w:type="dxa"/>
            </w:tcMar>
            <w:vAlign w:val="center"/>
          </w:tcPr>
          <w:p w14:paraId="4577A8B0">
            <w:pPr>
              <w:widowControl/>
              <w:spacing w:before="60" w:after="60"/>
              <w:jc w:val="center"/>
              <w:textAlignment w:val="center"/>
              <w:rPr>
                <w:sz w:val="18"/>
                <w:szCs w:val="18"/>
              </w:rPr>
            </w:pPr>
            <w:r>
              <w:rPr>
                <w:sz w:val="18"/>
                <w:szCs w:val="18"/>
              </w:rPr>
              <w:t>1</w:t>
            </w:r>
          </w:p>
        </w:tc>
        <w:tc>
          <w:tcPr>
            <w:tcW w:w="1920" w:type="dxa"/>
            <w:tcBorders>
              <w:tl2br w:val="nil"/>
              <w:tr2bl w:val="nil"/>
            </w:tcBorders>
            <w:shd w:val="clear" w:color="auto" w:fill="auto"/>
            <w:noWrap/>
            <w:tcMar>
              <w:top w:w="10" w:type="dxa"/>
              <w:left w:w="10" w:type="dxa"/>
              <w:right w:w="10" w:type="dxa"/>
            </w:tcMar>
            <w:vAlign w:val="center"/>
          </w:tcPr>
          <w:p w14:paraId="1A8F4AEC">
            <w:pPr>
              <w:widowControl/>
              <w:spacing w:before="60" w:after="60"/>
              <w:jc w:val="center"/>
              <w:textAlignment w:val="center"/>
              <w:rPr>
                <w:sz w:val="18"/>
                <w:szCs w:val="18"/>
              </w:rPr>
            </w:pPr>
          </w:p>
        </w:tc>
        <w:tc>
          <w:tcPr>
            <w:tcW w:w="780" w:type="dxa"/>
            <w:tcBorders>
              <w:tl2br w:val="nil"/>
              <w:tr2bl w:val="nil"/>
            </w:tcBorders>
            <w:shd w:val="clear" w:color="auto" w:fill="auto"/>
            <w:noWrap/>
            <w:tcMar>
              <w:top w:w="10" w:type="dxa"/>
              <w:left w:w="10" w:type="dxa"/>
              <w:right w:w="10" w:type="dxa"/>
            </w:tcMar>
            <w:vAlign w:val="center"/>
          </w:tcPr>
          <w:p w14:paraId="0639F131">
            <w:pPr>
              <w:spacing w:before="60" w:after="60"/>
              <w:rPr>
                <w:sz w:val="18"/>
                <w:szCs w:val="18"/>
              </w:rPr>
            </w:pPr>
          </w:p>
        </w:tc>
      </w:tr>
      <w:tr w14:paraId="417D41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768" w:type="dxa"/>
            <w:tcBorders>
              <w:tl2br w:val="nil"/>
              <w:tr2bl w:val="nil"/>
            </w:tcBorders>
            <w:shd w:val="clear" w:color="auto" w:fill="auto"/>
            <w:tcMar>
              <w:top w:w="10" w:type="dxa"/>
              <w:left w:w="10" w:type="dxa"/>
              <w:right w:w="10" w:type="dxa"/>
            </w:tcMar>
            <w:vAlign w:val="center"/>
          </w:tcPr>
          <w:p w14:paraId="63C03539">
            <w:pPr>
              <w:widowControl/>
              <w:spacing w:before="60" w:after="60"/>
              <w:jc w:val="center"/>
              <w:textAlignment w:val="center"/>
              <w:rPr>
                <w:sz w:val="18"/>
                <w:szCs w:val="18"/>
              </w:rPr>
            </w:pPr>
            <w:r>
              <w:rPr>
                <w:rFonts w:hint="eastAsia"/>
                <w:sz w:val="18"/>
                <w:szCs w:val="18"/>
              </w:rPr>
              <w:t>3.2</w:t>
            </w:r>
          </w:p>
        </w:tc>
        <w:tc>
          <w:tcPr>
            <w:tcW w:w="1210" w:type="dxa"/>
            <w:tcBorders>
              <w:tl2br w:val="nil"/>
              <w:tr2bl w:val="nil"/>
            </w:tcBorders>
            <w:shd w:val="clear" w:color="auto" w:fill="auto"/>
            <w:tcMar>
              <w:top w:w="10" w:type="dxa"/>
              <w:left w:w="10" w:type="dxa"/>
              <w:right w:w="10" w:type="dxa"/>
            </w:tcMar>
            <w:vAlign w:val="center"/>
          </w:tcPr>
          <w:p w14:paraId="5FC6B654">
            <w:pPr>
              <w:widowControl/>
              <w:spacing w:before="60" w:after="60"/>
              <w:jc w:val="center"/>
              <w:textAlignment w:val="center"/>
              <w:rPr>
                <w:sz w:val="18"/>
                <w:szCs w:val="18"/>
              </w:rPr>
            </w:pPr>
            <w:r>
              <w:rPr>
                <w:rFonts w:hint="eastAsia"/>
                <w:sz w:val="18"/>
                <w:szCs w:val="18"/>
              </w:rPr>
              <w:t>II区智能网关</w:t>
            </w:r>
          </w:p>
        </w:tc>
        <w:tc>
          <w:tcPr>
            <w:tcW w:w="700" w:type="dxa"/>
            <w:tcBorders>
              <w:tl2br w:val="nil"/>
              <w:tr2bl w:val="nil"/>
            </w:tcBorders>
            <w:shd w:val="clear" w:color="auto" w:fill="auto"/>
            <w:tcMar>
              <w:top w:w="10" w:type="dxa"/>
              <w:left w:w="10" w:type="dxa"/>
              <w:right w:w="10" w:type="dxa"/>
            </w:tcMar>
            <w:vAlign w:val="center"/>
          </w:tcPr>
          <w:p w14:paraId="654DA08F">
            <w:pPr>
              <w:widowControl/>
              <w:spacing w:before="60" w:after="60"/>
              <w:jc w:val="center"/>
              <w:textAlignment w:val="center"/>
              <w:rPr>
                <w:kern w:val="0"/>
                <w:sz w:val="18"/>
                <w:szCs w:val="18"/>
              </w:rPr>
            </w:pPr>
            <w:r>
              <w:rPr>
                <w:rFonts w:hint="eastAsia"/>
                <w:kern w:val="0"/>
                <w:sz w:val="18"/>
                <w:szCs w:val="18"/>
              </w:rPr>
              <w:t>台</w:t>
            </w:r>
          </w:p>
        </w:tc>
        <w:tc>
          <w:tcPr>
            <w:tcW w:w="2220" w:type="dxa"/>
            <w:tcBorders>
              <w:tl2br w:val="nil"/>
              <w:tr2bl w:val="nil"/>
            </w:tcBorders>
            <w:shd w:val="clear" w:color="auto" w:fill="auto"/>
            <w:tcMar>
              <w:top w:w="10" w:type="dxa"/>
              <w:left w:w="10" w:type="dxa"/>
              <w:right w:w="10" w:type="dxa"/>
            </w:tcMar>
            <w:vAlign w:val="center"/>
          </w:tcPr>
          <w:p w14:paraId="6E158B4D">
            <w:pPr>
              <w:widowControl/>
              <w:jc w:val="left"/>
              <w:rPr>
                <w:rFonts w:eastAsiaTheme="minorEastAsia"/>
                <w:sz w:val="18"/>
                <w:szCs w:val="18"/>
              </w:rPr>
            </w:pPr>
            <w:r>
              <w:rPr>
                <w:rFonts w:hint="eastAsia" w:eastAsiaTheme="minorEastAsia"/>
                <w:sz w:val="18"/>
                <w:szCs w:val="18"/>
              </w:rPr>
              <w:t>支持按照《广东电网变电设备在线监测系统数据通信技术要求》采集变电设备在线监测数据，并以广东电网变电设备在线监测系统数据通信规约、MQTT等规约向省级生产监控指挥中心及全域物联网平台上层应用推送实时数据。</w:t>
            </w:r>
          </w:p>
          <w:p w14:paraId="4B8E04C1">
            <w:pPr>
              <w:widowControl/>
              <w:jc w:val="left"/>
              <w:rPr>
                <w:rFonts w:eastAsiaTheme="minorEastAsia"/>
                <w:sz w:val="18"/>
                <w:szCs w:val="18"/>
              </w:rPr>
            </w:pPr>
            <w:r>
              <w:rPr>
                <w:rFonts w:hint="eastAsia" w:eastAsiaTheme="minorEastAsia"/>
                <w:sz w:val="18"/>
                <w:szCs w:val="18"/>
              </w:rPr>
              <w:t>CPU</w:t>
            </w:r>
            <w:r>
              <w:rPr>
                <w:rFonts w:hint="eastAsia" w:eastAsiaTheme="minorEastAsia"/>
                <w:sz w:val="18"/>
                <w:szCs w:val="18"/>
              </w:rPr>
              <w:tab/>
            </w:r>
            <w:r>
              <w:rPr>
                <w:rFonts w:hint="eastAsia" w:eastAsiaTheme="minorEastAsia"/>
                <w:sz w:val="18"/>
                <w:szCs w:val="18"/>
              </w:rPr>
              <w:t>主频≧  2.0GHz 核心数量≧  4 cores</w:t>
            </w:r>
          </w:p>
          <w:p w14:paraId="22593CA7">
            <w:pPr>
              <w:widowControl/>
              <w:jc w:val="left"/>
              <w:rPr>
                <w:rFonts w:eastAsiaTheme="minorEastAsia"/>
                <w:sz w:val="18"/>
                <w:szCs w:val="18"/>
              </w:rPr>
            </w:pPr>
            <w:r>
              <w:rPr>
                <w:rFonts w:hint="eastAsia" w:eastAsiaTheme="minorEastAsia"/>
                <w:sz w:val="18"/>
                <w:szCs w:val="18"/>
              </w:rPr>
              <w:t>内存</w:t>
            </w:r>
            <w:r>
              <w:rPr>
                <w:rFonts w:hint="eastAsia" w:eastAsiaTheme="minorEastAsia"/>
                <w:sz w:val="18"/>
                <w:szCs w:val="18"/>
              </w:rPr>
              <w:tab/>
            </w:r>
            <w:r>
              <w:rPr>
                <w:rFonts w:hint="eastAsia" w:eastAsiaTheme="minorEastAsia"/>
                <w:sz w:val="18"/>
                <w:szCs w:val="18"/>
              </w:rPr>
              <w:t>≧  8G，DDR4</w:t>
            </w:r>
          </w:p>
          <w:p w14:paraId="547892A8">
            <w:pPr>
              <w:widowControl/>
              <w:jc w:val="left"/>
              <w:rPr>
                <w:rFonts w:eastAsiaTheme="minorEastAsia"/>
                <w:sz w:val="18"/>
                <w:szCs w:val="18"/>
              </w:rPr>
            </w:pPr>
            <w:r>
              <w:rPr>
                <w:rFonts w:hint="eastAsia" w:eastAsiaTheme="minorEastAsia"/>
                <w:sz w:val="18"/>
                <w:szCs w:val="18"/>
              </w:rPr>
              <w:t>存储容量</w:t>
            </w:r>
            <w:r>
              <w:rPr>
                <w:rFonts w:hint="eastAsia" w:eastAsiaTheme="minorEastAsia"/>
                <w:sz w:val="18"/>
                <w:szCs w:val="18"/>
              </w:rPr>
              <w:tab/>
            </w:r>
            <w:r>
              <w:rPr>
                <w:rFonts w:hint="eastAsia" w:eastAsiaTheme="minorEastAsia"/>
                <w:sz w:val="18"/>
                <w:szCs w:val="18"/>
              </w:rPr>
              <w:t>≧  2个硬盘插槽，插槽支持的单块硬盘容量为256G及以上，硬盘总容量按需要配置，不少于512G</w:t>
            </w:r>
          </w:p>
          <w:p w14:paraId="309F1584">
            <w:pPr>
              <w:widowControl/>
              <w:jc w:val="left"/>
              <w:rPr>
                <w:rFonts w:eastAsiaTheme="minorEastAsia"/>
                <w:sz w:val="18"/>
                <w:szCs w:val="18"/>
              </w:rPr>
            </w:pPr>
            <w:r>
              <w:rPr>
                <w:rFonts w:hint="eastAsia" w:eastAsiaTheme="minorEastAsia"/>
                <w:sz w:val="18"/>
                <w:szCs w:val="18"/>
              </w:rPr>
              <w:t>南向接入能力：部署在安全II区，支持全站在线监测装置接入</w:t>
            </w:r>
          </w:p>
          <w:p w14:paraId="620944AA">
            <w:pPr>
              <w:widowControl/>
              <w:jc w:val="left"/>
              <w:rPr>
                <w:rFonts w:eastAsiaTheme="minorEastAsia"/>
                <w:sz w:val="18"/>
                <w:szCs w:val="18"/>
              </w:rPr>
            </w:pPr>
            <w:r>
              <w:rPr>
                <w:rFonts w:hint="eastAsia" w:eastAsiaTheme="minorEastAsia"/>
                <w:sz w:val="18"/>
                <w:szCs w:val="18"/>
              </w:rPr>
              <w:t>数据集成能力</w:t>
            </w:r>
            <w:r>
              <w:rPr>
                <w:rFonts w:hint="eastAsia" w:eastAsiaTheme="minorEastAsia"/>
                <w:sz w:val="18"/>
                <w:szCs w:val="18"/>
              </w:rPr>
              <w:tab/>
            </w:r>
            <w:r>
              <w:rPr>
                <w:rFonts w:hint="eastAsia" w:eastAsiaTheme="minorEastAsia"/>
                <w:sz w:val="18"/>
                <w:szCs w:val="18"/>
              </w:rPr>
              <w:t>汇聚整合站端在线监测数据，提供数据查询和推送服务</w:t>
            </w:r>
          </w:p>
          <w:p w14:paraId="189C1430">
            <w:pPr>
              <w:widowControl/>
              <w:jc w:val="left"/>
              <w:rPr>
                <w:rFonts w:eastAsiaTheme="minorEastAsia"/>
                <w:sz w:val="18"/>
                <w:szCs w:val="18"/>
              </w:rPr>
            </w:pPr>
            <w:r>
              <w:rPr>
                <w:rFonts w:hint="eastAsia" w:eastAsiaTheme="minorEastAsia"/>
                <w:sz w:val="18"/>
                <w:szCs w:val="18"/>
              </w:rPr>
              <w:t>北向接入能力：根据需要接入全域物联网平台、省级生产监控指挥中心、广州局试研院/电科院等在线监测主站。</w:t>
            </w:r>
          </w:p>
          <w:p w14:paraId="36BF3487">
            <w:pPr>
              <w:widowControl/>
              <w:jc w:val="left"/>
              <w:rPr>
                <w:sz w:val="18"/>
                <w:szCs w:val="18"/>
              </w:rPr>
            </w:pPr>
            <w:r>
              <w:rPr>
                <w:rFonts w:hint="eastAsia" w:eastAsiaTheme="minorEastAsia"/>
                <w:sz w:val="18"/>
                <w:szCs w:val="18"/>
              </w:rPr>
              <w:t>接口运维：包含接口管理 、接口监控、接口鉴权认证、接口在线帮助。</w:t>
            </w:r>
          </w:p>
        </w:tc>
        <w:tc>
          <w:tcPr>
            <w:tcW w:w="700" w:type="dxa"/>
            <w:tcBorders>
              <w:tl2br w:val="nil"/>
              <w:tr2bl w:val="nil"/>
            </w:tcBorders>
            <w:shd w:val="clear" w:color="auto" w:fill="auto"/>
            <w:tcMar>
              <w:top w:w="10" w:type="dxa"/>
              <w:left w:w="10" w:type="dxa"/>
              <w:right w:w="10" w:type="dxa"/>
            </w:tcMar>
            <w:vAlign w:val="center"/>
          </w:tcPr>
          <w:p w14:paraId="604EF6A2">
            <w:pPr>
              <w:widowControl/>
              <w:spacing w:before="60" w:after="60"/>
              <w:jc w:val="center"/>
              <w:textAlignment w:val="center"/>
              <w:rPr>
                <w:sz w:val="18"/>
                <w:szCs w:val="18"/>
              </w:rPr>
            </w:pPr>
            <w:r>
              <w:rPr>
                <w:rFonts w:hint="eastAsia"/>
                <w:sz w:val="18"/>
                <w:szCs w:val="18"/>
              </w:rPr>
              <w:t>1</w:t>
            </w:r>
          </w:p>
        </w:tc>
        <w:tc>
          <w:tcPr>
            <w:tcW w:w="1920" w:type="dxa"/>
            <w:tcBorders>
              <w:tl2br w:val="nil"/>
              <w:tr2bl w:val="nil"/>
            </w:tcBorders>
            <w:shd w:val="clear" w:color="auto" w:fill="auto"/>
            <w:noWrap/>
            <w:tcMar>
              <w:top w:w="10" w:type="dxa"/>
              <w:left w:w="10" w:type="dxa"/>
              <w:right w:w="10" w:type="dxa"/>
            </w:tcMar>
            <w:vAlign w:val="center"/>
          </w:tcPr>
          <w:p w14:paraId="50588BA7">
            <w:pPr>
              <w:widowControl/>
              <w:spacing w:before="60" w:after="60"/>
              <w:jc w:val="center"/>
              <w:textAlignment w:val="center"/>
              <w:rPr>
                <w:sz w:val="18"/>
                <w:szCs w:val="18"/>
              </w:rPr>
            </w:pPr>
          </w:p>
        </w:tc>
        <w:tc>
          <w:tcPr>
            <w:tcW w:w="780" w:type="dxa"/>
            <w:tcBorders>
              <w:tl2br w:val="nil"/>
              <w:tr2bl w:val="nil"/>
            </w:tcBorders>
            <w:shd w:val="clear" w:color="auto" w:fill="auto"/>
            <w:noWrap/>
            <w:tcMar>
              <w:top w:w="10" w:type="dxa"/>
              <w:left w:w="10" w:type="dxa"/>
              <w:right w:w="10" w:type="dxa"/>
            </w:tcMar>
            <w:vAlign w:val="center"/>
          </w:tcPr>
          <w:p w14:paraId="6FF26799">
            <w:pPr>
              <w:spacing w:before="60" w:after="60"/>
              <w:rPr>
                <w:sz w:val="18"/>
                <w:szCs w:val="18"/>
              </w:rPr>
            </w:pPr>
          </w:p>
        </w:tc>
      </w:tr>
      <w:tr w14:paraId="6DA533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768" w:type="dxa"/>
            <w:tcBorders>
              <w:tl2br w:val="nil"/>
              <w:tr2bl w:val="nil"/>
            </w:tcBorders>
            <w:shd w:val="clear" w:color="auto" w:fill="auto"/>
            <w:tcMar>
              <w:top w:w="10" w:type="dxa"/>
              <w:left w:w="10" w:type="dxa"/>
              <w:right w:w="10" w:type="dxa"/>
            </w:tcMar>
            <w:vAlign w:val="center"/>
          </w:tcPr>
          <w:p w14:paraId="7D573048">
            <w:pPr>
              <w:widowControl/>
              <w:spacing w:before="60" w:after="60"/>
              <w:jc w:val="center"/>
              <w:textAlignment w:val="center"/>
              <w:rPr>
                <w:sz w:val="18"/>
                <w:szCs w:val="18"/>
              </w:rPr>
            </w:pPr>
            <w:r>
              <w:rPr>
                <w:rFonts w:hint="eastAsia"/>
                <w:sz w:val="18"/>
                <w:szCs w:val="18"/>
              </w:rPr>
              <w:t>3.3</w:t>
            </w:r>
          </w:p>
        </w:tc>
        <w:tc>
          <w:tcPr>
            <w:tcW w:w="1210" w:type="dxa"/>
            <w:tcBorders>
              <w:tl2br w:val="nil"/>
              <w:tr2bl w:val="nil"/>
            </w:tcBorders>
            <w:shd w:val="clear" w:color="auto" w:fill="auto"/>
            <w:tcMar>
              <w:top w:w="10" w:type="dxa"/>
              <w:left w:w="10" w:type="dxa"/>
              <w:right w:w="10" w:type="dxa"/>
            </w:tcMar>
            <w:vAlign w:val="center"/>
          </w:tcPr>
          <w:p w14:paraId="14E43EC8">
            <w:pPr>
              <w:pStyle w:val="76"/>
              <w:spacing w:line="360" w:lineRule="auto"/>
              <w:rPr>
                <w:rFonts w:eastAsiaTheme="minorEastAsia"/>
                <w:sz w:val="18"/>
                <w:szCs w:val="18"/>
              </w:rPr>
            </w:pPr>
            <w:r>
              <w:rPr>
                <w:rFonts w:hint="eastAsia" w:eastAsiaTheme="minorEastAsia"/>
                <w:sz w:val="18"/>
                <w:szCs w:val="18"/>
              </w:rPr>
              <w:t>III区智能网关</w:t>
            </w:r>
          </w:p>
        </w:tc>
        <w:tc>
          <w:tcPr>
            <w:tcW w:w="700" w:type="dxa"/>
            <w:tcBorders>
              <w:tl2br w:val="nil"/>
              <w:tr2bl w:val="nil"/>
            </w:tcBorders>
            <w:shd w:val="clear" w:color="auto" w:fill="auto"/>
            <w:tcMar>
              <w:top w:w="10" w:type="dxa"/>
              <w:left w:w="10" w:type="dxa"/>
              <w:right w:w="10" w:type="dxa"/>
            </w:tcMar>
            <w:vAlign w:val="center"/>
          </w:tcPr>
          <w:p w14:paraId="1349459E">
            <w:pPr>
              <w:pStyle w:val="76"/>
              <w:spacing w:line="360" w:lineRule="auto"/>
              <w:rPr>
                <w:rFonts w:eastAsiaTheme="minorEastAsia"/>
                <w:sz w:val="18"/>
                <w:szCs w:val="18"/>
              </w:rPr>
            </w:pPr>
            <w:r>
              <w:rPr>
                <w:rFonts w:eastAsiaTheme="minorEastAsia"/>
                <w:color w:val="000000"/>
                <w:sz w:val="18"/>
                <w:szCs w:val="18"/>
              </w:rPr>
              <w:t>个</w:t>
            </w:r>
          </w:p>
        </w:tc>
        <w:tc>
          <w:tcPr>
            <w:tcW w:w="2220" w:type="dxa"/>
            <w:tcBorders>
              <w:tl2br w:val="nil"/>
              <w:tr2bl w:val="nil"/>
            </w:tcBorders>
            <w:shd w:val="clear" w:color="auto" w:fill="auto"/>
            <w:tcMar>
              <w:top w:w="10" w:type="dxa"/>
              <w:left w:w="10" w:type="dxa"/>
              <w:right w:w="10" w:type="dxa"/>
            </w:tcMar>
            <w:vAlign w:val="center"/>
          </w:tcPr>
          <w:p w14:paraId="7D007265">
            <w:pPr>
              <w:widowControl/>
              <w:jc w:val="left"/>
              <w:rPr>
                <w:rFonts w:eastAsiaTheme="minorEastAsia"/>
                <w:sz w:val="18"/>
                <w:szCs w:val="18"/>
              </w:rPr>
            </w:pPr>
            <w:r>
              <w:rPr>
                <w:rFonts w:hint="eastAsia" w:eastAsiaTheme="minorEastAsia"/>
                <w:sz w:val="18"/>
                <w:szCs w:val="18"/>
              </w:rPr>
              <w:t>CPU：X86架构：1*CPU（国产化），主频≥2GHz，核心数≥10；</w:t>
            </w:r>
          </w:p>
          <w:p w14:paraId="15318F25">
            <w:pPr>
              <w:widowControl/>
              <w:jc w:val="left"/>
              <w:rPr>
                <w:rFonts w:eastAsiaTheme="minorEastAsia"/>
                <w:sz w:val="18"/>
                <w:szCs w:val="18"/>
              </w:rPr>
            </w:pPr>
            <w:r>
              <w:rPr>
                <w:rFonts w:hint="eastAsia" w:eastAsiaTheme="minorEastAsia"/>
                <w:sz w:val="18"/>
                <w:szCs w:val="18"/>
              </w:rPr>
              <w:t>内存：低配≥64GB DDR4；</w:t>
            </w:r>
          </w:p>
          <w:p w14:paraId="294D3B0F">
            <w:pPr>
              <w:widowControl/>
              <w:jc w:val="left"/>
              <w:rPr>
                <w:rFonts w:eastAsiaTheme="minorEastAsia"/>
                <w:sz w:val="18"/>
                <w:szCs w:val="18"/>
              </w:rPr>
            </w:pPr>
            <w:r>
              <w:rPr>
                <w:rFonts w:hint="eastAsia" w:eastAsiaTheme="minorEastAsia"/>
                <w:sz w:val="18"/>
                <w:szCs w:val="18"/>
              </w:rPr>
              <w:t>加速PCIE卡槽：支持不少于4个PCIe3.0或PCIe4.0标准扩展槽位；</w:t>
            </w:r>
          </w:p>
          <w:p w14:paraId="12DF8645">
            <w:pPr>
              <w:widowControl/>
              <w:jc w:val="left"/>
              <w:rPr>
                <w:rFonts w:eastAsiaTheme="minorEastAsia"/>
                <w:sz w:val="18"/>
                <w:szCs w:val="18"/>
              </w:rPr>
            </w:pPr>
            <w:r>
              <w:rPr>
                <w:rFonts w:hint="eastAsia" w:eastAsiaTheme="minorEastAsia"/>
                <w:sz w:val="18"/>
                <w:szCs w:val="18"/>
              </w:rPr>
              <w:t>硬盘：硬盘容量≥12T，支持不少于5个SATA/SAS盘位扩展 ；</w:t>
            </w:r>
          </w:p>
          <w:p w14:paraId="242EB40C">
            <w:pPr>
              <w:widowControl/>
              <w:jc w:val="left"/>
              <w:rPr>
                <w:rFonts w:eastAsiaTheme="minorEastAsia"/>
                <w:sz w:val="18"/>
                <w:szCs w:val="18"/>
              </w:rPr>
            </w:pPr>
            <w:r>
              <w:rPr>
                <w:rFonts w:hint="eastAsia" w:eastAsiaTheme="minorEastAsia"/>
                <w:sz w:val="18"/>
                <w:szCs w:val="18"/>
              </w:rPr>
              <w:t>算力：≥128 TOPS INT8，支持不少于2个GPU/NPU盘位扩展；</w:t>
            </w:r>
          </w:p>
          <w:p w14:paraId="2EBE05EE">
            <w:pPr>
              <w:widowControl/>
              <w:jc w:val="left"/>
              <w:rPr>
                <w:rFonts w:eastAsiaTheme="minorEastAsia"/>
                <w:sz w:val="18"/>
                <w:szCs w:val="18"/>
              </w:rPr>
            </w:pPr>
            <w:r>
              <w:rPr>
                <w:rFonts w:hint="eastAsia" w:eastAsiaTheme="minorEastAsia"/>
                <w:sz w:val="18"/>
                <w:szCs w:val="18"/>
              </w:rPr>
              <w:t>接口：≥4个千兆网卡等。</w:t>
            </w:r>
          </w:p>
        </w:tc>
        <w:tc>
          <w:tcPr>
            <w:tcW w:w="700" w:type="dxa"/>
            <w:tcBorders>
              <w:tl2br w:val="nil"/>
              <w:tr2bl w:val="nil"/>
            </w:tcBorders>
            <w:shd w:val="clear" w:color="auto" w:fill="auto"/>
            <w:tcMar>
              <w:top w:w="10" w:type="dxa"/>
              <w:left w:w="10" w:type="dxa"/>
              <w:right w:w="10" w:type="dxa"/>
            </w:tcMar>
            <w:vAlign w:val="center"/>
          </w:tcPr>
          <w:p w14:paraId="4AF63F92">
            <w:pPr>
              <w:widowControl/>
              <w:spacing w:before="60" w:after="60"/>
              <w:jc w:val="center"/>
              <w:textAlignment w:val="center"/>
              <w:rPr>
                <w:sz w:val="18"/>
                <w:szCs w:val="18"/>
              </w:rPr>
            </w:pPr>
            <w:r>
              <w:rPr>
                <w:rFonts w:hint="eastAsia"/>
                <w:sz w:val="18"/>
                <w:szCs w:val="18"/>
              </w:rPr>
              <w:t>1</w:t>
            </w:r>
          </w:p>
        </w:tc>
        <w:tc>
          <w:tcPr>
            <w:tcW w:w="1920" w:type="dxa"/>
            <w:tcBorders>
              <w:tl2br w:val="nil"/>
              <w:tr2bl w:val="nil"/>
            </w:tcBorders>
            <w:shd w:val="clear" w:color="auto" w:fill="auto"/>
            <w:noWrap/>
            <w:tcMar>
              <w:top w:w="10" w:type="dxa"/>
              <w:left w:w="10" w:type="dxa"/>
              <w:right w:w="10" w:type="dxa"/>
            </w:tcMar>
            <w:vAlign w:val="center"/>
          </w:tcPr>
          <w:p w14:paraId="63F1A226">
            <w:pPr>
              <w:widowControl/>
              <w:spacing w:before="60" w:after="60"/>
              <w:jc w:val="center"/>
              <w:textAlignment w:val="center"/>
              <w:rPr>
                <w:sz w:val="18"/>
                <w:szCs w:val="18"/>
              </w:rPr>
            </w:pPr>
          </w:p>
        </w:tc>
        <w:tc>
          <w:tcPr>
            <w:tcW w:w="780" w:type="dxa"/>
            <w:tcBorders>
              <w:tl2br w:val="nil"/>
              <w:tr2bl w:val="nil"/>
            </w:tcBorders>
            <w:shd w:val="clear" w:color="auto" w:fill="auto"/>
            <w:noWrap/>
            <w:tcMar>
              <w:top w:w="10" w:type="dxa"/>
              <w:left w:w="10" w:type="dxa"/>
              <w:right w:w="10" w:type="dxa"/>
            </w:tcMar>
            <w:vAlign w:val="center"/>
          </w:tcPr>
          <w:p w14:paraId="47E66B0A">
            <w:pPr>
              <w:spacing w:before="60" w:after="60"/>
              <w:rPr>
                <w:sz w:val="18"/>
                <w:szCs w:val="18"/>
              </w:rPr>
            </w:pPr>
          </w:p>
        </w:tc>
      </w:tr>
      <w:tr w14:paraId="262C10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768" w:type="dxa"/>
            <w:tcBorders>
              <w:tl2br w:val="nil"/>
              <w:tr2bl w:val="nil"/>
            </w:tcBorders>
            <w:shd w:val="clear" w:color="auto" w:fill="auto"/>
            <w:tcMar>
              <w:top w:w="10" w:type="dxa"/>
              <w:left w:w="10" w:type="dxa"/>
              <w:right w:w="10" w:type="dxa"/>
            </w:tcMar>
            <w:vAlign w:val="center"/>
          </w:tcPr>
          <w:p w14:paraId="75ADF48D">
            <w:pPr>
              <w:widowControl/>
              <w:spacing w:before="60" w:after="60"/>
              <w:jc w:val="center"/>
              <w:textAlignment w:val="center"/>
              <w:rPr>
                <w:sz w:val="18"/>
                <w:szCs w:val="18"/>
              </w:rPr>
            </w:pPr>
            <w:r>
              <w:rPr>
                <w:rFonts w:hint="eastAsia"/>
                <w:sz w:val="18"/>
                <w:szCs w:val="18"/>
              </w:rPr>
              <w:t>3.4</w:t>
            </w:r>
          </w:p>
        </w:tc>
        <w:tc>
          <w:tcPr>
            <w:tcW w:w="1210" w:type="dxa"/>
            <w:tcBorders>
              <w:tl2br w:val="nil"/>
              <w:tr2bl w:val="nil"/>
            </w:tcBorders>
            <w:shd w:val="clear" w:color="auto" w:fill="auto"/>
            <w:tcMar>
              <w:top w:w="10" w:type="dxa"/>
              <w:left w:w="10" w:type="dxa"/>
              <w:right w:w="10" w:type="dxa"/>
            </w:tcMar>
            <w:vAlign w:val="center"/>
          </w:tcPr>
          <w:p w14:paraId="2D8BAE80">
            <w:pPr>
              <w:pStyle w:val="76"/>
              <w:spacing w:line="360" w:lineRule="auto"/>
              <w:rPr>
                <w:rFonts w:eastAsiaTheme="minorEastAsia"/>
                <w:sz w:val="18"/>
                <w:szCs w:val="18"/>
              </w:rPr>
            </w:pPr>
            <w:r>
              <w:rPr>
                <w:rFonts w:hint="eastAsia" w:eastAsiaTheme="minorEastAsia"/>
                <w:sz w:val="18"/>
                <w:szCs w:val="18"/>
              </w:rPr>
              <w:t>规约转换装置</w:t>
            </w:r>
          </w:p>
        </w:tc>
        <w:tc>
          <w:tcPr>
            <w:tcW w:w="700" w:type="dxa"/>
            <w:tcBorders>
              <w:tl2br w:val="nil"/>
              <w:tr2bl w:val="nil"/>
            </w:tcBorders>
            <w:shd w:val="clear" w:color="auto" w:fill="auto"/>
            <w:tcMar>
              <w:top w:w="10" w:type="dxa"/>
              <w:left w:w="10" w:type="dxa"/>
              <w:right w:w="10" w:type="dxa"/>
            </w:tcMar>
            <w:vAlign w:val="center"/>
          </w:tcPr>
          <w:p w14:paraId="62B21FEB">
            <w:pPr>
              <w:pStyle w:val="76"/>
              <w:spacing w:line="360" w:lineRule="auto"/>
              <w:rPr>
                <w:rFonts w:eastAsiaTheme="minorEastAsia"/>
                <w:sz w:val="18"/>
                <w:szCs w:val="18"/>
              </w:rPr>
            </w:pPr>
            <w:r>
              <w:rPr>
                <w:rFonts w:hint="eastAsia" w:eastAsiaTheme="minorEastAsia"/>
                <w:color w:val="000000"/>
                <w:sz w:val="18"/>
                <w:szCs w:val="18"/>
              </w:rPr>
              <w:t>台</w:t>
            </w:r>
          </w:p>
        </w:tc>
        <w:tc>
          <w:tcPr>
            <w:tcW w:w="2220" w:type="dxa"/>
            <w:tcBorders>
              <w:tl2br w:val="nil"/>
              <w:tr2bl w:val="nil"/>
            </w:tcBorders>
            <w:shd w:val="clear" w:color="auto" w:fill="auto"/>
            <w:tcMar>
              <w:top w:w="10" w:type="dxa"/>
              <w:left w:w="10" w:type="dxa"/>
              <w:right w:w="10" w:type="dxa"/>
            </w:tcMar>
            <w:vAlign w:val="center"/>
          </w:tcPr>
          <w:p w14:paraId="667F55C8">
            <w:pPr>
              <w:widowControl/>
              <w:jc w:val="left"/>
              <w:rPr>
                <w:rFonts w:eastAsiaTheme="minorEastAsia"/>
                <w:sz w:val="18"/>
                <w:szCs w:val="18"/>
              </w:rPr>
            </w:pPr>
            <w:r>
              <w:rPr>
                <w:rFonts w:hint="eastAsia" w:eastAsiaTheme="minorEastAsia"/>
                <w:sz w:val="18"/>
                <w:szCs w:val="18"/>
              </w:rPr>
              <w:t>消防等接入数据规约转换</w:t>
            </w:r>
          </w:p>
          <w:p w14:paraId="3E0ACA93">
            <w:pPr>
              <w:widowControl/>
              <w:jc w:val="left"/>
              <w:rPr>
                <w:rFonts w:eastAsiaTheme="minorEastAsia"/>
                <w:sz w:val="18"/>
                <w:szCs w:val="18"/>
              </w:rPr>
            </w:pPr>
            <w:r>
              <w:rPr>
                <w:rFonts w:hint="eastAsia" w:eastAsiaTheme="minorEastAsia"/>
                <w:sz w:val="18"/>
                <w:szCs w:val="18"/>
              </w:rPr>
              <w:t>1U标准机箱，Cortex-A5处理器，2路光纤接口，2个网口，8路RS485接口，1路RS232，16路开入，8路开出，12路4-20mA直流小信号，36路反馈输入及动作输入，支持校时</w:t>
            </w:r>
          </w:p>
        </w:tc>
        <w:tc>
          <w:tcPr>
            <w:tcW w:w="700" w:type="dxa"/>
            <w:tcBorders>
              <w:tl2br w:val="nil"/>
              <w:tr2bl w:val="nil"/>
            </w:tcBorders>
            <w:shd w:val="clear" w:color="auto" w:fill="auto"/>
            <w:tcMar>
              <w:top w:w="10" w:type="dxa"/>
              <w:left w:w="10" w:type="dxa"/>
              <w:right w:w="10" w:type="dxa"/>
            </w:tcMar>
            <w:vAlign w:val="center"/>
          </w:tcPr>
          <w:p w14:paraId="3F0A38FA">
            <w:pPr>
              <w:widowControl/>
              <w:spacing w:line="360" w:lineRule="auto"/>
              <w:jc w:val="center"/>
              <w:rPr>
                <w:rFonts w:eastAsiaTheme="minorEastAsia"/>
                <w:sz w:val="18"/>
                <w:szCs w:val="18"/>
              </w:rPr>
            </w:pPr>
            <w:r>
              <w:rPr>
                <w:rFonts w:hint="eastAsia" w:eastAsiaTheme="minorEastAsia"/>
                <w:color w:val="000000"/>
                <w:sz w:val="18"/>
                <w:szCs w:val="18"/>
              </w:rPr>
              <w:t>1</w:t>
            </w:r>
          </w:p>
        </w:tc>
        <w:tc>
          <w:tcPr>
            <w:tcW w:w="1920" w:type="dxa"/>
            <w:tcBorders>
              <w:tl2br w:val="nil"/>
              <w:tr2bl w:val="nil"/>
            </w:tcBorders>
            <w:shd w:val="clear" w:color="auto" w:fill="auto"/>
            <w:noWrap/>
            <w:tcMar>
              <w:top w:w="10" w:type="dxa"/>
              <w:left w:w="10" w:type="dxa"/>
              <w:right w:w="10" w:type="dxa"/>
            </w:tcMar>
            <w:vAlign w:val="center"/>
          </w:tcPr>
          <w:p w14:paraId="0638A4EB">
            <w:pPr>
              <w:widowControl/>
              <w:spacing w:before="60" w:after="60"/>
              <w:jc w:val="center"/>
              <w:textAlignment w:val="center"/>
              <w:rPr>
                <w:sz w:val="18"/>
                <w:szCs w:val="18"/>
              </w:rPr>
            </w:pPr>
          </w:p>
        </w:tc>
        <w:tc>
          <w:tcPr>
            <w:tcW w:w="780" w:type="dxa"/>
            <w:tcBorders>
              <w:tl2br w:val="nil"/>
              <w:tr2bl w:val="nil"/>
            </w:tcBorders>
            <w:shd w:val="clear" w:color="auto" w:fill="auto"/>
            <w:noWrap/>
            <w:tcMar>
              <w:top w:w="10" w:type="dxa"/>
              <w:left w:w="10" w:type="dxa"/>
              <w:right w:w="10" w:type="dxa"/>
            </w:tcMar>
            <w:vAlign w:val="center"/>
          </w:tcPr>
          <w:p w14:paraId="461B7388">
            <w:pPr>
              <w:spacing w:before="60" w:after="60"/>
              <w:rPr>
                <w:sz w:val="18"/>
                <w:szCs w:val="18"/>
              </w:rPr>
            </w:pPr>
          </w:p>
        </w:tc>
      </w:tr>
    </w:tbl>
    <w:p w14:paraId="65D35B46">
      <w:r>
        <w:br w:type="page"/>
      </w:r>
    </w:p>
    <w:tbl>
      <w:tblPr>
        <w:tblStyle w:val="31"/>
        <w:tblpPr w:leftFromText="180" w:rightFromText="180" w:vertAnchor="text" w:tblpY="1"/>
        <w:tblOverlap w:val="never"/>
        <w:tblW w:w="829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68"/>
        <w:gridCol w:w="1210"/>
        <w:gridCol w:w="700"/>
        <w:gridCol w:w="2220"/>
        <w:gridCol w:w="700"/>
        <w:gridCol w:w="1920"/>
        <w:gridCol w:w="780"/>
      </w:tblGrid>
      <w:tr w14:paraId="7D4980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768" w:type="dxa"/>
            <w:tcBorders>
              <w:tl2br w:val="nil"/>
              <w:tr2bl w:val="nil"/>
            </w:tcBorders>
            <w:shd w:val="clear" w:color="auto" w:fill="auto"/>
            <w:tcMar>
              <w:top w:w="10" w:type="dxa"/>
              <w:left w:w="10" w:type="dxa"/>
              <w:right w:w="10" w:type="dxa"/>
            </w:tcMar>
            <w:vAlign w:val="center"/>
          </w:tcPr>
          <w:p w14:paraId="036FE4C4">
            <w:pPr>
              <w:widowControl/>
              <w:spacing w:before="60" w:after="60"/>
              <w:jc w:val="center"/>
              <w:textAlignment w:val="center"/>
              <w:rPr>
                <w:sz w:val="18"/>
                <w:szCs w:val="18"/>
              </w:rPr>
            </w:pPr>
            <w:r>
              <w:rPr>
                <w:rFonts w:hint="eastAsia"/>
                <w:sz w:val="18"/>
                <w:szCs w:val="18"/>
              </w:rPr>
              <w:t>3.5</w:t>
            </w:r>
          </w:p>
        </w:tc>
        <w:tc>
          <w:tcPr>
            <w:tcW w:w="1210" w:type="dxa"/>
            <w:tcBorders>
              <w:tl2br w:val="nil"/>
              <w:tr2bl w:val="nil"/>
            </w:tcBorders>
            <w:shd w:val="clear" w:color="auto" w:fill="auto"/>
            <w:tcMar>
              <w:top w:w="10" w:type="dxa"/>
              <w:left w:w="10" w:type="dxa"/>
              <w:right w:w="10" w:type="dxa"/>
            </w:tcMar>
            <w:vAlign w:val="center"/>
          </w:tcPr>
          <w:p w14:paraId="76A7EF38">
            <w:pPr>
              <w:widowControl/>
              <w:spacing w:before="60" w:after="60"/>
              <w:jc w:val="center"/>
              <w:textAlignment w:val="center"/>
              <w:rPr>
                <w:sz w:val="18"/>
                <w:szCs w:val="18"/>
              </w:rPr>
            </w:pPr>
            <w:r>
              <w:rPr>
                <w:rFonts w:hint="eastAsia"/>
                <w:sz w:val="18"/>
                <w:szCs w:val="18"/>
              </w:rPr>
              <w:t>信号传输单元（含路由器、核心交换机等）</w:t>
            </w:r>
          </w:p>
        </w:tc>
        <w:tc>
          <w:tcPr>
            <w:tcW w:w="700" w:type="dxa"/>
            <w:tcBorders>
              <w:tl2br w:val="nil"/>
              <w:tr2bl w:val="nil"/>
            </w:tcBorders>
            <w:shd w:val="clear" w:color="auto" w:fill="auto"/>
            <w:tcMar>
              <w:top w:w="10" w:type="dxa"/>
              <w:left w:w="10" w:type="dxa"/>
              <w:right w:w="10" w:type="dxa"/>
            </w:tcMar>
            <w:vAlign w:val="center"/>
          </w:tcPr>
          <w:p w14:paraId="23912424">
            <w:pPr>
              <w:pStyle w:val="76"/>
              <w:spacing w:line="360" w:lineRule="auto"/>
              <w:rPr>
                <w:rFonts w:eastAsiaTheme="minorEastAsia"/>
                <w:sz w:val="18"/>
                <w:szCs w:val="18"/>
              </w:rPr>
            </w:pPr>
            <w:r>
              <w:rPr>
                <w:rFonts w:hint="eastAsia" w:eastAsiaTheme="minorEastAsia"/>
                <w:color w:val="000000"/>
                <w:sz w:val="18"/>
                <w:szCs w:val="18"/>
              </w:rPr>
              <w:t>套</w:t>
            </w:r>
          </w:p>
        </w:tc>
        <w:tc>
          <w:tcPr>
            <w:tcW w:w="2220" w:type="dxa"/>
            <w:tcBorders>
              <w:tl2br w:val="nil"/>
              <w:tr2bl w:val="nil"/>
            </w:tcBorders>
            <w:shd w:val="clear" w:color="auto" w:fill="auto"/>
            <w:tcMar>
              <w:top w:w="10" w:type="dxa"/>
              <w:left w:w="10" w:type="dxa"/>
              <w:right w:w="10" w:type="dxa"/>
            </w:tcMar>
            <w:vAlign w:val="center"/>
          </w:tcPr>
          <w:p w14:paraId="4EAB2A90">
            <w:pPr>
              <w:widowControl/>
              <w:jc w:val="left"/>
              <w:rPr>
                <w:sz w:val="18"/>
                <w:szCs w:val="18"/>
              </w:rPr>
            </w:pPr>
            <w:r>
              <w:rPr>
                <w:rFonts w:hint="eastAsia"/>
                <w:sz w:val="18"/>
                <w:szCs w:val="18"/>
              </w:rPr>
              <w:t>信号传输所需路由器；</w:t>
            </w:r>
          </w:p>
          <w:p w14:paraId="12244908">
            <w:pPr>
              <w:widowControl/>
              <w:jc w:val="left"/>
              <w:rPr>
                <w:sz w:val="18"/>
                <w:szCs w:val="18"/>
              </w:rPr>
            </w:pPr>
            <w:r>
              <w:rPr>
                <w:rFonts w:hint="eastAsia"/>
                <w:sz w:val="18"/>
                <w:szCs w:val="18"/>
              </w:rPr>
              <w:t>2台千兆24电口交换机以及1台三层电口交换机</w:t>
            </w:r>
          </w:p>
        </w:tc>
        <w:tc>
          <w:tcPr>
            <w:tcW w:w="700" w:type="dxa"/>
            <w:tcBorders>
              <w:tl2br w:val="nil"/>
              <w:tr2bl w:val="nil"/>
            </w:tcBorders>
            <w:shd w:val="clear" w:color="auto" w:fill="auto"/>
            <w:tcMar>
              <w:top w:w="10" w:type="dxa"/>
              <w:left w:w="10" w:type="dxa"/>
              <w:right w:w="10" w:type="dxa"/>
            </w:tcMar>
            <w:vAlign w:val="center"/>
          </w:tcPr>
          <w:p w14:paraId="1512641E">
            <w:pPr>
              <w:widowControl/>
              <w:spacing w:line="360" w:lineRule="auto"/>
              <w:jc w:val="center"/>
              <w:rPr>
                <w:rFonts w:eastAsiaTheme="minorEastAsia"/>
                <w:sz w:val="18"/>
                <w:szCs w:val="18"/>
              </w:rPr>
            </w:pPr>
            <w:r>
              <w:rPr>
                <w:rFonts w:hint="eastAsia" w:eastAsiaTheme="minorEastAsia"/>
                <w:color w:val="000000"/>
                <w:sz w:val="18"/>
                <w:szCs w:val="18"/>
              </w:rPr>
              <w:t>1</w:t>
            </w:r>
          </w:p>
        </w:tc>
        <w:tc>
          <w:tcPr>
            <w:tcW w:w="1920" w:type="dxa"/>
            <w:tcBorders>
              <w:tl2br w:val="nil"/>
              <w:tr2bl w:val="nil"/>
            </w:tcBorders>
            <w:shd w:val="clear" w:color="auto" w:fill="auto"/>
            <w:noWrap/>
            <w:tcMar>
              <w:top w:w="10" w:type="dxa"/>
              <w:left w:w="10" w:type="dxa"/>
              <w:right w:w="10" w:type="dxa"/>
            </w:tcMar>
            <w:vAlign w:val="center"/>
          </w:tcPr>
          <w:p w14:paraId="7D978CD1">
            <w:pPr>
              <w:widowControl/>
              <w:spacing w:before="60" w:after="60"/>
              <w:jc w:val="center"/>
              <w:textAlignment w:val="center"/>
              <w:rPr>
                <w:sz w:val="18"/>
                <w:szCs w:val="18"/>
              </w:rPr>
            </w:pPr>
          </w:p>
        </w:tc>
        <w:tc>
          <w:tcPr>
            <w:tcW w:w="780" w:type="dxa"/>
            <w:tcBorders>
              <w:tl2br w:val="nil"/>
              <w:tr2bl w:val="nil"/>
            </w:tcBorders>
            <w:shd w:val="clear" w:color="auto" w:fill="auto"/>
            <w:noWrap/>
            <w:tcMar>
              <w:top w:w="10" w:type="dxa"/>
              <w:left w:w="10" w:type="dxa"/>
              <w:right w:w="10" w:type="dxa"/>
            </w:tcMar>
            <w:vAlign w:val="center"/>
          </w:tcPr>
          <w:p w14:paraId="3A02176D">
            <w:pPr>
              <w:spacing w:before="60" w:after="60"/>
              <w:rPr>
                <w:sz w:val="18"/>
                <w:szCs w:val="18"/>
              </w:rPr>
            </w:pPr>
          </w:p>
        </w:tc>
      </w:tr>
      <w:tr w14:paraId="302EB0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768" w:type="dxa"/>
            <w:tcBorders>
              <w:tl2br w:val="nil"/>
              <w:tr2bl w:val="nil"/>
            </w:tcBorders>
            <w:shd w:val="clear" w:color="auto" w:fill="auto"/>
            <w:tcMar>
              <w:top w:w="10" w:type="dxa"/>
              <w:left w:w="10" w:type="dxa"/>
              <w:right w:w="10" w:type="dxa"/>
            </w:tcMar>
            <w:vAlign w:val="center"/>
          </w:tcPr>
          <w:p w14:paraId="07E0CCEB">
            <w:pPr>
              <w:widowControl/>
              <w:spacing w:before="60" w:after="60"/>
              <w:jc w:val="center"/>
              <w:textAlignment w:val="center"/>
              <w:rPr>
                <w:sz w:val="18"/>
                <w:szCs w:val="18"/>
              </w:rPr>
            </w:pPr>
            <w:r>
              <w:rPr>
                <w:rFonts w:hint="eastAsia"/>
                <w:sz w:val="18"/>
                <w:szCs w:val="18"/>
              </w:rPr>
              <w:t>3.6</w:t>
            </w:r>
          </w:p>
        </w:tc>
        <w:tc>
          <w:tcPr>
            <w:tcW w:w="1210" w:type="dxa"/>
            <w:tcBorders>
              <w:tl2br w:val="nil"/>
              <w:tr2bl w:val="nil"/>
            </w:tcBorders>
            <w:shd w:val="clear" w:color="auto" w:fill="auto"/>
            <w:tcMar>
              <w:top w:w="10" w:type="dxa"/>
              <w:left w:w="10" w:type="dxa"/>
              <w:right w:w="10" w:type="dxa"/>
            </w:tcMar>
            <w:vAlign w:val="center"/>
          </w:tcPr>
          <w:p w14:paraId="5621FCF5">
            <w:pPr>
              <w:widowControl/>
              <w:spacing w:before="60" w:after="60"/>
              <w:jc w:val="center"/>
              <w:textAlignment w:val="center"/>
              <w:rPr>
                <w:sz w:val="18"/>
                <w:szCs w:val="18"/>
              </w:rPr>
            </w:pPr>
            <w:r>
              <w:rPr>
                <w:rFonts w:hint="eastAsia"/>
                <w:sz w:val="18"/>
                <w:szCs w:val="18"/>
              </w:rPr>
              <w:t>防火墙</w:t>
            </w:r>
          </w:p>
        </w:tc>
        <w:tc>
          <w:tcPr>
            <w:tcW w:w="700" w:type="dxa"/>
            <w:tcBorders>
              <w:tl2br w:val="nil"/>
              <w:tr2bl w:val="nil"/>
            </w:tcBorders>
            <w:shd w:val="clear" w:color="auto" w:fill="auto"/>
            <w:tcMar>
              <w:top w:w="10" w:type="dxa"/>
              <w:left w:w="10" w:type="dxa"/>
              <w:right w:w="10" w:type="dxa"/>
            </w:tcMar>
            <w:vAlign w:val="center"/>
          </w:tcPr>
          <w:p w14:paraId="70F21592">
            <w:pPr>
              <w:pStyle w:val="76"/>
              <w:spacing w:line="360" w:lineRule="auto"/>
              <w:rPr>
                <w:rFonts w:eastAsiaTheme="minorEastAsia"/>
                <w:sz w:val="18"/>
                <w:szCs w:val="18"/>
              </w:rPr>
            </w:pPr>
            <w:r>
              <w:rPr>
                <w:rFonts w:hint="eastAsia" w:eastAsiaTheme="minorEastAsia"/>
                <w:color w:val="000000"/>
                <w:sz w:val="18"/>
                <w:szCs w:val="18"/>
              </w:rPr>
              <w:t>套</w:t>
            </w:r>
          </w:p>
        </w:tc>
        <w:tc>
          <w:tcPr>
            <w:tcW w:w="2220" w:type="dxa"/>
            <w:tcBorders>
              <w:tl2br w:val="nil"/>
              <w:tr2bl w:val="nil"/>
            </w:tcBorders>
            <w:shd w:val="clear" w:color="auto" w:fill="auto"/>
            <w:tcMar>
              <w:top w:w="10" w:type="dxa"/>
              <w:left w:w="10" w:type="dxa"/>
              <w:right w:w="10" w:type="dxa"/>
            </w:tcMar>
            <w:vAlign w:val="center"/>
          </w:tcPr>
          <w:p w14:paraId="123288B0">
            <w:pPr>
              <w:widowControl/>
              <w:jc w:val="left"/>
              <w:rPr>
                <w:sz w:val="18"/>
                <w:szCs w:val="18"/>
              </w:rPr>
            </w:pPr>
            <w:r>
              <w:rPr>
                <w:rFonts w:hint="eastAsia"/>
                <w:sz w:val="18"/>
                <w:szCs w:val="18"/>
              </w:rPr>
              <w:t>网络端口：4个10/100/1000M自适应电口,≧2个千兆光口,1U机架式；</w:t>
            </w:r>
          </w:p>
          <w:p w14:paraId="37B28B26">
            <w:pPr>
              <w:widowControl/>
              <w:jc w:val="left"/>
              <w:rPr>
                <w:sz w:val="18"/>
                <w:szCs w:val="18"/>
              </w:rPr>
            </w:pPr>
            <w:r>
              <w:rPr>
                <w:rFonts w:hint="eastAsia"/>
                <w:sz w:val="18"/>
                <w:szCs w:val="18"/>
              </w:rPr>
              <w:t>安全标准：Portal认证 RADIUS认HWTACACS认证 PKI/CA(X.509格式)认证 域认证 CHAP验证 PAP验证</w:t>
            </w:r>
          </w:p>
          <w:p w14:paraId="57910805">
            <w:pPr>
              <w:widowControl/>
              <w:jc w:val="left"/>
              <w:rPr>
                <w:sz w:val="18"/>
                <w:szCs w:val="18"/>
              </w:rPr>
            </w:pPr>
            <w:r>
              <w:rPr>
                <w:rFonts w:hint="eastAsia"/>
                <w:sz w:val="18"/>
                <w:szCs w:val="18"/>
              </w:rPr>
              <w:t>管理：支持基于命令行的配置管理 支持Web方式进行远程配置管理 支持H3C SSM安全管理中心进行设备管理 支持标准网管 SNMPv3，并且兼容SNMP v1和v2 智能安全策略</w:t>
            </w:r>
          </w:p>
        </w:tc>
        <w:tc>
          <w:tcPr>
            <w:tcW w:w="700" w:type="dxa"/>
            <w:tcBorders>
              <w:tl2br w:val="nil"/>
              <w:tr2bl w:val="nil"/>
            </w:tcBorders>
            <w:shd w:val="clear" w:color="auto" w:fill="auto"/>
            <w:tcMar>
              <w:top w:w="10" w:type="dxa"/>
              <w:left w:w="10" w:type="dxa"/>
              <w:right w:w="10" w:type="dxa"/>
            </w:tcMar>
            <w:vAlign w:val="center"/>
          </w:tcPr>
          <w:p w14:paraId="71ED9223">
            <w:pPr>
              <w:widowControl/>
              <w:spacing w:line="360" w:lineRule="auto"/>
              <w:jc w:val="center"/>
              <w:rPr>
                <w:rFonts w:eastAsiaTheme="minorEastAsia"/>
                <w:sz w:val="18"/>
                <w:szCs w:val="18"/>
              </w:rPr>
            </w:pPr>
            <w:r>
              <w:rPr>
                <w:rFonts w:hint="eastAsia" w:eastAsiaTheme="minorEastAsia"/>
                <w:color w:val="000000"/>
                <w:sz w:val="18"/>
                <w:szCs w:val="18"/>
              </w:rPr>
              <w:t>2</w:t>
            </w:r>
          </w:p>
        </w:tc>
        <w:tc>
          <w:tcPr>
            <w:tcW w:w="1920" w:type="dxa"/>
            <w:tcBorders>
              <w:tl2br w:val="nil"/>
              <w:tr2bl w:val="nil"/>
            </w:tcBorders>
            <w:shd w:val="clear" w:color="auto" w:fill="auto"/>
            <w:noWrap/>
            <w:tcMar>
              <w:top w:w="10" w:type="dxa"/>
              <w:left w:w="10" w:type="dxa"/>
              <w:right w:w="10" w:type="dxa"/>
            </w:tcMar>
            <w:vAlign w:val="center"/>
          </w:tcPr>
          <w:p w14:paraId="420C3F40">
            <w:pPr>
              <w:widowControl/>
              <w:spacing w:before="60" w:after="60"/>
              <w:jc w:val="center"/>
              <w:textAlignment w:val="center"/>
              <w:rPr>
                <w:sz w:val="18"/>
                <w:szCs w:val="18"/>
              </w:rPr>
            </w:pPr>
          </w:p>
        </w:tc>
        <w:tc>
          <w:tcPr>
            <w:tcW w:w="780" w:type="dxa"/>
            <w:tcBorders>
              <w:tl2br w:val="nil"/>
              <w:tr2bl w:val="nil"/>
            </w:tcBorders>
            <w:shd w:val="clear" w:color="auto" w:fill="auto"/>
            <w:noWrap/>
            <w:tcMar>
              <w:top w:w="10" w:type="dxa"/>
              <w:left w:w="10" w:type="dxa"/>
              <w:right w:w="10" w:type="dxa"/>
            </w:tcMar>
            <w:vAlign w:val="center"/>
          </w:tcPr>
          <w:p w14:paraId="6AE361E0">
            <w:pPr>
              <w:spacing w:before="60" w:after="60"/>
              <w:rPr>
                <w:sz w:val="18"/>
                <w:szCs w:val="18"/>
              </w:rPr>
            </w:pPr>
          </w:p>
        </w:tc>
      </w:tr>
      <w:tr w14:paraId="02635D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768" w:type="dxa"/>
            <w:tcBorders>
              <w:tl2br w:val="nil"/>
              <w:tr2bl w:val="nil"/>
            </w:tcBorders>
            <w:shd w:val="clear" w:color="auto" w:fill="auto"/>
            <w:tcMar>
              <w:top w:w="10" w:type="dxa"/>
              <w:left w:w="10" w:type="dxa"/>
              <w:right w:w="10" w:type="dxa"/>
            </w:tcMar>
            <w:vAlign w:val="center"/>
          </w:tcPr>
          <w:p w14:paraId="0A2BA9F8">
            <w:pPr>
              <w:widowControl/>
              <w:spacing w:before="60" w:after="60"/>
              <w:jc w:val="center"/>
              <w:textAlignment w:val="center"/>
              <w:rPr>
                <w:sz w:val="18"/>
                <w:szCs w:val="18"/>
              </w:rPr>
            </w:pPr>
            <w:r>
              <w:rPr>
                <w:rFonts w:hint="eastAsia"/>
                <w:sz w:val="18"/>
                <w:szCs w:val="18"/>
              </w:rPr>
              <w:t>3.7</w:t>
            </w:r>
          </w:p>
        </w:tc>
        <w:tc>
          <w:tcPr>
            <w:tcW w:w="1210" w:type="dxa"/>
            <w:tcBorders>
              <w:tl2br w:val="nil"/>
              <w:tr2bl w:val="nil"/>
            </w:tcBorders>
            <w:shd w:val="clear" w:color="auto" w:fill="auto"/>
            <w:tcMar>
              <w:top w:w="10" w:type="dxa"/>
              <w:left w:w="10" w:type="dxa"/>
              <w:right w:w="10" w:type="dxa"/>
            </w:tcMar>
            <w:vAlign w:val="center"/>
          </w:tcPr>
          <w:p w14:paraId="48243D19">
            <w:pPr>
              <w:widowControl/>
              <w:spacing w:before="60" w:after="60"/>
              <w:jc w:val="center"/>
              <w:textAlignment w:val="center"/>
              <w:rPr>
                <w:sz w:val="18"/>
                <w:szCs w:val="18"/>
              </w:rPr>
            </w:pPr>
            <w:r>
              <w:rPr>
                <w:rFonts w:hint="eastAsia"/>
                <w:sz w:val="18"/>
                <w:szCs w:val="18"/>
              </w:rPr>
              <w:t>正向隔离装置</w:t>
            </w:r>
          </w:p>
        </w:tc>
        <w:tc>
          <w:tcPr>
            <w:tcW w:w="700" w:type="dxa"/>
            <w:tcBorders>
              <w:tl2br w:val="nil"/>
              <w:tr2bl w:val="nil"/>
            </w:tcBorders>
            <w:shd w:val="clear" w:color="auto" w:fill="auto"/>
            <w:tcMar>
              <w:top w:w="10" w:type="dxa"/>
              <w:left w:w="10" w:type="dxa"/>
              <w:right w:w="10" w:type="dxa"/>
            </w:tcMar>
            <w:vAlign w:val="center"/>
          </w:tcPr>
          <w:p w14:paraId="3148D627">
            <w:pPr>
              <w:pStyle w:val="76"/>
              <w:spacing w:line="360" w:lineRule="auto"/>
              <w:rPr>
                <w:rFonts w:eastAsiaTheme="minorEastAsia"/>
                <w:sz w:val="18"/>
                <w:szCs w:val="18"/>
              </w:rPr>
            </w:pPr>
            <w:r>
              <w:rPr>
                <w:rFonts w:eastAsiaTheme="minorEastAsia"/>
                <w:color w:val="000000"/>
                <w:sz w:val="18"/>
                <w:szCs w:val="18"/>
              </w:rPr>
              <w:t>台</w:t>
            </w:r>
          </w:p>
        </w:tc>
        <w:tc>
          <w:tcPr>
            <w:tcW w:w="2220" w:type="dxa"/>
            <w:tcBorders>
              <w:tl2br w:val="nil"/>
              <w:tr2bl w:val="nil"/>
            </w:tcBorders>
            <w:shd w:val="clear" w:color="auto" w:fill="auto"/>
            <w:tcMar>
              <w:top w:w="10" w:type="dxa"/>
              <w:left w:w="10" w:type="dxa"/>
              <w:right w:w="10" w:type="dxa"/>
            </w:tcMar>
            <w:vAlign w:val="center"/>
          </w:tcPr>
          <w:p w14:paraId="524C697D">
            <w:pPr>
              <w:widowControl/>
              <w:jc w:val="left"/>
              <w:rPr>
                <w:sz w:val="18"/>
                <w:szCs w:val="18"/>
              </w:rPr>
            </w:pPr>
            <w:r>
              <w:rPr>
                <w:rFonts w:hint="eastAsia"/>
                <w:sz w:val="18"/>
                <w:szCs w:val="18"/>
              </w:rPr>
              <w:t>正向型网络隔离装置(百兆)电源:AC220V,2U整层宽机箱,机架安装, 网络端口: 内网口 2个 外网口 2个；</w:t>
            </w:r>
          </w:p>
        </w:tc>
        <w:tc>
          <w:tcPr>
            <w:tcW w:w="700" w:type="dxa"/>
            <w:tcBorders>
              <w:tl2br w:val="nil"/>
              <w:tr2bl w:val="nil"/>
            </w:tcBorders>
            <w:shd w:val="clear" w:color="auto" w:fill="auto"/>
            <w:tcMar>
              <w:top w:w="10" w:type="dxa"/>
              <w:left w:w="10" w:type="dxa"/>
              <w:right w:w="10" w:type="dxa"/>
            </w:tcMar>
            <w:vAlign w:val="center"/>
          </w:tcPr>
          <w:p w14:paraId="5877B9A6">
            <w:pPr>
              <w:widowControl/>
              <w:spacing w:line="360" w:lineRule="auto"/>
              <w:jc w:val="center"/>
              <w:rPr>
                <w:rFonts w:eastAsiaTheme="minorEastAsia"/>
                <w:sz w:val="18"/>
                <w:szCs w:val="18"/>
              </w:rPr>
            </w:pPr>
            <w:r>
              <w:rPr>
                <w:rFonts w:hint="eastAsia" w:eastAsiaTheme="minorEastAsia"/>
                <w:color w:val="000000"/>
                <w:sz w:val="18"/>
                <w:szCs w:val="18"/>
              </w:rPr>
              <w:t>1</w:t>
            </w:r>
          </w:p>
        </w:tc>
        <w:tc>
          <w:tcPr>
            <w:tcW w:w="1920" w:type="dxa"/>
            <w:tcBorders>
              <w:tl2br w:val="nil"/>
              <w:tr2bl w:val="nil"/>
            </w:tcBorders>
            <w:shd w:val="clear" w:color="auto" w:fill="auto"/>
            <w:noWrap/>
            <w:tcMar>
              <w:top w:w="10" w:type="dxa"/>
              <w:left w:w="10" w:type="dxa"/>
              <w:right w:w="10" w:type="dxa"/>
            </w:tcMar>
            <w:vAlign w:val="center"/>
          </w:tcPr>
          <w:p w14:paraId="0419FBF6">
            <w:pPr>
              <w:widowControl/>
              <w:spacing w:before="60" w:after="60"/>
              <w:jc w:val="center"/>
              <w:textAlignment w:val="center"/>
              <w:rPr>
                <w:sz w:val="18"/>
                <w:szCs w:val="18"/>
              </w:rPr>
            </w:pPr>
          </w:p>
        </w:tc>
        <w:tc>
          <w:tcPr>
            <w:tcW w:w="780" w:type="dxa"/>
            <w:tcBorders>
              <w:tl2br w:val="nil"/>
              <w:tr2bl w:val="nil"/>
            </w:tcBorders>
            <w:shd w:val="clear" w:color="auto" w:fill="auto"/>
            <w:noWrap/>
            <w:tcMar>
              <w:top w:w="10" w:type="dxa"/>
              <w:left w:w="10" w:type="dxa"/>
              <w:right w:w="10" w:type="dxa"/>
            </w:tcMar>
            <w:vAlign w:val="center"/>
          </w:tcPr>
          <w:p w14:paraId="73E3B9FF">
            <w:pPr>
              <w:spacing w:before="60" w:after="60"/>
              <w:rPr>
                <w:sz w:val="18"/>
                <w:szCs w:val="18"/>
              </w:rPr>
            </w:pPr>
          </w:p>
        </w:tc>
      </w:tr>
      <w:tr w14:paraId="3B65AE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768" w:type="dxa"/>
            <w:tcBorders>
              <w:tl2br w:val="nil"/>
              <w:tr2bl w:val="nil"/>
            </w:tcBorders>
            <w:shd w:val="clear" w:color="auto" w:fill="auto"/>
            <w:tcMar>
              <w:top w:w="10" w:type="dxa"/>
              <w:left w:w="10" w:type="dxa"/>
              <w:right w:w="10" w:type="dxa"/>
            </w:tcMar>
            <w:vAlign w:val="center"/>
          </w:tcPr>
          <w:p w14:paraId="38FC61FF">
            <w:pPr>
              <w:widowControl/>
              <w:spacing w:before="60" w:after="60"/>
              <w:jc w:val="center"/>
              <w:textAlignment w:val="center"/>
              <w:rPr>
                <w:sz w:val="18"/>
                <w:szCs w:val="18"/>
              </w:rPr>
            </w:pPr>
            <w:r>
              <w:rPr>
                <w:rFonts w:hint="eastAsia"/>
                <w:sz w:val="18"/>
                <w:szCs w:val="18"/>
              </w:rPr>
              <w:t>3.8</w:t>
            </w:r>
          </w:p>
        </w:tc>
        <w:tc>
          <w:tcPr>
            <w:tcW w:w="1210" w:type="dxa"/>
            <w:tcBorders>
              <w:tl2br w:val="nil"/>
              <w:tr2bl w:val="nil"/>
            </w:tcBorders>
            <w:shd w:val="clear" w:color="auto" w:fill="auto"/>
            <w:tcMar>
              <w:top w:w="10" w:type="dxa"/>
              <w:left w:w="10" w:type="dxa"/>
              <w:right w:w="10" w:type="dxa"/>
            </w:tcMar>
            <w:vAlign w:val="center"/>
          </w:tcPr>
          <w:p w14:paraId="45484B01">
            <w:pPr>
              <w:widowControl/>
              <w:spacing w:before="60" w:after="60"/>
              <w:jc w:val="center"/>
              <w:textAlignment w:val="center"/>
              <w:rPr>
                <w:sz w:val="18"/>
                <w:szCs w:val="18"/>
              </w:rPr>
            </w:pPr>
            <w:r>
              <w:rPr>
                <w:rFonts w:hint="eastAsia"/>
                <w:sz w:val="18"/>
                <w:szCs w:val="18"/>
              </w:rPr>
              <w:t>反向隔离装置</w:t>
            </w:r>
          </w:p>
        </w:tc>
        <w:tc>
          <w:tcPr>
            <w:tcW w:w="700" w:type="dxa"/>
            <w:tcBorders>
              <w:tl2br w:val="nil"/>
              <w:tr2bl w:val="nil"/>
            </w:tcBorders>
            <w:shd w:val="clear" w:color="auto" w:fill="auto"/>
            <w:tcMar>
              <w:top w:w="10" w:type="dxa"/>
              <w:left w:w="10" w:type="dxa"/>
              <w:right w:w="10" w:type="dxa"/>
            </w:tcMar>
            <w:vAlign w:val="center"/>
          </w:tcPr>
          <w:p w14:paraId="01724E44">
            <w:pPr>
              <w:pStyle w:val="76"/>
              <w:spacing w:line="360" w:lineRule="auto"/>
              <w:rPr>
                <w:rFonts w:eastAsiaTheme="minorEastAsia"/>
                <w:sz w:val="18"/>
                <w:szCs w:val="18"/>
              </w:rPr>
            </w:pPr>
            <w:r>
              <w:rPr>
                <w:rFonts w:eastAsiaTheme="minorEastAsia"/>
                <w:color w:val="000000"/>
                <w:sz w:val="18"/>
                <w:szCs w:val="18"/>
              </w:rPr>
              <w:t>台</w:t>
            </w:r>
          </w:p>
        </w:tc>
        <w:tc>
          <w:tcPr>
            <w:tcW w:w="2220" w:type="dxa"/>
            <w:tcBorders>
              <w:tl2br w:val="nil"/>
              <w:tr2bl w:val="nil"/>
            </w:tcBorders>
            <w:shd w:val="clear" w:color="auto" w:fill="auto"/>
            <w:tcMar>
              <w:top w:w="10" w:type="dxa"/>
              <w:left w:w="10" w:type="dxa"/>
              <w:right w:w="10" w:type="dxa"/>
            </w:tcMar>
            <w:vAlign w:val="center"/>
          </w:tcPr>
          <w:p w14:paraId="19314592">
            <w:pPr>
              <w:widowControl/>
              <w:jc w:val="left"/>
              <w:rPr>
                <w:sz w:val="18"/>
                <w:szCs w:val="18"/>
              </w:rPr>
            </w:pPr>
            <w:r>
              <w:rPr>
                <w:rFonts w:hint="eastAsia"/>
                <w:sz w:val="18"/>
                <w:szCs w:val="18"/>
              </w:rPr>
              <w:t>反向型网络隔离装置(百兆)电源:AC220V,2U整层宽机箱,机架安装, 网络端口: 内网口 2个 外网口 2个；</w:t>
            </w:r>
          </w:p>
        </w:tc>
        <w:tc>
          <w:tcPr>
            <w:tcW w:w="700" w:type="dxa"/>
            <w:tcBorders>
              <w:tl2br w:val="nil"/>
              <w:tr2bl w:val="nil"/>
            </w:tcBorders>
            <w:shd w:val="clear" w:color="auto" w:fill="auto"/>
            <w:tcMar>
              <w:top w:w="10" w:type="dxa"/>
              <w:left w:w="10" w:type="dxa"/>
              <w:right w:w="10" w:type="dxa"/>
            </w:tcMar>
            <w:vAlign w:val="center"/>
          </w:tcPr>
          <w:p w14:paraId="1246B4BB">
            <w:pPr>
              <w:widowControl/>
              <w:spacing w:line="360" w:lineRule="auto"/>
              <w:jc w:val="center"/>
              <w:rPr>
                <w:rFonts w:eastAsiaTheme="minorEastAsia"/>
                <w:sz w:val="18"/>
                <w:szCs w:val="18"/>
              </w:rPr>
            </w:pPr>
            <w:r>
              <w:rPr>
                <w:rFonts w:hint="eastAsia" w:eastAsiaTheme="minorEastAsia"/>
                <w:color w:val="000000"/>
                <w:sz w:val="18"/>
                <w:szCs w:val="18"/>
              </w:rPr>
              <w:t>1</w:t>
            </w:r>
          </w:p>
        </w:tc>
        <w:tc>
          <w:tcPr>
            <w:tcW w:w="1920" w:type="dxa"/>
            <w:tcBorders>
              <w:tl2br w:val="nil"/>
              <w:tr2bl w:val="nil"/>
            </w:tcBorders>
            <w:shd w:val="clear" w:color="auto" w:fill="auto"/>
            <w:noWrap/>
            <w:tcMar>
              <w:top w:w="10" w:type="dxa"/>
              <w:left w:w="10" w:type="dxa"/>
              <w:right w:w="10" w:type="dxa"/>
            </w:tcMar>
            <w:vAlign w:val="center"/>
          </w:tcPr>
          <w:p w14:paraId="3D901BE0">
            <w:pPr>
              <w:widowControl/>
              <w:spacing w:before="60" w:after="60"/>
              <w:jc w:val="center"/>
              <w:textAlignment w:val="center"/>
              <w:rPr>
                <w:sz w:val="18"/>
                <w:szCs w:val="18"/>
              </w:rPr>
            </w:pPr>
          </w:p>
        </w:tc>
        <w:tc>
          <w:tcPr>
            <w:tcW w:w="780" w:type="dxa"/>
            <w:tcBorders>
              <w:tl2br w:val="nil"/>
              <w:tr2bl w:val="nil"/>
            </w:tcBorders>
            <w:shd w:val="clear" w:color="auto" w:fill="auto"/>
            <w:noWrap/>
            <w:tcMar>
              <w:top w:w="10" w:type="dxa"/>
              <w:left w:w="10" w:type="dxa"/>
              <w:right w:w="10" w:type="dxa"/>
            </w:tcMar>
            <w:vAlign w:val="center"/>
          </w:tcPr>
          <w:p w14:paraId="5C8A2977">
            <w:pPr>
              <w:spacing w:before="60" w:after="60"/>
              <w:rPr>
                <w:sz w:val="18"/>
                <w:szCs w:val="18"/>
              </w:rPr>
            </w:pPr>
          </w:p>
        </w:tc>
      </w:tr>
      <w:tr w14:paraId="3E3CB2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768" w:type="dxa"/>
            <w:tcBorders>
              <w:tl2br w:val="nil"/>
              <w:tr2bl w:val="nil"/>
            </w:tcBorders>
            <w:shd w:val="clear" w:color="auto" w:fill="auto"/>
            <w:tcMar>
              <w:top w:w="10" w:type="dxa"/>
              <w:left w:w="10" w:type="dxa"/>
              <w:right w:w="10" w:type="dxa"/>
            </w:tcMar>
            <w:vAlign w:val="center"/>
          </w:tcPr>
          <w:p w14:paraId="46E4FA8F">
            <w:pPr>
              <w:widowControl/>
              <w:spacing w:before="60" w:after="60"/>
              <w:jc w:val="center"/>
              <w:textAlignment w:val="center"/>
              <w:rPr>
                <w:sz w:val="18"/>
                <w:szCs w:val="18"/>
              </w:rPr>
            </w:pPr>
            <w:r>
              <w:rPr>
                <w:rFonts w:hint="eastAsia"/>
                <w:sz w:val="18"/>
                <w:szCs w:val="18"/>
              </w:rPr>
              <w:t>3.9</w:t>
            </w:r>
          </w:p>
        </w:tc>
        <w:tc>
          <w:tcPr>
            <w:tcW w:w="1210" w:type="dxa"/>
            <w:tcBorders>
              <w:tl2br w:val="nil"/>
              <w:tr2bl w:val="nil"/>
            </w:tcBorders>
            <w:shd w:val="clear" w:color="auto" w:fill="auto"/>
            <w:tcMar>
              <w:top w:w="10" w:type="dxa"/>
              <w:left w:w="10" w:type="dxa"/>
              <w:right w:w="10" w:type="dxa"/>
            </w:tcMar>
            <w:vAlign w:val="center"/>
          </w:tcPr>
          <w:p w14:paraId="596D1C69">
            <w:pPr>
              <w:pStyle w:val="76"/>
              <w:spacing w:line="360" w:lineRule="auto"/>
              <w:rPr>
                <w:rFonts w:eastAsiaTheme="minorEastAsia"/>
                <w:sz w:val="18"/>
                <w:szCs w:val="18"/>
              </w:rPr>
            </w:pPr>
            <w:r>
              <w:rPr>
                <w:rFonts w:hint="eastAsia" w:eastAsiaTheme="minorEastAsia"/>
                <w:sz w:val="18"/>
                <w:szCs w:val="18"/>
              </w:rPr>
              <w:t>站端硬件辅材</w:t>
            </w:r>
          </w:p>
        </w:tc>
        <w:tc>
          <w:tcPr>
            <w:tcW w:w="700" w:type="dxa"/>
            <w:tcBorders>
              <w:tl2br w:val="nil"/>
              <w:tr2bl w:val="nil"/>
            </w:tcBorders>
            <w:shd w:val="clear" w:color="auto" w:fill="auto"/>
            <w:tcMar>
              <w:top w:w="10" w:type="dxa"/>
              <w:left w:w="10" w:type="dxa"/>
              <w:right w:w="10" w:type="dxa"/>
            </w:tcMar>
            <w:vAlign w:val="center"/>
          </w:tcPr>
          <w:p w14:paraId="49E7C787">
            <w:pPr>
              <w:pStyle w:val="76"/>
              <w:spacing w:line="360" w:lineRule="auto"/>
              <w:rPr>
                <w:rFonts w:eastAsiaTheme="minorEastAsia"/>
                <w:sz w:val="18"/>
                <w:szCs w:val="18"/>
              </w:rPr>
            </w:pPr>
            <w:r>
              <w:rPr>
                <w:rFonts w:hint="eastAsia" w:eastAsiaTheme="minorEastAsia"/>
                <w:color w:val="000000"/>
                <w:sz w:val="18"/>
                <w:szCs w:val="18"/>
              </w:rPr>
              <w:t>套</w:t>
            </w:r>
          </w:p>
        </w:tc>
        <w:tc>
          <w:tcPr>
            <w:tcW w:w="2220" w:type="dxa"/>
            <w:tcBorders>
              <w:tl2br w:val="nil"/>
              <w:tr2bl w:val="nil"/>
            </w:tcBorders>
            <w:shd w:val="clear" w:color="auto" w:fill="auto"/>
            <w:tcMar>
              <w:top w:w="10" w:type="dxa"/>
              <w:left w:w="10" w:type="dxa"/>
              <w:right w:w="10" w:type="dxa"/>
            </w:tcMar>
            <w:vAlign w:val="center"/>
          </w:tcPr>
          <w:p w14:paraId="5BDE68A6">
            <w:pPr>
              <w:widowControl/>
              <w:jc w:val="left"/>
              <w:rPr>
                <w:rFonts w:eastAsiaTheme="minorEastAsia"/>
                <w:sz w:val="18"/>
                <w:szCs w:val="18"/>
              </w:rPr>
            </w:pPr>
            <w:r>
              <w:rPr>
                <w:rFonts w:hint="eastAsia" w:eastAsiaTheme="minorEastAsia"/>
                <w:sz w:val="18"/>
                <w:szCs w:val="18"/>
              </w:rPr>
              <w:t>包含各类服务器、屏柜内所需线缆等辅材</w:t>
            </w:r>
          </w:p>
        </w:tc>
        <w:tc>
          <w:tcPr>
            <w:tcW w:w="700" w:type="dxa"/>
            <w:tcBorders>
              <w:tl2br w:val="nil"/>
              <w:tr2bl w:val="nil"/>
            </w:tcBorders>
            <w:shd w:val="clear" w:color="auto" w:fill="auto"/>
            <w:tcMar>
              <w:top w:w="10" w:type="dxa"/>
              <w:left w:w="10" w:type="dxa"/>
              <w:right w:w="10" w:type="dxa"/>
            </w:tcMar>
            <w:vAlign w:val="center"/>
          </w:tcPr>
          <w:p w14:paraId="7E6183A4">
            <w:pPr>
              <w:widowControl/>
              <w:spacing w:before="60" w:after="60"/>
              <w:jc w:val="center"/>
              <w:textAlignment w:val="center"/>
              <w:rPr>
                <w:sz w:val="18"/>
                <w:szCs w:val="18"/>
              </w:rPr>
            </w:pPr>
            <w:r>
              <w:rPr>
                <w:rFonts w:hint="eastAsia"/>
                <w:sz w:val="18"/>
                <w:szCs w:val="18"/>
              </w:rPr>
              <w:t>1</w:t>
            </w:r>
          </w:p>
        </w:tc>
        <w:tc>
          <w:tcPr>
            <w:tcW w:w="1920" w:type="dxa"/>
            <w:tcBorders>
              <w:tl2br w:val="nil"/>
              <w:tr2bl w:val="nil"/>
            </w:tcBorders>
            <w:shd w:val="clear" w:color="auto" w:fill="auto"/>
            <w:noWrap/>
            <w:tcMar>
              <w:top w:w="10" w:type="dxa"/>
              <w:left w:w="10" w:type="dxa"/>
              <w:right w:w="10" w:type="dxa"/>
            </w:tcMar>
            <w:vAlign w:val="center"/>
          </w:tcPr>
          <w:p w14:paraId="7E041486">
            <w:pPr>
              <w:widowControl/>
              <w:spacing w:before="60" w:after="60"/>
              <w:jc w:val="center"/>
              <w:textAlignment w:val="center"/>
              <w:rPr>
                <w:sz w:val="18"/>
                <w:szCs w:val="18"/>
              </w:rPr>
            </w:pPr>
          </w:p>
        </w:tc>
        <w:tc>
          <w:tcPr>
            <w:tcW w:w="780" w:type="dxa"/>
            <w:tcBorders>
              <w:tl2br w:val="nil"/>
              <w:tr2bl w:val="nil"/>
            </w:tcBorders>
            <w:shd w:val="clear" w:color="auto" w:fill="auto"/>
            <w:noWrap/>
            <w:tcMar>
              <w:top w:w="10" w:type="dxa"/>
              <w:left w:w="10" w:type="dxa"/>
              <w:right w:w="10" w:type="dxa"/>
            </w:tcMar>
            <w:vAlign w:val="center"/>
          </w:tcPr>
          <w:p w14:paraId="7D9452E2">
            <w:pPr>
              <w:spacing w:before="60" w:after="60"/>
              <w:rPr>
                <w:sz w:val="18"/>
                <w:szCs w:val="18"/>
              </w:rPr>
            </w:pPr>
          </w:p>
        </w:tc>
      </w:tr>
      <w:tr w14:paraId="24BD35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768" w:type="dxa"/>
            <w:tcBorders>
              <w:tl2br w:val="nil"/>
              <w:tr2bl w:val="nil"/>
            </w:tcBorders>
            <w:shd w:val="clear" w:color="auto" w:fill="auto"/>
            <w:tcMar>
              <w:top w:w="10" w:type="dxa"/>
              <w:left w:w="10" w:type="dxa"/>
              <w:right w:w="10" w:type="dxa"/>
            </w:tcMar>
            <w:vAlign w:val="center"/>
          </w:tcPr>
          <w:p w14:paraId="398CF903">
            <w:pPr>
              <w:widowControl/>
              <w:spacing w:before="60" w:after="60"/>
              <w:jc w:val="center"/>
              <w:textAlignment w:val="center"/>
              <w:rPr>
                <w:sz w:val="18"/>
                <w:szCs w:val="18"/>
              </w:rPr>
            </w:pPr>
            <w:r>
              <w:rPr>
                <w:rFonts w:hint="eastAsia"/>
                <w:sz w:val="18"/>
                <w:szCs w:val="18"/>
              </w:rPr>
              <w:t>3.10</w:t>
            </w:r>
          </w:p>
        </w:tc>
        <w:tc>
          <w:tcPr>
            <w:tcW w:w="1210" w:type="dxa"/>
            <w:tcBorders>
              <w:tl2br w:val="nil"/>
              <w:tr2bl w:val="nil"/>
            </w:tcBorders>
            <w:shd w:val="clear" w:color="auto" w:fill="auto"/>
            <w:tcMar>
              <w:top w:w="10" w:type="dxa"/>
              <w:left w:w="10" w:type="dxa"/>
              <w:right w:w="10" w:type="dxa"/>
            </w:tcMar>
            <w:vAlign w:val="center"/>
          </w:tcPr>
          <w:p w14:paraId="7039C18D">
            <w:pPr>
              <w:widowControl/>
              <w:spacing w:before="60" w:after="60"/>
              <w:jc w:val="center"/>
              <w:textAlignment w:val="center"/>
              <w:rPr>
                <w:sz w:val="18"/>
                <w:szCs w:val="18"/>
              </w:rPr>
            </w:pPr>
            <w:r>
              <w:rPr>
                <w:rFonts w:hint="eastAsia"/>
                <w:sz w:val="18"/>
                <w:szCs w:val="18"/>
              </w:rPr>
              <w:t>三维引擎服务器</w:t>
            </w:r>
          </w:p>
        </w:tc>
        <w:tc>
          <w:tcPr>
            <w:tcW w:w="700" w:type="dxa"/>
            <w:tcBorders>
              <w:tl2br w:val="nil"/>
              <w:tr2bl w:val="nil"/>
            </w:tcBorders>
            <w:shd w:val="clear" w:color="auto" w:fill="auto"/>
            <w:tcMar>
              <w:top w:w="10" w:type="dxa"/>
              <w:left w:w="10" w:type="dxa"/>
              <w:right w:w="10" w:type="dxa"/>
            </w:tcMar>
            <w:vAlign w:val="center"/>
          </w:tcPr>
          <w:p w14:paraId="72C339C7">
            <w:pPr>
              <w:pStyle w:val="76"/>
              <w:spacing w:line="360" w:lineRule="auto"/>
              <w:rPr>
                <w:rFonts w:eastAsiaTheme="minorEastAsia"/>
                <w:sz w:val="18"/>
                <w:szCs w:val="18"/>
              </w:rPr>
            </w:pPr>
            <w:r>
              <w:rPr>
                <w:rFonts w:eastAsiaTheme="minorEastAsia"/>
                <w:color w:val="000000"/>
                <w:sz w:val="18"/>
                <w:szCs w:val="18"/>
              </w:rPr>
              <w:t>台</w:t>
            </w:r>
          </w:p>
        </w:tc>
        <w:tc>
          <w:tcPr>
            <w:tcW w:w="2220" w:type="dxa"/>
            <w:tcBorders>
              <w:tl2br w:val="nil"/>
              <w:tr2bl w:val="nil"/>
            </w:tcBorders>
            <w:shd w:val="clear" w:color="auto" w:fill="auto"/>
            <w:tcMar>
              <w:top w:w="10" w:type="dxa"/>
              <w:left w:w="10" w:type="dxa"/>
              <w:right w:w="10" w:type="dxa"/>
            </w:tcMar>
            <w:vAlign w:val="center"/>
          </w:tcPr>
          <w:p w14:paraId="468C755D">
            <w:pPr>
              <w:widowControl/>
              <w:jc w:val="left"/>
              <w:rPr>
                <w:sz w:val="18"/>
                <w:szCs w:val="18"/>
              </w:rPr>
            </w:pPr>
            <w:r>
              <w:rPr>
                <w:rFonts w:hint="eastAsia"/>
                <w:sz w:val="18"/>
                <w:szCs w:val="18"/>
              </w:rPr>
              <w:t>(1)处理器：国产化处理器，性能不低于：2颗，单颗16核，支持超线程，缓存25MB，原始主频2.0GHz，支撑系统的图形处理任务，并进行快速运算；</w:t>
            </w:r>
          </w:p>
          <w:p w14:paraId="157F442F">
            <w:pPr>
              <w:widowControl/>
              <w:jc w:val="left"/>
              <w:rPr>
                <w:sz w:val="18"/>
                <w:szCs w:val="18"/>
              </w:rPr>
            </w:pPr>
            <w:r>
              <w:rPr>
                <w:rFonts w:hint="eastAsia"/>
                <w:sz w:val="18"/>
                <w:szCs w:val="18"/>
              </w:rPr>
              <w:t>(2)内存：128GB，保证图形数据计算速率；</w:t>
            </w:r>
          </w:p>
          <w:p w14:paraId="4E6778EB">
            <w:pPr>
              <w:widowControl/>
              <w:jc w:val="left"/>
              <w:rPr>
                <w:sz w:val="18"/>
                <w:szCs w:val="18"/>
              </w:rPr>
            </w:pPr>
            <w:r>
              <w:rPr>
                <w:rFonts w:hint="eastAsia"/>
                <w:sz w:val="18"/>
                <w:szCs w:val="18"/>
              </w:rPr>
              <w:t>(3)外存储器：SSD固态硬盘256G + 机械硬盘2T，保证图形数据的存储及交换；</w:t>
            </w:r>
          </w:p>
          <w:p w14:paraId="7296B1E6">
            <w:pPr>
              <w:widowControl/>
              <w:jc w:val="left"/>
              <w:rPr>
                <w:sz w:val="18"/>
                <w:szCs w:val="18"/>
              </w:rPr>
            </w:pPr>
            <w:r>
              <w:rPr>
                <w:rFonts w:hint="eastAsia"/>
                <w:sz w:val="18"/>
                <w:szCs w:val="18"/>
              </w:rPr>
              <w:t>网卡：4块千兆以太网卡，支持系统中图形数据交互传输速率，满足人机交互；</w:t>
            </w:r>
          </w:p>
          <w:p w14:paraId="1A33BF4A">
            <w:pPr>
              <w:widowControl/>
              <w:jc w:val="left"/>
              <w:rPr>
                <w:sz w:val="18"/>
                <w:szCs w:val="18"/>
              </w:rPr>
            </w:pPr>
            <w:r>
              <w:rPr>
                <w:rFonts w:hint="eastAsia"/>
                <w:sz w:val="18"/>
                <w:szCs w:val="18"/>
              </w:rPr>
              <w:t>(4)显卡：2块FP32浮点性能73.54 TFLOPS，显存24G，显存带宽1008GB/s的显卡，预留至少2条PCI-E扩展插槽，保证高精度的图形处理要求和算力需求；</w:t>
            </w:r>
          </w:p>
        </w:tc>
        <w:tc>
          <w:tcPr>
            <w:tcW w:w="700" w:type="dxa"/>
            <w:tcBorders>
              <w:tl2br w:val="nil"/>
              <w:tr2bl w:val="nil"/>
            </w:tcBorders>
            <w:shd w:val="clear" w:color="auto" w:fill="auto"/>
            <w:tcMar>
              <w:top w:w="10" w:type="dxa"/>
              <w:left w:w="10" w:type="dxa"/>
              <w:right w:w="10" w:type="dxa"/>
            </w:tcMar>
            <w:vAlign w:val="center"/>
          </w:tcPr>
          <w:p w14:paraId="4E3E41BD">
            <w:pPr>
              <w:widowControl/>
              <w:spacing w:line="360" w:lineRule="auto"/>
              <w:jc w:val="center"/>
              <w:rPr>
                <w:rFonts w:eastAsiaTheme="minorEastAsia"/>
                <w:sz w:val="18"/>
                <w:szCs w:val="18"/>
              </w:rPr>
            </w:pPr>
            <w:r>
              <w:rPr>
                <w:rFonts w:hint="eastAsia" w:eastAsiaTheme="minorEastAsia"/>
                <w:color w:val="000000"/>
                <w:sz w:val="18"/>
                <w:szCs w:val="18"/>
              </w:rPr>
              <w:t>1</w:t>
            </w:r>
          </w:p>
        </w:tc>
        <w:tc>
          <w:tcPr>
            <w:tcW w:w="1920" w:type="dxa"/>
            <w:tcBorders>
              <w:tl2br w:val="nil"/>
              <w:tr2bl w:val="nil"/>
            </w:tcBorders>
            <w:shd w:val="clear" w:color="auto" w:fill="auto"/>
            <w:noWrap/>
            <w:tcMar>
              <w:top w:w="10" w:type="dxa"/>
              <w:left w:w="10" w:type="dxa"/>
              <w:right w:w="10" w:type="dxa"/>
            </w:tcMar>
            <w:vAlign w:val="center"/>
          </w:tcPr>
          <w:p w14:paraId="456CD0EB">
            <w:pPr>
              <w:widowControl/>
              <w:spacing w:before="60" w:after="60"/>
              <w:jc w:val="center"/>
              <w:textAlignment w:val="center"/>
              <w:rPr>
                <w:sz w:val="18"/>
                <w:szCs w:val="18"/>
              </w:rPr>
            </w:pPr>
          </w:p>
        </w:tc>
        <w:tc>
          <w:tcPr>
            <w:tcW w:w="780" w:type="dxa"/>
            <w:tcBorders>
              <w:tl2br w:val="nil"/>
              <w:tr2bl w:val="nil"/>
            </w:tcBorders>
            <w:shd w:val="clear" w:color="auto" w:fill="auto"/>
            <w:noWrap/>
            <w:tcMar>
              <w:top w:w="10" w:type="dxa"/>
              <w:left w:w="10" w:type="dxa"/>
              <w:right w:w="10" w:type="dxa"/>
            </w:tcMar>
            <w:vAlign w:val="center"/>
          </w:tcPr>
          <w:p w14:paraId="7A97985E">
            <w:pPr>
              <w:spacing w:before="60" w:after="60"/>
              <w:rPr>
                <w:sz w:val="18"/>
                <w:szCs w:val="18"/>
              </w:rPr>
            </w:pPr>
          </w:p>
        </w:tc>
      </w:tr>
      <w:tr w14:paraId="56687D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768" w:type="dxa"/>
            <w:tcBorders>
              <w:tl2br w:val="nil"/>
              <w:tr2bl w:val="nil"/>
            </w:tcBorders>
            <w:shd w:val="clear" w:color="auto" w:fill="auto"/>
            <w:tcMar>
              <w:top w:w="10" w:type="dxa"/>
              <w:left w:w="10" w:type="dxa"/>
              <w:right w:w="10" w:type="dxa"/>
            </w:tcMar>
            <w:vAlign w:val="center"/>
          </w:tcPr>
          <w:p w14:paraId="09BC2F2D">
            <w:pPr>
              <w:widowControl/>
              <w:spacing w:before="60" w:after="60"/>
              <w:jc w:val="center"/>
              <w:textAlignment w:val="center"/>
              <w:rPr>
                <w:sz w:val="18"/>
                <w:szCs w:val="18"/>
              </w:rPr>
            </w:pPr>
            <w:r>
              <w:rPr>
                <w:rFonts w:hint="eastAsia"/>
                <w:sz w:val="18"/>
                <w:szCs w:val="18"/>
              </w:rPr>
              <w:t>3.11</w:t>
            </w:r>
          </w:p>
        </w:tc>
        <w:tc>
          <w:tcPr>
            <w:tcW w:w="1210" w:type="dxa"/>
            <w:tcBorders>
              <w:tl2br w:val="nil"/>
              <w:tr2bl w:val="nil"/>
            </w:tcBorders>
            <w:shd w:val="clear" w:color="auto" w:fill="auto"/>
            <w:tcMar>
              <w:top w:w="10" w:type="dxa"/>
              <w:left w:w="10" w:type="dxa"/>
              <w:right w:w="10" w:type="dxa"/>
            </w:tcMar>
            <w:vAlign w:val="center"/>
          </w:tcPr>
          <w:p w14:paraId="136A99BB">
            <w:pPr>
              <w:widowControl/>
              <w:spacing w:before="60" w:after="60"/>
              <w:jc w:val="center"/>
              <w:textAlignment w:val="center"/>
              <w:rPr>
                <w:sz w:val="18"/>
                <w:szCs w:val="18"/>
              </w:rPr>
            </w:pPr>
            <w:r>
              <w:rPr>
                <w:rFonts w:hint="eastAsia"/>
                <w:sz w:val="18"/>
                <w:szCs w:val="18"/>
              </w:rPr>
              <w:t>应用服务器</w:t>
            </w:r>
          </w:p>
        </w:tc>
        <w:tc>
          <w:tcPr>
            <w:tcW w:w="700" w:type="dxa"/>
            <w:tcBorders>
              <w:tl2br w:val="nil"/>
              <w:tr2bl w:val="nil"/>
            </w:tcBorders>
            <w:shd w:val="clear" w:color="auto" w:fill="auto"/>
            <w:tcMar>
              <w:top w:w="10" w:type="dxa"/>
              <w:left w:w="10" w:type="dxa"/>
              <w:right w:w="10" w:type="dxa"/>
            </w:tcMar>
            <w:vAlign w:val="center"/>
          </w:tcPr>
          <w:p w14:paraId="7B98603D">
            <w:pPr>
              <w:pStyle w:val="76"/>
              <w:spacing w:line="360" w:lineRule="auto"/>
              <w:rPr>
                <w:rFonts w:eastAsiaTheme="minorEastAsia"/>
                <w:sz w:val="18"/>
                <w:szCs w:val="18"/>
              </w:rPr>
            </w:pPr>
            <w:r>
              <w:rPr>
                <w:rFonts w:eastAsiaTheme="minorEastAsia"/>
                <w:color w:val="000000"/>
                <w:sz w:val="18"/>
                <w:szCs w:val="18"/>
              </w:rPr>
              <w:t>台</w:t>
            </w:r>
          </w:p>
        </w:tc>
        <w:tc>
          <w:tcPr>
            <w:tcW w:w="2220" w:type="dxa"/>
            <w:tcBorders>
              <w:tl2br w:val="nil"/>
              <w:tr2bl w:val="nil"/>
            </w:tcBorders>
            <w:shd w:val="clear" w:color="auto" w:fill="auto"/>
            <w:tcMar>
              <w:top w:w="10" w:type="dxa"/>
              <w:left w:w="10" w:type="dxa"/>
              <w:right w:w="10" w:type="dxa"/>
            </w:tcMar>
            <w:vAlign w:val="center"/>
          </w:tcPr>
          <w:p w14:paraId="1FB1050A">
            <w:pPr>
              <w:widowControl/>
              <w:jc w:val="left"/>
              <w:rPr>
                <w:sz w:val="18"/>
                <w:szCs w:val="18"/>
              </w:rPr>
            </w:pPr>
            <w:r>
              <w:rPr>
                <w:rFonts w:hint="eastAsia"/>
                <w:sz w:val="18"/>
                <w:szCs w:val="18"/>
              </w:rPr>
              <w:t>(1)2*CPU（国产化）（核心≧16，线程≧32，主频≧2.1GHz）</w:t>
            </w:r>
          </w:p>
          <w:p w14:paraId="651B144B">
            <w:pPr>
              <w:widowControl/>
              <w:jc w:val="left"/>
              <w:rPr>
                <w:sz w:val="18"/>
                <w:szCs w:val="18"/>
              </w:rPr>
            </w:pPr>
            <w:r>
              <w:rPr>
                <w:rFonts w:hint="eastAsia"/>
                <w:sz w:val="18"/>
                <w:szCs w:val="18"/>
              </w:rPr>
              <w:t xml:space="preserve">(2)内存≥128Gb </w:t>
            </w:r>
          </w:p>
          <w:p w14:paraId="5AE65BE8">
            <w:pPr>
              <w:widowControl/>
              <w:jc w:val="left"/>
              <w:rPr>
                <w:sz w:val="18"/>
                <w:szCs w:val="18"/>
              </w:rPr>
            </w:pPr>
            <w:r>
              <w:rPr>
                <w:rFonts w:hint="eastAsia"/>
                <w:sz w:val="18"/>
                <w:szCs w:val="18"/>
              </w:rPr>
              <w:t>(3)硬盘≥10TB 10K SAS Raid 5</w:t>
            </w:r>
          </w:p>
          <w:p w14:paraId="5260CB3E">
            <w:pPr>
              <w:widowControl/>
              <w:jc w:val="left"/>
              <w:rPr>
                <w:sz w:val="18"/>
                <w:szCs w:val="18"/>
              </w:rPr>
            </w:pPr>
            <w:r>
              <w:rPr>
                <w:rFonts w:hint="eastAsia"/>
                <w:sz w:val="18"/>
                <w:szCs w:val="18"/>
              </w:rPr>
              <w:t>(4)千兆以太网≥2个</w:t>
            </w:r>
          </w:p>
          <w:p w14:paraId="6661DBF1">
            <w:pPr>
              <w:widowControl/>
              <w:jc w:val="left"/>
              <w:rPr>
                <w:sz w:val="18"/>
                <w:szCs w:val="18"/>
              </w:rPr>
            </w:pPr>
            <w:r>
              <w:rPr>
                <w:rFonts w:hint="eastAsia"/>
                <w:sz w:val="18"/>
                <w:szCs w:val="18"/>
              </w:rPr>
              <w:t>(5)2U 机架式</w:t>
            </w:r>
          </w:p>
          <w:p w14:paraId="533FA542">
            <w:pPr>
              <w:widowControl/>
              <w:jc w:val="left"/>
              <w:rPr>
                <w:sz w:val="18"/>
                <w:szCs w:val="18"/>
              </w:rPr>
            </w:pPr>
            <w:r>
              <w:rPr>
                <w:rFonts w:hint="eastAsia"/>
                <w:sz w:val="18"/>
                <w:szCs w:val="18"/>
              </w:rPr>
              <w:t>(6)配置双热插拔冗余电源</w:t>
            </w:r>
          </w:p>
          <w:p w14:paraId="4BB3C6B8">
            <w:pPr>
              <w:widowControl/>
              <w:jc w:val="left"/>
              <w:rPr>
                <w:sz w:val="18"/>
                <w:szCs w:val="18"/>
              </w:rPr>
            </w:pPr>
            <w:r>
              <w:rPr>
                <w:rFonts w:hint="eastAsia"/>
                <w:sz w:val="18"/>
                <w:szCs w:val="18"/>
              </w:rPr>
              <w:t>(7)满足7×24h运行需要</w:t>
            </w:r>
          </w:p>
        </w:tc>
        <w:tc>
          <w:tcPr>
            <w:tcW w:w="700" w:type="dxa"/>
            <w:tcBorders>
              <w:tl2br w:val="nil"/>
              <w:tr2bl w:val="nil"/>
            </w:tcBorders>
            <w:shd w:val="clear" w:color="auto" w:fill="auto"/>
            <w:tcMar>
              <w:top w:w="10" w:type="dxa"/>
              <w:left w:w="10" w:type="dxa"/>
              <w:right w:w="10" w:type="dxa"/>
            </w:tcMar>
            <w:vAlign w:val="center"/>
          </w:tcPr>
          <w:p w14:paraId="4ADB5058">
            <w:pPr>
              <w:widowControl/>
              <w:spacing w:line="360" w:lineRule="auto"/>
              <w:jc w:val="center"/>
              <w:rPr>
                <w:rFonts w:eastAsiaTheme="minorEastAsia"/>
                <w:sz w:val="18"/>
                <w:szCs w:val="18"/>
              </w:rPr>
            </w:pPr>
            <w:r>
              <w:rPr>
                <w:rFonts w:hint="eastAsia" w:eastAsiaTheme="minorEastAsia"/>
                <w:color w:val="000000"/>
                <w:sz w:val="18"/>
                <w:szCs w:val="18"/>
              </w:rPr>
              <w:t>2</w:t>
            </w:r>
          </w:p>
        </w:tc>
        <w:tc>
          <w:tcPr>
            <w:tcW w:w="1920" w:type="dxa"/>
            <w:tcBorders>
              <w:tl2br w:val="nil"/>
              <w:tr2bl w:val="nil"/>
            </w:tcBorders>
            <w:shd w:val="clear" w:color="auto" w:fill="auto"/>
            <w:noWrap/>
            <w:tcMar>
              <w:top w:w="10" w:type="dxa"/>
              <w:left w:w="10" w:type="dxa"/>
              <w:right w:w="10" w:type="dxa"/>
            </w:tcMar>
            <w:vAlign w:val="center"/>
          </w:tcPr>
          <w:p w14:paraId="5AA60F17">
            <w:pPr>
              <w:widowControl/>
              <w:spacing w:before="60" w:after="60"/>
              <w:jc w:val="center"/>
              <w:textAlignment w:val="center"/>
              <w:rPr>
                <w:sz w:val="18"/>
                <w:szCs w:val="18"/>
              </w:rPr>
            </w:pPr>
          </w:p>
        </w:tc>
        <w:tc>
          <w:tcPr>
            <w:tcW w:w="780" w:type="dxa"/>
            <w:tcBorders>
              <w:tl2br w:val="nil"/>
              <w:tr2bl w:val="nil"/>
            </w:tcBorders>
            <w:shd w:val="clear" w:color="auto" w:fill="auto"/>
            <w:noWrap/>
            <w:tcMar>
              <w:top w:w="10" w:type="dxa"/>
              <w:left w:w="10" w:type="dxa"/>
              <w:right w:w="10" w:type="dxa"/>
            </w:tcMar>
            <w:vAlign w:val="center"/>
          </w:tcPr>
          <w:p w14:paraId="2F9DDE5E">
            <w:pPr>
              <w:spacing w:before="60" w:after="60"/>
              <w:rPr>
                <w:sz w:val="18"/>
                <w:szCs w:val="18"/>
              </w:rPr>
            </w:pPr>
          </w:p>
        </w:tc>
      </w:tr>
      <w:tr w14:paraId="103786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768" w:type="dxa"/>
            <w:tcBorders>
              <w:tl2br w:val="nil"/>
              <w:tr2bl w:val="nil"/>
            </w:tcBorders>
            <w:shd w:val="clear" w:color="auto" w:fill="auto"/>
            <w:tcMar>
              <w:top w:w="10" w:type="dxa"/>
              <w:left w:w="10" w:type="dxa"/>
              <w:right w:w="10" w:type="dxa"/>
            </w:tcMar>
            <w:vAlign w:val="center"/>
          </w:tcPr>
          <w:p w14:paraId="0191A7A7">
            <w:pPr>
              <w:widowControl/>
              <w:spacing w:before="60" w:after="60"/>
              <w:jc w:val="center"/>
              <w:textAlignment w:val="center"/>
              <w:rPr>
                <w:sz w:val="18"/>
                <w:szCs w:val="18"/>
              </w:rPr>
            </w:pPr>
            <w:r>
              <w:rPr>
                <w:rFonts w:hint="eastAsia"/>
                <w:sz w:val="18"/>
                <w:szCs w:val="18"/>
              </w:rPr>
              <w:t>3.12</w:t>
            </w:r>
          </w:p>
        </w:tc>
        <w:tc>
          <w:tcPr>
            <w:tcW w:w="1210" w:type="dxa"/>
            <w:tcBorders>
              <w:tl2br w:val="nil"/>
              <w:tr2bl w:val="nil"/>
            </w:tcBorders>
            <w:shd w:val="clear" w:color="auto" w:fill="auto"/>
            <w:tcMar>
              <w:top w:w="10" w:type="dxa"/>
              <w:left w:w="10" w:type="dxa"/>
              <w:right w:w="10" w:type="dxa"/>
            </w:tcMar>
            <w:vAlign w:val="center"/>
          </w:tcPr>
          <w:p w14:paraId="4BD95BED">
            <w:pPr>
              <w:widowControl/>
              <w:spacing w:before="60" w:after="60"/>
              <w:jc w:val="center"/>
              <w:textAlignment w:val="center"/>
              <w:rPr>
                <w:sz w:val="18"/>
                <w:szCs w:val="18"/>
              </w:rPr>
            </w:pPr>
            <w:r>
              <w:rPr>
                <w:rFonts w:hint="eastAsia"/>
                <w:sz w:val="18"/>
                <w:szCs w:val="18"/>
              </w:rPr>
              <w:t>GPU计算服务器</w:t>
            </w:r>
          </w:p>
        </w:tc>
        <w:tc>
          <w:tcPr>
            <w:tcW w:w="700" w:type="dxa"/>
            <w:tcBorders>
              <w:tl2br w:val="nil"/>
              <w:tr2bl w:val="nil"/>
            </w:tcBorders>
            <w:shd w:val="clear" w:color="auto" w:fill="auto"/>
            <w:tcMar>
              <w:top w:w="10" w:type="dxa"/>
              <w:left w:w="10" w:type="dxa"/>
              <w:right w:w="10" w:type="dxa"/>
            </w:tcMar>
            <w:vAlign w:val="center"/>
          </w:tcPr>
          <w:p w14:paraId="6CA87E05">
            <w:pPr>
              <w:pStyle w:val="76"/>
              <w:spacing w:line="360" w:lineRule="auto"/>
              <w:rPr>
                <w:rFonts w:eastAsiaTheme="minorEastAsia"/>
                <w:sz w:val="18"/>
                <w:szCs w:val="18"/>
              </w:rPr>
            </w:pPr>
            <w:r>
              <w:rPr>
                <w:rFonts w:eastAsiaTheme="minorEastAsia"/>
                <w:color w:val="000000"/>
                <w:sz w:val="18"/>
                <w:szCs w:val="18"/>
              </w:rPr>
              <w:t>台</w:t>
            </w:r>
          </w:p>
        </w:tc>
        <w:tc>
          <w:tcPr>
            <w:tcW w:w="2220" w:type="dxa"/>
            <w:tcBorders>
              <w:tl2br w:val="nil"/>
              <w:tr2bl w:val="nil"/>
            </w:tcBorders>
            <w:shd w:val="clear" w:color="auto" w:fill="auto"/>
            <w:tcMar>
              <w:top w:w="10" w:type="dxa"/>
              <w:left w:w="10" w:type="dxa"/>
              <w:right w:w="10" w:type="dxa"/>
            </w:tcMar>
            <w:vAlign w:val="center"/>
          </w:tcPr>
          <w:p w14:paraId="16F772D7">
            <w:pPr>
              <w:widowControl/>
              <w:jc w:val="left"/>
              <w:rPr>
                <w:sz w:val="18"/>
                <w:szCs w:val="18"/>
              </w:rPr>
            </w:pPr>
            <w:r>
              <w:rPr>
                <w:rFonts w:hint="eastAsia"/>
                <w:sz w:val="18"/>
                <w:szCs w:val="18"/>
              </w:rPr>
              <w:t>(1)处理器:支持双路第四代Intel@Xeon®可扩展处理器(2)芯片组:英特尔@C741芯片组</w:t>
            </w:r>
          </w:p>
          <w:p w14:paraId="55F9855B">
            <w:pPr>
              <w:widowControl/>
              <w:jc w:val="left"/>
              <w:rPr>
                <w:sz w:val="18"/>
                <w:szCs w:val="18"/>
              </w:rPr>
            </w:pPr>
            <w:r>
              <w:rPr>
                <w:rFonts w:hint="eastAsia"/>
                <w:sz w:val="18"/>
                <w:szCs w:val="18"/>
              </w:rPr>
              <w:t>(3)内存:32个内存插槽高达8TB内存;</w:t>
            </w:r>
          </w:p>
          <w:p w14:paraId="2DFD60AC">
            <w:pPr>
              <w:widowControl/>
              <w:jc w:val="left"/>
              <w:rPr>
                <w:sz w:val="18"/>
                <w:szCs w:val="18"/>
              </w:rPr>
            </w:pPr>
            <w:r>
              <w:rPr>
                <w:rFonts w:hint="eastAsia"/>
                <w:sz w:val="18"/>
                <w:szCs w:val="18"/>
              </w:rPr>
              <w:t>4800MHZECCDDR5(不少于32G*12)。</w:t>
            </w:r>
          </w:p>
          <w:p w14:paraId="6C7273A8">
            <w:pPr>
              <w:widowControl/>
              <w:jc w:val="left"/>
              <w:rPr>
                <w:sz w:val="18"/>
                <w:szCs w:val="18"/>
              </w:rPr>
            </w:pPr>
            <w:r>
              <w:rPr>
                <w:rFonts w:hint="eastAsia"/>
                <w:sz w:val="18"/>
                <w:szCs w:val="18"/>
              </w:rPr>
              <w:t>(4)拓展插槽:支持8个双宽显卡</w:t>
            </w:r>
          </w:p>
          <w:p w14:paraId="7DCBF7AD">
            <w:pPr>
              <w:widowControl/>
              <w:jc w:val="left"/>
              <w:rPr>
                <w:sz w:val="18"/>
                <w:szCs w:val="18"/>
              </w:rPr>
            </w:pPr>
            <w:r>
              <w:rPr>
                <w:rFonts w:hint="eastAsia"/>
                <w:sz w:val="18"/>
                <w:szCs w:val="18"/>
              </w:rPr>
              <w:t>(5)远程管理:IPMI2.0，支持局域网虚拟媒体和KVM-over-LAN</w:t>
            </w:r>
          </w:p>
          <w:p w14:paraId="14E9AD99">
            <w:pPr>
              <w:widowControl/>
              <w:jc w:val="left"/>
              <w:rPr>
                <w:sz w:val="18"/>
                <w:szCs w:val="18"/>
              </w:rPr>
            </w:pPr>
            <w:r>
              <w:rPr>
                <w:rFonts w:hint="eastAsia"/>
                <w:sz w:val="18"/>
                <w:szCs w:val="18"/>
              </w:rPr>
              <w:t>(6)电源:2400w2+2</w:t>
            </w:r>
          </w:p>
          <w:p w14:paraId="63B582E6">
            <w:pPr>
              <w:widowControl/>
              <w:jc w:val="left"/>
              <w:rPr>
                <w:sz w:val="18"/>
                <w:szCs w:val="18"/>
              </w:rPr>
            </w:pPr>
            <w:r>
              <w:rPr>
                <w:rFonts w:hint="eastAsia"/>
                <w:sz w:val="18"/>
                <w:szCs w:val="18"/>
              </w:rPr>
              <w:t>(7)硬盘:8个热插拔2.5英寸驱动器托架;不小于7.68T NVME U.2 （SSD）</w:t>
            </w:r>
          </w:p>
          <w:p w14:paraId="456B93DC">
            <w:pPr>
              <w:widowControl/>
              <w:jc w:val="left"/>
              <w:rPr>
                <w:sz w:val="18"/>
                <w:szCs w:val="18"/>
              </w:rPr>
            </w:pPr>
            <w:r>
              <w:rPr>
                <w:rFonts w:hint="eastAsia"/>
                <w:sz w:val="18"/>
                <w:szCs w:val="18"/>
              </w:rPr>
              <w:t>(8)网络:四口千兆网卡</w:t>
            </w:r>
          </w:p>
          <w:p w14:paraId="4B1444C0">
            <w:pPr>
              <w:widowControl/>
              <w:jc w:val="left"/>
              <w:rPr>
                <w:sz w:val="18"/>
                <w:szCs w:val="18"/>
              </w:rPr>
            </w:pPr>
            <w:r>
              <w:rPr>
                <w:rFonts w:hint="eastAsia"/>
                <w:sz w:val="18"/>
                <w:szCs w:val="18"/>
              </w:rPr>
              <w:t>(9)尺寸:800mm x440mm x 174.5 mm 4U(10)支持Ubuntu/Cent0S/Windows 10 pro/Windows Sever等众多系统</w:t>
            </w:r>
          </w:p>
          <w:p w14:paraId="639E4DD1">
            <w:pPr>
              <w:widowControl/>
              <w:jc w:val="left"/>
              <w:rPr>
                <w:sz w:val="18"/>
                <w:szCs w:val="18"/>
              </w:rPr>
            </w:pPr>
            <w:r>
              <w:rPr>
                <w:rFonts w:hint="eastAsia"/>
                <w:sz w:val="18"/>
                <w:szCs w:val="18"/>
              </w:rPr>
              <w:t>(10)显卡：不小于NVIDIA TESL A100 80G*2</w:t>
            </w:r>
          </w:p>
        </w:tc>
        <w:tc>
          <w:tcPr>
            <w:tcW w:w="700" w:type="dxa"/>
            <w:tcBorders>
              <w:tl2br w:val="nil"/>
              <w:tr2bl w:val="nil"/>
            </w:tcBorders>
            <w:shd w:val="clear" w:color="auto" w:fill="auto"/>
            <w:tcMar>
              <w:top w:w="10" w:type="dxa"/>
              <w:left w:w="10" w:type="dxa"/>
              <w:right w:w="10" w:type="dxa"/>
            </w:tcMar>
            <w:vAlign w:val="center"/>
          </w:tcPr>
          <w:p w14:paraId="4B1C437C">
            <w:pPr>
              <w:widowControl/>
              <w:spacing w:line="360" w:lineRule="auto"/>
              <w:jc w:val="center"/>
              <w:rPr>
                <w:rFonts w:eastAsiaTheme="minorEastAsia"/>
                <w:sz w:val="18"/>
                <w:szCs w:val="18"/>
              </w:rPr>
            </w:pPr>
            <w:r>
              <w:rPr>
                <w:rFonts w:hint="eastAsia" w:eastAsiaTheme="minorEastAsia"/>
                <w:color w:val="000000"/>
                <w:sz w:val="18"/>
                <w:szCs w:val="18"/>
              </w:rPr>
              <w:t>1</w:t>
            </w:r>
          </w:p>
        </w:tc>
        <w:tc>
          <w:tcPr>
            <w:tcW w:w="1920" w:type="dxa"/>
            <w:tcBorders>
              <w:tl2br w:val="nil"/>
              <w:tr2bl w:val="nil"/>
            </w:tcBorders>
            <w:shd w:val="clear" w:color="auto" w:fill="auto"/>
            <w:noWrap/>
            <w:tcMar>
              <w:top w:w="10" w:type="dxa"/>
              <w:left w:w="10" w:type="dxa"/>
              <w:right w:w="10" w:type="dxa"/>
            </w:tcMar>
            <w:vAlign w:val="center"/>
          </w:tcPr>
          <w:p w14:paraId="1655CFDB">
            <w:pPr>
              <w:widowControl/>
              <w:spacing w:before="60" w:after="60"/>
              <w:jc w:val="center"/>
              <w:textAlignment w:val="center"/>
              <w:rPr>
                <w:sz w:val="18"/>
                <w:szCs w:val="18"/>
              </w:rPr>
            </w:pPr>
          </w:p>
        </w:tc>
        <w:tc>
          <w:tcPr>
            <w:tcW w:w="780" w:type="dxa"/>
            <w:tcBorders>
              <w:tl2br w:val="nil"/>
              <w:tr2bl w:val="nil"/>
            </w:tcBorders>
            <w:shd w:val="clear" w:color="auto" w:fill="auto"/>
            <w:noWrap/>
            <w:tcMar>
              <w:top w:w="10" w:type="dxa"/>
              <w:left w:w="10" w:type="dxa"/>
              <w:right w:w="10" w:type="dxa"/>
            </w:tcMar>
            <w:vAlign w:val="center"/>
          </w:tcPr>
          <w:p w14:paraId="7513B5EF">
            <w:pPr>
              <w:spacing w:before="60" w:after="60"/>
              <w:rPr>
                <w:sz w:val="18"/>
                <w:szCs w:val="18"/>
              </w:rPr>
            </w:pPr>
          </w:p>
        </w:tc>
      </w:tr>
      <w:tr w14:paraId="284245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768" w:type="dxa"/>
            <w:tcBorders>
              <w:tl2br w:val="nil"/>
              <w:tr2bl w:val="nil"/>
            </w:tcBorders>
            <w:shd w:val="clear" w:color="auto" w:fill="auto"/>
            <w:tcMar>
              <w:top w:w="10" w:type="dxa"/>
              <w:left w:w="10" w:type="dxa"/>
              <w:right w:w="10" w:type="dxa"/>
            </w:tcMar>
            <w:vAlign w:val="center"/>
          </w:tcPr>
          <w:p w14:paraId="3D321C27">
            <w:pPr>
              <w:widowControl/>
              <w:spacing w:before="60" w:after="60"/>
              <w:jc w:val="center"/>
              <w:textAlignment w:val="center"/>
              <w:rPr>
                <w:sz w:val="18"/>
                <w:szCs w:val="18"/>
              </w:rPr>
            </w:pPr>
            <w:r>
              <w:rPr>
                <w:rFonts w:hint="eastAsia"/>
                <w:sz w:val="18"/>
                <w:szCs w:val="18"/>
              </w:rPr>
              <w:t>3.13</w:t>
            </w:r>
          </w:p>
        </w:tc>
        <w:tc>
          <w:tcPr>
            <w:tcW w:w="1210" w:type="dxa"/>
            <w:tcBorders>
              <w:tl2br w:val="nil"/>
              <w:tr2bl w:val="nil"/>
            </w:tcBorders>
            <w:shd w:val="clear" w:color="auto" w:fill="auto"/>
            <w:tcMar>
              <w:top w:w="10" w:type="dxa"/>
              <w:left w:w="10" w:type="dxa"/>
              <w:right w:w="10" w:type="dxa"/>
            </w:tcMar>
            <w:vAlign w:val="center"/>
          </w:tcPr>
          <w:p w14:paraId="466ED5D7">
            <w:pPr>
              <w:widowControl/>
              <w:spacing w:before="60" w:after="60"/>
              <w:jc w:val="center"/>
              <w:textAlignment w:val="center"/>
              <w:rPr>
                <w:sz w:val="18"/>
                <w:szCs w:val="18"/>
              </w:rPr>
            </w:pPr>
            <w:r>
              <w:rPr>
                <w:rFonts w:hint="eastAsia"/>
                <w:sz w:val="18"/>
                <w:szCs w:val="18"/>
              </w:rPr>
              <w:t>高性能仿真服务器</w:t>
            </w:r>
          </w:p>
        </w:tc>
        <w:tc>
          <w:tcPr>
            <w:tcW w:w="700" w:type="dxa"/>
            <w:tcBorders>
              <w:tl2br w:val="nil"/>
              <w:tr2bl w:val="nil"/>
            </w:tcBorders>
            <w:shd w:val="clear" w:color="auto" w:fill="auto"/>
            <w:tcMar>
              <w:top w:w="10" w:type="dxa"/>
              <w:left w:w="10" w:type="dxa"/>
              <w:right w:w="10" w:type="dxa"/>
            </w:tcMar>
            <w:vAlign w:val="center"/>
          </w:tcPr>
          <w:p w14:paraId="250E727F">
            <w:pPr>
              <w:pStyle w:val="76"/>
              <w:spacing w:line="360" w:lineRule="auto"/>
              <w:rPr>
                <w:rFonts w:eastAsiaTheme="minorEastAsia"/>
                <w:sz w:val="18"/>
                <w:szCs w:val="18"/>
              </w:rPr>
            </w:pPr>
            <w:r>
              <w:rPr>
                <w:rFonts w:eastAsiaTheme="minorEastAsia"/>
                <w:color w:val="000000"/>
                <w:sz w:val="18"/>
                <w:szCs w:val="18"/>
              </w:rPr>
              <w:t>台</w:t>
            </w:r>
          </w:p>
        </w:tc>
        <w:tc>
          <w:tcPr>
            <w:tcW w:w="2220" w:type="dxa"/>
            <w:tcBorders>
              <w:tl2br w:val="nil"/>
              <w:tr2bl w:val="nil"/>
            </w:tcBorders>
            <w:shd w:val="clear" w:color="auto" w:fill="auto"/>
            <w:tcMar>
              <w:top w:w="10" w:type="dxa"/>
              <w:left w:w="10" w:type="dxa"/>
              <w:right w:w="10" w:type="dxa"/>
            </w:tcMar>
            <w:vAlign w:val="center"/>
          </w:tcPr>
          <w:p w14:paraId="364B405D">
            <w:pPr>
              <w:widowControl/>
              <w:jc w:val="left"/>
              <w:rPr>
                <w:sz w:val="18"/>
                <w:szCs w:val="18"/>
              </w:rPr>
            </w:pPr>
            <w:r>
              <w:rPr>
                <w:rFonts w:hint="eastAsia"/>
                <w:sz w:val="18"/>
                <w:szCs w:val="18"/>
              </w:rPr>
              <w:t>2*CPU（国产化，鲲鹏 920 ）（单颗核心≧16，线程≧32，主频≧2.1GHz），显卡性能不低于双RTX4080+≥96显存，内存≥128Gb ，硬盘≥10TB 10K SAS Raid 5</w:t>
            </w:r>
          </w:p>
        </w:tc>
        <w:tc>
          <w:tcPr>
            <w:tcW w:w="700" w:type="dxa"/>
            <w:tcBorders>
              <w:tl2br w:val="nil"/>
              <w:tr2bl w:val="nil"/>
            </w:tcBorders>
            <w:shd w:val="clear" w:color="auto" w:fill="auto"/>
            <w:tcMar>
              <w:top w:w="10" w:type="dxa"/>
              <w:left w:w="10" w:type="dxa"/>
              <w:right w:w="10" w:type="dxa"/>
            </w:tcMar>
            <w:vAlign w:val="center"/>
          </w:tcPr>
          <w:p w14:paraId="7FF0FB89">
            <w:pPr>
              <w:widowControl/>
              <w:spacing w:line="360" w:lineRule="auto"/>
              <w:jc w:val="center"/>
              <w:rPr>
                <w:rFonts w:eastAsiaTheme="minorEastAsia"/>
                <w:sz w:val="18"/>
                <w:szCs w:val="18"/>
              </w:rPr>
            </w:pPr>
            <w:r>
              <w:rPr>
                <w:rFonts w:hint="eastAsia" w:eastAsiaTheme="minorEastAsia"/>
                <w:color w:val="000000"/>
                <w:sz w:val="18"/>
                <w:szCs w:val="18"/>
              </w:rPr>
              <w:t>1</w:t>
            </w:r>
          </w:p>
        </w:tc>
        <w:tc>
          <w:tcPr>
            <w:tcW w:w="1920" w:type="dxa"/>
            <w:tcBorders>
              <w:tl2br w:val="nil"/>
              <w:tr2bl w:val="nil"/>
            </w:tcBorders>
            <w:shd w:val="clear" w:color="auto" w:fill="auto"/>
            <w:noWrap/>
            <w:tcMar>
              <w:top w:w="10" w:type="dxa"/>
              <w:left w:w="10" w:type="dxa"/>
              <w:right w:w="10" w:type="dxa"/>
            </w:tcMar>
            <w:vAlign w:val="center"/>
          </w:tcPr>
          <w:p w14:paraId="5AEEA91C">
            <w:pPr>
              <w:widowControl/>
              <w:spacing w:before="60" w:after="60"/>
              <w:jc w:val="center"/>
              <w:textAlignment w:val="center"/>
              <w:rPr>
                <w:sz w:val="18"/>
                <w:szCs w:val="18"/>
              </w:rPr>
            </w:pPr>
          </w:p>
        </w:tc>
        <w:tc>
          <w:tcPr>
            <w:tcW w:w="780" w:type="dxa"/>
            <w:tcBorders>
              <w:tl2br w:val="nil"/>
              <w:tr2bl w:val="nil"/>
            </w:tcBorders>
            <w:shd w:val="clear" w:color="auto" w:fill="auto"/>
            <w:noWrap/>
            <w:tcMar>
              <w:top w:w="10" w:type="dxa"/>
              <w:left w:w="10" w:type="dxa"/>
              <w:right w:w="10" w:type="dxa"/>
            </w:tcMar>
            <w:vAlign w:val="center"/>
          </w:tcPr>
          <w:p w14:paraId="10DA7835">
            <w:pPr>
              <w:spacing w:before="60" w:after="60"/>
              <w:rPr>
                <w:sz w:val="18"/>
                <w:szCs w:val="18"/>
              </w:rPr>
            </w:pPr>
          </w:p>
        </w:tc>
      </w:tr>
      <w:tr w14:paraId="3731ED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768" w:type="dxa"/>
            <w:tcBorders>
              <w:tl2br w:val="nil"/>
              <w:tr2bl w:val="nil"/>
            </w:tcBorders>
            <w:shd w:val="clear" w:color="auto" w:fill="auto"/>
            <w:tcMar>
              <w:top w:w="10" w:type="dxa"/>
              <w:left w:w="10" w:type="dxa"/>
              <w:right w:w="10" w:type="dxa"/>
            </w:tcMar>
            <w:vAlign w:val="center"/>
          </w:tcPr>
          <w:p w14:paraId="116B34BC">
            <w:pPr>
              <w:widowControl/>
              <w:spacing w:before="60" w:after="60"/>
              <w:jc w:val="center"/>
              <w:textAlignment w:val="center"/>
              <w:rPr>
                <w:sz w:val="18"/>
                <w:szCs w:val="18"/>
              </w:rPr>
            </w:pPr>
            <w:r>
              <w:rPr>
                <w:rFonts w:hint="eastAsia"/>
                <w:sz w:val="18"/>
                <w:szCs w:val="18"/>
              </w:rPr>
              <w:t>3.14</w:t>
            </w:r>
          </w:p>
        </w:tc>
        <w:tc>
          <w:tcPr>
            <w:tcW w:w="1210" w:type="dxa"/>
            <w:tcBorders>
              <w:tl2br w:val="nil"/>
              <w:tr2bl w:val="nil"/>
            </w:tcBorders>
            <w:shd w:val="clear" w:color="auto" w:fill="auto"/>
            <w:tcMar>
              <w:top w:w="10" w:type="dxa"/>
              <w:left w:w="10" w:type="dxa"/>
              <w:right w:w="10" w:type="dxa"/>
            </w:tcMar>
            <w:vAlign w:val="center"/>
          </w:tcPr>
          <w:p w14:paraId="58D2DC20">
            <w:pPr>
              <w:widowControl/>
              <w:spacing w:before="60" w:after="60"/>
              <w:jc w:val="center"/>
              <w:textAlignment w:val="center"/>
              <w:rPr>
                <w:sz w:val="18"/>
                <w:szCs w:val="18"/>
              </w:rPr>
            </w:pPr>
            <w:r>
              <w:rPr>
                <w:rFonts w:hint="eastAsia" w:eastAsiaTheme="minorEastAsia"/>
                <w:sz w:val="18"/>
                <w:szCs w:val="18"/>
              </w:rPr>
              <w:t>三维应用及展示主机</w:t>
            </w:r>
          </w:p>
        </w:tc>
        <w:tc>
          <w:tcPr>
            <w:tcW w:w="700" w:type="dxa"/>
            <w:tcBorders>
              <w:tl2br w:val="nil"/>
              <w:tr2bl w:val="nil"/>
            </w:tcBorders>
            <w:shd w:val="clear" w:color="auto" w:fill="auto"/>
            <w:tcMar>
              <w:top w:w="10" w:type="dxa"/>
              <w:left w:w="10" w:type="dxa"/>
              <w:right w:w="10" w:type="dxa"/>
            </w:tcMar>
            <w:vAlign w:val="center"/>
          </w:tcPr>
          <w:p w14:paraId="2C538A92">
            <w:pPr>
              <w:widowControl/>
              <w:spacing w:before="60" w:after="60"/>
              <w:jc w:val="center"/>
              <w:textAlignment w:val="center"/>
              <w:rPr>
                <w:kern w:val="0"/>
                <w:sz w:val="18"/>
                <w:szCs w:val="18"/>
              </w:rPr>
            </w:pPr>
            <w:r>
              <w:rPr>
                <w:rFonts w:eastAsiaTheme="minorEastAsia"/>
                <w:color w:val="000000"/>
                <w:sz w:val="18"/>
                <w:szCs w:val="18"/>
              </w:rPr>
              <w:t>台</w:t>
            </w:r>
          </w:p>
        </w:tc>
        <w:tc>
          <w:tcPr>
            <w:tcW w:w="2220" w:type="dxa"/>
            <w:tcBorders>
              <w:tl2br w:val="nil"/>
              <w:tr2bl w:val="nil"/>
            </w:tcBorders>
            <w:shd w:val="clear" w:color="auto" w:fill="auto"/>
            <w:tcMar>
              <w:top w:w="10" w:type="dxa"/>
              <w:left w:w="10" w:type="dxa"/>
              <w:right w:w="10" w:type="dxa"/>
            </w:tcMar>
            <w:vAlign w:val="center"/>
          </w:tcPr>
          <w:p w14:paraId="1BF7DFCE">
            <w:pPr>
              <w:widowControl/>
              <w:jc w:val="left"/>
              <w:rPr>
                <w:rFonts w:eastAsiaTheme="minorEastAsia"/>
                <w:sz w:val="18"/>
                <w:szCs w:val="18"/>
              </w:rPr>
            </w:pPr>
            <w:r>
              <w:rPr>
                <w:rFonts w:hint="eastAsia"/>
                <w:sz w:val="18"/>
                <w:szCs w:val="18"/>
              </w:rPr>
              <w:t>(1)</w:t>
            </w:r>
            <w:r>
              <w:rPr>
                <w:rFonts w:hint="eastAsia" w:eastAsiaTheme="minorEastAsia"/>
                <w:sz w:val="18"/>
                <w:szCs w:val="18"/>
              </w:rPr>
              <w:t>CPU：国产化</w:t>
            </w:r>
          </w:p>
          <w:p w14:paraId="0F51905F">
            <w:pPr>
              <w:widowControl/>
              <w:jc w:val="left"/>
              <w:rPr>
                <w:rFonts w:eastAsiaTheme="minorEastAsia"/>
                <w:sz w:val="18"/>
                <w:szCs w:val="18"/>
              </w:rPr>
            </w:pPr>
            <w:r>
              <w:rPr>
                <w:rFonts w:hint="eastAsia"/>
                <w:sz w:val="18"/>
                <w:szCs w:val="18"/>
              </w:rPr>
              <w:t>(2)</w:t>
            </w:r>
            <w:r>
              <w:rPr>
                <w:rFonts w:hint="eastAsia" w:eastAsiaTheme="minorEastAsia"/>
                <w:sz w:val="18"/>
                <w:szCs w:val="18"/>
              </w:rPr>
              <w:t>内存：≥32GB</w:t>
            </w:r>
          </w:p>
          <w:p w14:paraId="471C3845">
            <w:pPr>
              <w:widowControl/>
              <w:jc w:val="left"/>
              <w:rPr>
                <w:rFonts w:eastAsiaTheme="minorEastAsia"/>
                <w:sz w:val="18"/>
                <w:szCs w:val="18"/>
              </w:rPr>
            </w:pPr>
            <w:r>
              <w:rPr>
                <w:rFonts w:hint="eastAsia"/>
                <w:sz w:val="18"/>
                <w:szCs w:val="18"/>
              </w:rPr>
              <w:t>(3)</w:t>
            </w:r>
            <w:r>
              <w:rPr>
                <w:rFonts w:hint="eastAsia" w:eastAsiaTheme="minorEastAsia"/>
                <w:sz w:val="18"/>
                <w:szCs w:val="18"/>
              </w:rPr>
              <w:t>硬盘：500Gb SSD</w:t>
            </w:r>
          </w:p>
          <w:p w14:paraId="20A78BE8">
            <w:pPr>
              <w:widowControl/>
              <w:jc w:val="left"/>
              <w:rPr>
                <w:rFonts w:eastAsiaTheme="minorEastAsia"/>
                <w:sz w:val="18"/>
                <w:szCs w:val="18"/>
              </w:rPr>
            </w:pPr>
            <w:r>
              <w:rPr>
                <w:rFonts w:hint="eastAsia"/>
                <w:sz w:val="18"/>
                <w:szCs w:val="18"/>
              </w:rPr>
              <w:t>(4)</w:t>
            </w:r>
            <w:r>
              <w:rPr>
                <w:rFonts w:hint="eastAsia" w:eastAsiaTheme="minorEastAsia"/>
                <w:sz w:val="18"/>
                <w:szCs w:val="18"/>
              </w:rPr>
              <w:t>显卡GTX3060，8G显存及以上；</w:t>
            </w:r>
          </w:p>
          <w:p w14:paraId="56AEF8C7">
            <w:pPr>
              <w:widowControl/>
              <w:jc w:val="left"/>
              <w:rPr>
                <w:rFonts w:eastAsiaTheme="minorEastAsia"/>
                <w:sz w:val="18"/>
                <w:szCs w:val="18"/>
              </w:rPr>
            </w:pPr>
            <w:r>
              <w:rPr>
                <w:rFonts w:hint="eastAsia"/>
                <w:sz w:val="18"/>
                <w:szCs w:val="18"/>
              </w:rPr>
              <w:t>(5)</w:t>
            </w:r>
            <w:r>
              <w:rPr>
                <w:rFonts w:hint="eastAsia" w:eastAsiaTheme="minorEastAsia"/>
                <w:sz w:val="18"/>
                <w:szCs w:val="18"/>
              </w:rPr>
              <w:t>配置不少于2个100M/1000M自适应网口；显示器分辨率不低于2k，支持4个及以上DVI、HDMI、DP等接口，与显卡接口配套；</w:t>
            </w:r>
          </w:p>
          <w:p w14:paraId="118ADEA9">
            <w:pPr>
              <w:widowControl/>
              <w:jc w:val="left"/>
              <w:rPr>
                <w:sz w:val="18"/>
                <w:szCs w:val="18"/>
              </w:rPr>
            </w:pPr>
            <w:r>
              <w:rPr>
                <w:rFonts w:hint="eastAsia"/>
                <w:sz w:val="18"/>
                <w:szCs w:val="18"/>
              </w:rPr>
              <w:t>(6)</w:t>
            </w:r>
            <w:r>
              <w:rPr>
                <w:rFonts w:hint="eastAsia" w:eastAsiaTheme="minorEastAsia"/>
                <w:sz w:val="18"/>
                <w:szCs w:val="18"/>
              </w:rPr>
              <w:t>满足7×24h运行需要</w:t>
            </w:r>
            <w:r>
              <w:rPr>
                <w:rFonts w:eastAsiaTheme="minorEastAsia"/>
                <w:sz w:val="18"/>
                <w:szCs w:val="18"/>
              </w:rPr>
              <w:br w:type="textWrapping"/>
            </w:r>
            <w:r>
              <w:rPr>
                <w:rFonts w:hint="eastAsia" w:eastAsiaTheme="minorEastAsia"/>
                <w:sz w:val="18"/>
                <w:szCs w:val="18"/>
              </w:rPr>
              <w:t>（7）服务器机架式安装</w:t>
            </w:r>
          </w:p>
        </w:tc>
        <w:tc>
          <w:tcPr>
            <w:tcW w:w="700" w:type="dxa"/>
            <w:tcBorders>
              <w:tl2br w:val="nil"/>
              <w:tr2bl w:val="nil"/>
            </w:tcBorders>
            <w:shd w:val="clear" w:color="auto" w:fill="auto"/>
            <w:tcMar>
              <w:top w:w="10" w:type="dxa"/>
              <w:left w:w="10" w:type="dxa"/>
              <w:right w:w="10" w:type="dxa"/>
            </w:tcMar>
            <w:vAlign w:val="center"/>
          </w:tcPr>
          <w:p w14:paraId="178CB03F">
            <w:pPr>
              <w:widowControl/>
              <w:spacing w:before="60" w:after="60"/>
              <w:jc w:val="center"/>
              <w:textAlignment w:val="center"/>
              <w:rPr>
                <w:sz w:val="18"/>
                <w:szCs w:val="18"/>
              </w:rPr>
            </w:pPr>
            <w:r>
              <w:rPr>
                <w:rFonts w:hint="eastAsia"/>
                <w:sz w:val="18"/>
                <w:szCs w:val="18"/>
              </w:rPr>
              <w:t>1</w:t>
            </w:r>
          </w:p>
        </w:tc>
        <w:tc>
          <w:tcPr>
            <w:tcW w:w="1920" w:type="dxa"/>
            <w:tcBorders>
              <w:tl2br w:val="nil"/>
              <w:tr2bl w:val="nil"/>
            </w:tcBorders>
            <w:shd w:val="clear" w:color="auto" w:fill="auto"/>
            <w:noWrap/>
            <w:tcMar>
              <w:top w:w="10" w:type="dxa"/>
              <w:left w:w="10" w:type="dxa"/>
              <w:right w:w="10" w:type="dxa"/>
            </w:tcMar>
            <w:vAlign w:val="center"/>
          </w:tcPr>
          <w:p w14:paraId="0B5212DE">
            <w:pPr>
              <w:widowControl/>
              <w:spacing w:before="60" w:after="60"/>
              <w:jc w:val="center"/>
              <w:textAlignment w:val="center"/>
              <w:rPr>
                <w:sz w:val="18"/>
                <w:szCs w:val="18"/>
              </w:rPr>
            </w:pPr>
          </w:p>
        </w:tc>
        <w:tc>
          <w:tcPr>
            <w:tcW w:w="780" w:type="dxa"/>
            <w:tcBorders>
              <w:tl2br w:val="nil"/>
              <w:tr2bl w:val="nil"/>
            </w:tcBorders>
            <w:shd w:val="clear" w:color="auto" w:fill="auto"/>
            <w:noWrap/>
            <w:tcMar>
              <w:top w:w="10" w:type="dxa"/>
              <w:left w:w="10" w:type="dxa"/>
              <w:right w:w="10" w:type="dxa"/>
            </w:tcMar>
            <w:vAlign w:val="center"/>
          </w:tcPr>
          <w:p w14:paraId="66AA880B">
            <w:pPr>
              <w:spacing w:before="60" w:after="60"/>
              <w:rPr>
                <w:sz w:val="18"/>
                <w:szCs w:val="18"/>
              </w:rPr>
            </w:pPr>
          </w:p>
        </w:tc>
      </w:tr>
      <w:tr w14:paraId="702348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768" w:type="dxa"/>
            <w:tcBorders>
              <w:tl2br w:val="nil"/>
              <w:tr2bl w:val="nil"/>
            </w:tcBorders>
            <w:shd w:val="clear" w:color="auto" w:fill="auto"/>
            <w:tcMar>
              <w:top w:w="10" w:type="dxa"/>
              <w:left w:w="10" w:type="dxa"/>
              <w:right w:w="10" w:type="dxa"/>
            </w:tcMar>
            <w:vAlign w:val="center"/>
          </w:tcPr>
          <w:p w14:paraId="1161055D">
            <w:pPr>
              <w:widowControl/>
              <w:spacing w:before="60" w:after="60"/>
              <w:jc w:val="center"/>
              <w:textAlignment w:val="center"/>
              <w:rPr>
                <w:sz w:val="18"/>
                <w:szCs w:val="18"/>
              </w:rPr>
            </w:pPr>
            <w:r>
              <w:rPr>
                <w:rFonts w:hint="eastAsia"/>
                <w:sz w:val="18"/>
                <w:szCs w:val="18"/>
              </w:rPr>
              <w:t>3.15</w:t>
            </w:r>
          </w:p>
        </w:tc>
        <w:tc>
          <w:tcPr>
            <w:tcW w:w="1210" w:type="dxa"/>
            <w:tcBorders>
              <w:tl2br w:val="nil"/>
              <w:tr2bl w:val="nil"/>
            </w:tcBorders>
            <w:shd w:val="clear" w:color="auto" w:fill="auto"/>
            <w:tcMar>
              <w:top w:w="10" w:type="dxa"/>
              <w:left w:w="10" w:type="dxa"/>
              <w:right w:w="10" w:type="dxa"/>
            </w:tcMar>
            <w:vAlign w:val="center"/>
          </w:tcPr>
          <w:p w14:paraId="5217863E">
            <w:pPr>
              <w:widowControl/>
              <w:spacing w:before="60" w:after="60"/>
              <w:jc w:val="center"/>
              <w:textAlignment w:val="center"/>
              <w:rPr>
                <w:sz w:val="18"/>
                <w:szCs w:val="18"/>
              </w:rPr>
            </w:pPr>
            <w:r>
              <w:rPr>
                <w:rFonts w:hint="eastAsia"/>
                <w:sz w:val="18"/>
                <w:szCs w:val="18"/>
              </w:rPr>
              <w:t>屏柜</w:t>
            </w:r>
          </w:p>
        </w:tc>
        <w:tc>
          <w:tcPr>
            <w:tcW w:w="700" w:type="dxa"/>
            <w:tcBorders>
              <w:tl2br w:val="nil"/>
              <w:tr2bl w:val="nil"/>
            </w:tcBorders>
            <w:shd w:val="clear" w:color="auto" w:fill="auto"/>
            <w:tcMar>
              <w:top w:w="10" w:type="dxa"/>
              <w:left w:w="10" w:type="dxa"/>
              <w:right w:w="10" w:type="dxa"/>
            </w:tcMar>
            <w:vAlign w:val="center"/>
          </w:tcPr>
          <w:p w14:paraId="6B85E0F9">
            <w:pPr>
              <w:pStyle w:val="76"/>
              <w:spacing w:line="360" w:lineRule="auto"/>
              <w:rPr>
                <w:rFonts w:eastAsiaTheme="minorEastAsia"/>
                <w:color w:val="000000"/>
                <w:sz w:val="18"/>
                <w:szCs w:val="18"/>
              </w:rPr>
            </w:pPr>
            <w:r>
              <w:rPr>
                <w:rFonts w:hint="eastAsia" w:eastAsiaTheme="minorEastAsia"/>
                <w:color w:val="000000"/>
                <w:sz w:val="18"/>
                <w:szCs w:val="18"/>
              </w:rPr>
              <w:t>面</w:t>
            </w:r>
          </w:p>
        </w:tc>
        <w:tc>
          <w:tcPr>
            <w:tcW w:w="2220" w:type="dxa"/>
            <w:tcBorders>
              <w:tl2br w:val="nil"/>
              <w:tr2bl w:val="nil"/>
            </w:tcBorders>
            <w:shd w:val="clear" w:color="auto" w:fill="auto"/>
            <w:tcMar>
              <w:top w:w="10" w:type="dxa"/>
              <w:left w:w="10" w:type="dxa"/>
              <w:right w:w="10" w:type="dxa"/>
            </w:tcMar>
            <w:vAlign w:val="center"/>
          </w:tcPr>
          <w:p w14:paraId="0A14923E">
            <w:pPr>
              <w:widowControl/>
              <w:jc w:val="left"/>
              <w:rPr>
                <w:rFonts w:eastAsiaTheme="minorEastAsia"/>
                <w:sz w:val="18"/>
                <w:szCs w:val="18"/>
              </w:rPr>
            </w:pPr>
            <w:r>
              <w:rPr>
                <w:rFonts w:hint="eastAsia" w:eastAsiaTheme="minorEastAsia"/>
                <w:sz w:val="18"/>
                <w:szCs w:val="18"/>
              </w:rPr>
              <w:t>外壳防护等级≥IP31，尺寸为4面800*600*2260（宽*深*高）、2面800*</w:t>
            </w:r>
            <w:r>
              <w:rPr>
                <w:rFonts w:eastAsiaTheme="minorEastAsia"/>
                <w:sz w:val="18"/>
                <w:szCs w:val="18"/>
              </w:rPr>
              <w:t>1000</w:t>
            </w:r>
            <w:r>
              <w:rPr>
                <w:rFonts w:hint="eastAsia" w:eastAsiaTheme="minorEastAsia"/>
                <w:sz w:val="18"/>
                <w:szCs w:val="18"/>
              </w:rPr>
              <w:t>*2260，可灵活安装标准19英寸机架式设备，前门采用玻璃门，后门采用双开门。柜体材质应采用优质钢板，厚度不小于1.5mm</w:t>
            </w:r>
            <w:r>
              <w:rPr>
                <w:rFonts w:hint="eastAsia"/>
                <w:sz w:val="18"/>
                <w:szCs w:val="18"/>
              </w:rPr>
              <w:t>（含电源分配模块、电源切换装置）</w:t>
            </w:r>
          </w:p>
        </w:tc>
        <w:tc>
          <w:tcPr>
            <w:tcW w:w="700" w:type="dxa"/>
            <w:tcBorders>
              <w:tl2br w:val="nil"/>
              <w:tr2bl w:val="nil"/>
            </w:tcBorders>
            <w:shd w:val="clear" w:color="auto" w:fill="auto"/>
            <w:tcMar>
              <w:top w:w="10" w:type="dxa"/>
              <w:left w:w="10" w:type="dxa"/>
              <w:right w:w="10" w:type="dxa"/>
            </w:tcMar>
            <w:vAlign w:val="center"/>
          </w:tcPr>
          <w:p w14:paraId="523B09A6">
            <w:pPr>
              <w:widowControl/>
              <w:spacing w:line="360" w:lineRule="auto"/>
              <w:jc w:val="center"/>
              <w:rPr>
                <w:rFonts w:eastAsiaTheme="minorEastAsia"/>
                <w:color w:val="000000"/>
                <w:sz w:val="18"/>
                <w:szCs w:val="18"/>
              </w:rPr>
            </w:pPr>
            <w:r>
              <w:rPr>
                <w:rFonts w:hint="eastAsia" w:eastAsiaTheme="minorEastAsia"/>
                <w:color w:val="000000"/>
                <w:sz w:val="18"/>
                <w:szCs w:val="18"/>
              </w:rPr>
              <w:t>6</w:t>
            </w:r>
          </w:p>
        </w:tc>
        <w:tc>
          <w:tcPr>
            <w:tcW w:w="1920" w:type="dxa"/>
            <w:tcBorders>
              <w:tl2br w:val="nil"/>
              <w:tr2bl w:val="nil"/>
            </w:tcBorders>
            <w:shd w:val="clear" w:color="auto" w:fill="auto"/>
            <w:noWrap/>
            <w:tcMar>
              <w:top w:w="10" w:type="dxa"/>
              <w:left w:w="10" w:type="dxa"/>
              <w:right w:w="10" w:type="dxa"/>
            </w:tcMar>
            <w:vAlign w:val="center"/>
          </w:tcPr>
          <w:p w14:paraId="3DEDF6D4">
            <w:pPr>
              <w:widowControl/>
              <w:spacing w:before="60" w:after="60"/>
              <w:jc w:val="center"/>
              <w:textAlignment w:val="center"/>
              <w:rPr>
                <w:sz w:val="18"/>
                <w:szCs w:val="18"/>
              </w:rPr>
            </w:pPr>
          </w:p>
        </w:tc>
        <w:tc>
          <w:tcPr>
            <w:tcW w:w="780" w:type="dxa"/>
            <w:tcBorders>
              <w:tl2br w:val="nil"/>
              <w:tr2bl w:val="nil"/>
            </w:tcBorders>
            <w:shd w:val="clear" w:color="auto" w:fill="auto"/>
            <w:noWrap/>
            <w:tcMar>
              <w:top w:w="10" w:type="dxa"/>
              <w:left w:w="10" w:type="dxa"/>
              <w:right w:w="10" w:type="dxa"/>
            </w:tcMar>
            <w:vAlign w:val="center"/>
          </w:tcPr>
          <w:p w14:paraId="6D22EE77">
            <w:pPr>
              <w:spacing w:before="60" w:after="60"/>
              <w:rPr>
                <w:sz w:val="18"/>
                <w:szCs w:val="18"/>
              </w:rPr>
            </w:pPr>
          </w:p>
        </w:tc>
      </w:tr>
      <w:tr w14:paraId="7A5BD2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768" w:type="dxa"/>
            <w:tcBorders>
              <w:tl2br w:val="nil"/>
              <w:tr2bl w:val="nil"/>
            </w:tcBorders>
            <w:shd w:val="clear" w:color="auto" w:fill="auto"/>
            <w:tcMar>
              <w:top w:w="10" w:type="dxa"/>
              <w:left w:w="10" w:type="dxa"/>
              <w:right w:w="10" w:type="dxa"/>
            </w:tcMar>
            <w:vAlign w:val="center"/>
          </w:tcPr>
          <w:p w14:paraId="149058F8">
            <w:pPr>
              <w:widowControl/>
              <w:spacing w:before="60" w:after="60"/>
              <w:jc w:val="center"/>
              <w:textAlignment w:val="center"/>
              <w:rPr>
                <w:sz w:val="18"/>
                <w:szCs w:val="18"/>
              </w:rPr>
            </w:pPr>
            <w:r>
              <w:rPr>
                <w:rFonts w:hint="eastAsia"/>
                <w:sz w:val="18"/>
                <w:szCs w:val="18"/>
              </w:rPr>
              <w:t>3.16</w:t>
            </w:r>
          </w:p>
        </w:tc>
        <w:tc>
          <w:tcPr>
            <w:tcW w:w="1210" w:type="dxa"/>
            <w:tcBorders>
              <w:tl2br w:val="nil"/>
              <w:tr2bl w:val="nil"/>
            </w:tcBorders>
            <w:shd w:val="clear" w:color="auto" w:fill="auto"/>
            <w:tcMar>
              <w:top w:w="10" w:type="dxa"/>
              <w:left w:w="10" w:type="dxa"/>
              <w:right w:w="10" w:type="dxa"/>
            </w:tcMar>
            <w:vAlign w:val="center"/>
          </w:tcPr>
          <w:p w14:paraId="00B1DCC4">
            <w:pPr>
              <w:widowControl/>
              <w:spacing w:before="60" w:after="60"/>
              <w:jc w:val="center"/>
              <w:textAlignment w:val="center"/>
              <w:rPr>
                <w:sz w:val="18"/>
                <w:szCs w:val="18"/>
              </w:rPr>
            </w:pPr>
            <w:r>
              <w:rPr>
                <w:rFonts w:hint="eastAsia"/>
                <w:sz w:val="18"/>
                <w:szCs w:val="18"/>
              </w:rPr>
              <w:t>二层电口交换机</w:t>
            </w:r>
          </w:p>
        </w:tc>
        <w:tc>
          <w:tcPr>
            <w:tcW w:w="700" w:type="dxa"/>
            <w:tcBorders>
              <w:tl2br w:val="nil"/>
              <w:tr2bl w:val="nil"/>
            </w:tcBorders>
            <w:shd w:val="clear" w:color="auto" w:fill="auto"/>
            <w:tcMar>
              <w:top w:w="10" w:type="dxa"/>
              <w:left w:w="10" w:type="dxa"/>
              <w:right w:w="10" w:type="dxa"/>
            </w:tcMar>
            <w:vAlign w:val="center"/>
          </w:tcPr>
          <w:p w14:paraId="426F074C">
            <w:pPr>
              <w:pStyle w:val="76"/>
              <w:spacing w:line="360" w:lineRule="auto"/>
              <w:rPr>
                <w:rFonts w:eastAsiaTheme="minorEastAsia"/>
                <w:color w:val="000000"/>
                <w:sz w:val="18"/>
                <w:szCs w:val="18"/>
              </w:rPr>
            </w:pPr>
            <w:r>
              <w:rPr>
                <w:rFonts w:hint="eastAsia" w:eastAsiaTheme="minorEastAsia"/>
                <w:color w:val="000000"/>
                <w:sz w:val="18"/>
                <w:szCs w:val="18"/>
              </w:rPr>
              <w:t>台</w:t>
            </w:r>
          </w:p>
        </w:tc>
        <w:tc>
          <w:tcPr>
            <w:tcW w:w="2220" w:type="dxa"/>
            <w:tcBorders>
              <w:tl2br w:val="nil"/>
              <w:tr2bl w:val="nil"/>
            </w:tcBorders>
            <w:shd w:val="clear" w:color="auto" w:fill="auto"/>
            <w:tcMar>
              <w:top w:w="10" w:type="dxa"/>
              <w:left w:w="10" w:type="dxa"/>
              <w:right w:w="10" w:type="dxa"/>
            </w:tcMar>
            <w:vAlign w:val="center"/>
          </w:tcPr>
          <w:p w14:paraId="3877BC03">
            <w:pPr>
              <w:widowControl/>
              <w:jc w:val="left"/>
              <w:rPr>
                <w:rFonts w:eastAsiaTheme="minorEastAsia"/>
                <w:sz w:val="18"/>
                <w:szCs w:val="18"/>
              </w:rPr>
            </w:pPr>
            <w:r>
              <w:rPr>
                <w:rFonts w:hint="eastAsia" w:eastAsiaTheme="minorEastAsia"/>
                <w:sz w:val="18"/>
                <w:szCs w:val="18"/>
              </w:rPr>
              <w:t>双电源千兆2层交换机</w:t>
            </w:r>
          </w:p>
          <w:p w14:paraId="64749661">
            <w:pPr>
              <w:widowControl/>
              <w:jc w:val="left"/>
              <w:rPr>
                <w:rFonts w:eastAsiaTheme="minorEastAsia"/>
                <w:sz w:val="18"/>
                <w:szCs w:val="18"/>
              </w:rPr>
            </w:pPr>
            <w:r>
              <w:rPr>
                <w:rFonts w:hint="eastAsia" w:eastAsiaTheme="minorEastAsia"/>
                <w:sz w:val="18"/>
                <w:szCs w:val="18"/>
              </w:rPr>
              <w:t>以太网电口≥24</w:t>
            </w:r>
          </w:p>
          <w:p w14:paraId="67B9F887">
            <w:pPr>
              <w:widowControl/>
              <w:jc w:val="left"/>
              <w:rPr>
                <w:rFonts w:eastAsiaTheme="minorEastAsia"/>
                <w:sz w:val="18"/>
                <w:szCs w:val="18"/>
              </w:rPr>
            </w:pPr>
            <w:r>
              <w:rPr>
                <w:rFonts w:hint="eastAsia" w:eastAsiaTheme="minorEastAsia"/>
                <w:sz w:val="18"/>
                <w:szCs w:val="18"/>
              </w:rPr>
              <w:t>千兆光口≥4</w:t>
            </w:r>
          </w:p>
          <w:p w14:paraId="64804575">
            <w:pPr>
              <w:widowControl/>
              <w:jc w:val="left"/>
              <w:rPr>
                <w:rFonts w:eastAsiaTheme="minorEastAsia"/>
                <w:sz w:val="18"/>
                <w:szCs w:val="18"/>
              </w:rPr>
            </w:pPr>
            <w:r>
              <w:rPr>
                <w:rFonts w:hint="eastAsia" w:eastAsiaTheme="minorEastAsia"/>
                <w:sz w:val="18"/>
                <w:szCs w:val="18"/>
              </w:rPr>
              <w:t>机架式安装</w:t>
            </w:r>
          </w:p>
        </w:tc>
        <w:tc>
          <w:tcPr>
            <w:tcW w:w="700" w:type="dxa"/>
            <w:tcBorders>
              <w:tl2br w:val="nil"/>
              <w:tr2bl w:val="nil"/>
            </w:tcBorders>
            <w:shd w:val="clear" w:color="auto" w:fill="auto"/>
            <w:tcMar>
              <w:top w:w="10" w:type="dxa"/>
              <w:left w:w="10" w:type="dxa"/>
              <w:right w:w="10" w:type="dxa"/>
            </w:tcMar>
            <w:vAlign w:val="center"/>
          </w:tcPr>
          <w:p w14:paraId="27F5815B">
            <w:pPr>
              <w:widowControl/>
              <w:spacing w:line="360" w:lineRule="auto"/>
              <w:jc w:val="center"/>
              <w:rPr>
                <w:rFonts w:eastAsiaTheme="minorEastAsia"/>
                <w:color w:val="000000"/>
                <w:sz w:val="18"/>
                <w:szCs w:val="18"/>
              </w:rPr>
            </w:pPr>
            <w:r>
              <w:rPr>
                <w:rFonts w:hint="eastAsia" w:eastAsiaTheme="minorEastAsia"/>
                <w:sz w:val="18"/>
                <w:szCs w:val="18"/>
              </w:rPr>
              <w:t>8</w:t>
            </w:r>
          </w:p>
        </w:tc>
        <w:tc>
          <w:tcPr>
            <w:tcW w:w="1920" w:type="dxa"/>
            <w:tcBorders>
              <w:tl2br w:val="nil"/>
              <w:tr2bl w:val="nil"/>
            </w:tcBorders>
            <w:shd w:val="clear" w:color="auto" w:fill="auto"/>
            <w:noWrap/>
            <w:tcMar>
              <w:top w:w="10" w:type="dxa"/>
              <w:left w:w="10" w:type="dxa"/>
              <w:right w:w="10" w:type="dxa"/>
            </w:tcMar>
            <w:vAlign w:val="center"/>
          </w:tcPr>
          <w:p w14:paraId="10705076">
            <w:pPr>
              <w:widowControl/>
              <w:spacing w:before="60" w:after="60"/>
              <w:jc w:val="center"/>
              <w:textAlignment w:val="center"/>
              <w:rPr>
                <w:sz w:val="18"/>
                <w:szCs w:val="18"/>
              </w:rPr>
            </w:pPr>
          </w:p>
        </w:tc>
        <w:tc>
          <w:tcPr>
            <w:tcW w:w="780" w:type="dxa"/>
            <w:tcBorders>
              <w:tl2br w:val="nil"/>
              <w:tr2bl w:val="nil"/>
            </w:tcBorders>
            <w:shd w:val="clear" w:color="auto" w:fill="auto"/>
            <w:noWrap/>
            <w:tcMar>
              <w:top w:w="10" w:type="dxa"/>
              <w:left w:w="10" w:type="dxa"/>
              <w:right w:w="10" w:type="dxa"/>
            </w:tcMar>
            <w:vAlign w:val="center"/>
          </w:tcPr>
          <w:p w14:paraId="3FCB6E86">
            <w:pPr>
              <w:spacing w:before="60" w:after="60"/>
              <w:rPr>
                <w:sz w:val="18"/>
                <w:szCs w:val="18"/>
              </w:rPr>
            </w:pPr>
          </w:p>
        </w:tc>
      </w:tr>
      <w:tr w14:paraId="648841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768" w:type="dxa"/>
            <w:tcBorders>
              <w:tl2br w:val="nil"/>
              <w:tr2bl w:val="nil"/>
            </w:tcBorders>
            <w:shd w:val="clear" w:color="auto" w:fill="auto"/>
            <w:tcMar>
              <w:top w:w="10" w:type="dxa"/>
              <w:left w:w="10" w:type="dxa"/>
              <w:right w:w="10" w:type="dxa"/>
            </w:tcMar>
            <w:vAlign w:val="center"/>
          </w:tcPr>
          <w:p w14:paraId="2F9D338C">
            <w:pPr>
              <w:widowControl/>
              <w:spacing w:before="60" w:after="60"/>
              <w:jc w:val="center"/>
              <w:textAlignment w:val="center"/>
              <w:rPr>
                <w:sz w:val="18"/>
                <w:szCs w:val="18"/>
              </w:rPr>
            </w:pPr>
            <w:r>
              <w:rPr>
                <w:rFonts w:hint="eastAsia"/>
                <w:sz w:val="18"/>
                <w:szCs w:val="18"/>
              </w:rPr>
              <w:t>3.17</w:t>
            </w:r>
          </w:p>
        </w:tc>
        <w:tc>
          <w:tcPr>
            <w:tcW w:w="1210" w:type="dxa"/>
            <w:tcBorders>
              <w:tl2br w:val="nil"/>
              <w:tr2bl w:val="nil"/>
            </w:tcBorders>
            <w:shd w:val="clear" w:color="auto" w:fill="auto"/>
            <w:tcMar>
              <w:top w:w="10" w:type="dxa"/>
              <w:left w:w="10" w:type="dxa"/>
              <w:right w:w="10" w:type="dxa"/>
            </w:tcMar>
            <w:vAlign w:val="center"/>
          </w:tcPr>
          <w:p w14:paraId="3CCF3D21">
            <w:pPr>
              <w:widowControl/>
              <w:spacing w:before="60" w:after="60"/>
              <w:jc w:val="center"/>
              <w:textAlignment w:val="center"/>
              <w:rPr>
                <w:sz w:val="18"/>
                <w:szCs w:val="18"/>
              </w:rPr>
            </w:pPr>
            <w:r>
              <w:rPr>
                <w:rFonts w:hint="eastAsia"/>
                <w:sz w:val="18"/>
                <w:szCs w:val="18"/>
              </w:rPr>
              <w:t>二层光口交换机</w:t>
            </w:r>
          </w:p>
        </w:tc>
        <w:tc>
          <w:tcPr>
            <w:tcW w:w="700" w:type="dxa"/>
            <w:tcBorders>
              <w:tl2br w:val="nil"/>
              <w:tr2bl w:val="nil"/>
            </w:tcBorders>
            <w:shd w:val="clear" w:color="auto" w:fill="auto"/>
            <w:tcMar>
              <w:top w:w="10" w:type="dxa"/>
              <w:left w:w="10" w:type="dxa"/>
              <w:right w:w="10" w:type="dxa"/>
            </w:tcMar>
            <w:vAlign w:val="center"/>
          </w:tcPr>
          <w:p w14:paraId="7568E876">
            <w:pPr>
              <w:pStyle w:val="76"/>
              <w:spacing w:line="360" w:lineRule="auto"/>
              <w:rPr>
                <w:rFonts w:eastAsiaTheme="minorEastAsia"/>
                <w:color w:val="000000"/>
                <w:sz w:val="18"/>
                <w:szCs w:val="18"/>
              </w:rPr>
            </w:pPr>
            <w:r>
              <w:rPr>
                <w:rFonts w:hint="eastAsia" w:eastAsiaTheme="minorEastAsia"/>
                <w:color w:val="000000"/>
                <w:sz w:val="18"/>
                <w:szCs w:val="18"/>
              </w:rPr>
              <w:t>台</w:t>
            </w:r>
          </w:p>
        </w:tc>
        <w:tc>
          <w:tcPr>
            <w:tcW w:w="2220" w:type="dxa"/>
            <w:tcBorders>
              <w:tl2br w:val="nil"/>
              <w:tr2bl w:val="nil"/>
            </w:tcBorders>
            <w:shd w:val="clear" w:color="auto" w:fill="auto"/>
            <w:tcMar>
              <w:top w:w="10" w:type="dxa"/>
              <w:left w:w="10" w:type="dxa"/>
              <w:right w:w="10" w:type="dxa"/>
            </w:tcMar>
            <w:vAlign w:val="center"/>
          </w:tcPr>
          <w:p w14:paraId="54AAF006">
            <w:pPr>
              <w:widowControl/>
              <w:jc w:val="left"/>
              <w:rPr>
                <w:rFonts w:eastAsiaTheme="minorEastAsia"/>
                <w:sz w:val="18"/>
                <w:szCs w:val="18"/>
              </w:rPr>
            </w:pPr>
            <w:r>
              <w:rPr>
                <w:rFonts w:hint="eastAsia" w:eastAsiaTheme="minorEastAsia"/>
                <w:sz w:val="18"/>
                <w:szCs w:val="18"/>
              </w:rPr>
              <w:t>双电源千兆2层交换机</w:t>
            </w:r>
          </w:p>
          <w:p w14:paraId="3CC70B71">
            <w:pPr>
              <w:widowControl/>
              <w:jc w:val="left"/>
              <w:rPr>
                <w:rFonts w:eastAsiaTheme="minorEastAsia"/>
                <w:sz w:val="18"/>
                <w:szCs w:val="18"/>
              </w:rPr>
            </w:pPr>
            <w:r>
              <w:rPr>
                <w:rFonts w:hint="eastAsia" w:eastAsiaTheme="minorEastAsia"/>
                <w:sz w:val="18"/>
                <w:szCs w:val="18"/>
              </w:rPr>
              <w:t>千兆光口≥24</w:t>
            </w:r>
          </w:p>
          <w:p w14:paraId="3B0ED228">
            <w:pPr>
              <w:widowControl/>
              <w:jc w:val="left"/>
              <w:rPr>
                <w:rFonts w:eastAsiaTheme="minorEastAsia"/>
                <w:sz w:val="18"/>
                <w:szCs w:val="18"/>
              </w:rPr>
            </w:pPr>
            <w:r>
              <w:rPr>
                <w:rFonts w:hint="eastAsia" w:eastAsiaTheme="minorEastAsia"/>
                <w:sz w:val="18"/>
                <w:szCs w:val="18"/>
              </w:rPr>
              <w:t>以太网电口≥4</w:t>
            </w:r>
          </w:p>
          <w:p w14:paraId="42A115C8">
            <w:pPr>
              <w:widowControl/>
              <w:jc w:val="left"/>
              <w:rPr>
                <w:rFonts w:eastAsiaTheme="minorEastAsia"/>
                <w:sz w:val="18"/>
                <w:szCs w:val="18"/>
              </w:rPr>
            </w:pPr>
            <w:r>
              <w:rPr>
                <w:rFonts w:hint="eastAsia" w:eastAsiaTheme="minorEastAsia"/>
                <w:sz w:val="18"/>
                <w:szCs w:val="18"/>
              </w:rPr>
              <w:t>机架式安装</w:t>
            </w:r>
          </w:p>
        </w:tc>
        <w:tc>
          <w:tcPr>
            <w:tcW w:w="700" w:type="dxa"/>
            <w:tcBorders>
              <w:tl2br w:val="nil"/>
              <w:tr2bl w:val="nil"/>
            </w:tcBorders>
            <w:shd w:val="clear" w:color="auto" w:fill="auto"/>
            <w:tcMar>
              <w:top w:w="10" w:type="dxa"/>
              <w:left w:w="10" w:type="dxa"/>
              <w:right w:w="10" w:type="dxa"/>
            </w:tcMar>
            <w:vAlign w:val="center"/>
          </w:tcPr>
          <w:p w14:paraId="38CD7DE9">
            <w:pPr>
              <w:widowControl/>
              <w:spacing w:line="360" w:lineRule="auto"/>
              <w:jc w:val="center"/>
              <w:rPr>
                <w:rFonts w:eastAsiaTheme="minorEastAsia"/>
                <w:color w:val="000000"/>
                <w:sz w:val="18"/>
                <w:szCs w:val="18"/>
              </w:rPr>
            </w:pPr>
            <w:r>
              <w:rPr>
                <w:rFonts w:hint="eastAsia" w:eastAsiaTheme="minorEastAsia"/>
                <w:sz w:val="18"/>
                <w:szCs w:val="18"/>
              </w:rPr>
              <w:t>16</w:t>
            </w:r>
          </w:p>
        </w:tc>
        <w:tc>
          <w:tcPr>
            <w:tcW w:w="1920" w:type="dxa"/>
            <w:tcBorders>
              <w:tl2br w:val="nil"/>
              <w:tr2bl w:val="nil"/>
            </w:tcBorders>
            <w:shd w:val="clear" w:color="auto" w:fill="auto"/>
            <w:noWrap/>
            <w:tcMar>
              <w:top w:w="10" w:type="dxa"/>
              <w:left w:w="10" w:type="dxa"/>
              <w:right w:w="10" w:type="dxa"/>
            </w:tcMar>
            <w:vAlign w:val="center"/>
          </w:tcPr>
          <w:p w14:paraId="3E642ED5">
            <w:pPr>
              <w:widowControl/>
              <w:spacing w:before="60" w:after="60"/>
              <w:jc w:val="center"/>
              <w:textAlignment w:val="center"/>
              <w:rPr>
                <w:sz w:val="18"/>
                <w:szCs w:val="18"/>
              </w:rPr>
            </w:pPr>
          </w:p>
        </w:tc>
        <w:tc>
          <w:tcPr>
            <w:tcW w:w="780" w:type="dxa"/>
            <w:tcBorders>
              <w:tl2br w:val="nil"/>
              <w:tr2bl w:val="nil"/>
            </w:tcBorders>
            <w:shd w:val="clear" w:color="auto" w:fill="auto"/>
            <w:noWrap/>
            <w:tcMar>
              <w:top w:w="10" w:type="dxa"/>
              <w:left w:w="10" w:type="dxa"/>
              <w:right w:w="10" w:type="dxa"/>
            </w:tcMar>
            <w:vAlign w:val="center"/>
          </w:tcPr>
          <w:p w14:paraId="24657D65">
            <w:pPr>
              <w:spacing w:before="60" w:after="60"/>
              <w:rPr>
                <w:sz w:val="18"/>
                <w:szCs w:val="18"/>
              </w:rPr>
            </w:pPr>
          </w:p>
        </w:tc>
      </w:tr>
      <w:tr w14:paraId="4047D6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768" w:type="dxa"/>
            <w:tcBorders>
              <w:tl2br w:val="nil"/>
              <w:tr2bl w:val="nil"/>
            </w:tcBorders>
            <w:shd w:val="clear" w:color="auto" w:fill="auto"/>
            <w:tcMar>
              <w:top w:w="10" w:type="dxa"/>
              <w:left w:w="10" w:type="dxa"/>
              <w:right w:w="10" w:type="dxa"/>
            </w:tcMar>
            <w:vAlign w:val="center"/>
          </w:tcPr>
          <w:p w14:paraId="5A3CA2AC">
            <w:pPr>
              <w:widowControl/>
              <w:spacing w:before="60" w:after="60"/>
              <w:jc w:val="center"/>
              <w:textAlignment w:val="center"/>
              <w:rPr>
                <w:sz w:val="18"/>
                <w:szCs w:val="18"/>
              </w:rPr>
            </w:pPr>
            <w:r>
              <w:rPr>
                <w:rFonts w:hint="eastAsia"/>
                <w:sz w:val="18"/>
                <w:szCs w:val="18"/>
              </w:rPr>
              <w:t>3.18</w:t>
            </w:r>
          </w:p>
        </w:tc>
        <w:tc>
          <w:tcPr>
            <w:tcW w:w="1210" w:type="dxa"/>
            <w:tcBorders>
              <w:tl2br w:val="nil"/>
              <w:tr2bl w:val="nil"/>
            </w:tcBorders>
            <w:shd w:val="clear" w:color="auto" w:fill="auto"/>
            <w:tcMar>
              <w:top w:w="10" w:type="dxa"/>
              <w:left w:w="10" w:type="dxa"/>
              <w:right w:w="10" w:type="dxa"/>
            </w:tcMar>
            <w:vAlign w:val="center"/>
          </w:tcPr>
          <w:p w14:paraId="63397993">
            <w:pPr>
              <w:widowControl/>
              <w:spacing w:before="60" w:after="60"/>
              <w:jc w:val="center"/>
              <w:textAlignment w:val="center"/>
              <w:rPr>
                <w:sz w:val="18"/>
                <w:szCs w:val="18"/>
              </w:rPr>
            </w:pPr>
            <w:r>
              <w:rPr>
                <w:rFonts w:hint="eastAsia"/>
                <w:sz w:val="18"/>
                <w:szCs w:val="18"/>
              </w:rPr>
              <w:t>视频存储系统（含256路视频存储单元、存储硬盘、视频汇聚交换机等）</w:t>
            </w:r>
          </w:p>
        </w:tc>
        <w:tc>
          <w:tcPr>
            <w:tcW w:w="700" w:type="dxa"/>
            <w:tcBorders>
              <w:tl2br w:val="nil"/>
              <w:tr2bl w:val="nil"/>
            </w:tcBorders>
            <w:shd w:val="clear" w:color="auto" w:fill="auto"/>
            <w:tcMar>
              <w:top w:w="10" w:type="dxa"/>
              <w:left w:w="10" w:type="dxa"/>
              <w:right w:w="10" w:type="dxa"/>
            </w:tcMar>
            <w:vAlign w:val="center"/>
          </w:tcPr>
          <w:p w14:paraId="2EF9D51E">
            <w:pPr>
              <w:pStyle w:val="76"/>
              <w:spacing w:line="360" w:lineRule="auto"/>
              <w:rPr>
                <w:rFonts w:eastAsiaTheme="minorEastAsia"/>
                <w:color w:val="000000"/>
                <w:sz w:val="18"/>
                <w:szCs w:val="18"/>
              </w:rPr>
            </w:pPr>
            <w:r>
              <w:rPr>
                <w:rFonts w:hint="eastAsia" w:eastAsiaTheme="minorEastAsia"/>
                <w:color w:val="000000"/>
                <w:sz w:val="18"/>
                <w:szCs w:val="18"/>
              </w:rPr>
              <w:t>套</w:t>
            </w:r>
          </w:p>
        </w:tc>
        <w:tc>
          <w:tcPr>
            <w:tcW w:w="2220" w:type="dxa"/>
            <w:tcBorders>
              <w:tl2br w:val="nil"/>
              <w:tr2bl w:val="nil"/>
            </w:tcBorders>
            <w:shd w:val="clear" w:color="auto" w:fill="auto"/>
            <w:tcMar>
              <w:top w:w="10" w:type="dxa"/>
              <w:left w:w="10" w:type="dxa"/>
              <w:right w:w="10" w:type="dxa"/>
            </w:tcMar>
            <w:vAlign w:val="center"/>
          </w:tcPr>
          <w:p w14:paraId="4171BC23">
            <w:pPr>
              <w:widowControl/>
              <w:jc w:val="left"/>
              <w:rPr>
                <w:rFonts w:eastAsiaTheme="minorEastAsia"/>
                <w:sz w:val="18"/>
                <w:szCs w:val="18"/>
              </w:rPr>
            </w:pPr>
            <w:r>
              <w:rPr>
                <w:rFonts w:hint="eastAsia" w:eastAsiaTheme="minorEastAsia"/>
                <w:sz w:val="18"/>
                <w:szCs w:val="18"/>
              </w:rPr>
              <w:t>机架式IP视频存储2台：</w:t>
            </w:r>
          </w:p>
          <w:p w14:paraId="434B5532">
            <w:pPr>
              <w:widowControl/>
              <w:jc w:val="left"/>
              <w:rPr>
                <w:rFonts w:eastAsiaTheme="minorEastAsia"/>
                <w:sz w:val="18"/>
                <w:szCs w:val="18"/>
              </w:rPr>
            </w:pPr>
            <w:r>
              <w:rPr>
                <w:rFonts w:hint="eastAsia" w:eastAsiaTheme="minorEastAsia"/>
                <w:sz w:val="18"/>
                <w:szCs w:val="18"/>
              </w:rPr>
              <w:t>X86架构</w:t>
            </w:r>
          </w:p>
          <w:p w14:paraId="3C1027C5">
            <w:pPr>
              <w:widowControl/>
              <w:jc w:val="left"/>
              <w:rPr>
                <w:rFonts w:eastAsiaTheme="minorEastAsia"/>
                <w:sz w:val="18"/>
                <w:szCs w:val="18"/>
              </w:rPr>
            </w:pPr>
            <w:r>
              <w:rPr>
                <w:rFonts w:hint="eastAsia" w:eastAsiaTheme="minorEastAsia"/>
                <w:sz w:val="18"/>
                <w:szCs w:val="18"/>
              </w:rPr>
              <w:t>24盘位（内置24块8T硬盘）</w:t>
            </w:r>
          </w:p>
          <w:p w14:paraId="52D28AC7">
            <w:pPr>
              <w:widowControl/>
              <w:jc w:val="left"/>
              <w:rPr>
                <w:rFonts w:eastAsiaTheme="minorEastAsia"/>
                <w:sz w:val="18"/>
                <w:szCs w:val="18"/>
              </w:rPr>
            </w:pPr>
            <w:r>
              <w:rPr>
                <w:rFonts w:hint="eastAsia" w:eastAsiaTheme="minorEastAsia"/>
                <w:sz w:val="18"/>
                <w:szCs w:val="18"/>
              </w:rPr>
              <w:t>256路H.265\H.264混合接入</w:t>
            </w:r>
          </w:p>
          <w:p w14:paraId="7222E8CE">
            <w:pPr>
              <w:widowControl/>
              <w:jc w:val="left"/>
              <w:rPr>
                <w:rFonts w:eastAsiaTheme="minorEastAsia"/>
                <w:sz w:val="18"/>
                <w:szCs w:val="18"/>
              </w:rPr>
            </w:pPr>
            <w:r>
              <w:rPr>
                <w:rFonts w:hint="eastAsia" w:eastAsiaTheme="minorEastAsia"/>
                <w:sz w:val="18"/>
                <w:szCs w:val="18"/>
              </w:rPr>
              <w:t>支持Raid</w:t>
            </w:r>
          </w:p>
          <w:p w14:paraId="404A11FC">
            <w:pPr>
              <w:widowControl/>
              <w:jc w:val="left"/>
              <w:rPr>
                <w:rFonts w:eastAsiaTheme="minorEastAsia"/>
                <w:sz w:val="18"/>
                <w:szCs w:val="18"/>
              </w:rPr>
            </w:pPr>
            <w:r>
              <w:rPr>
                <w:rFonts w:hint="eastAsia" w:eastAsiaTheme="minorEastAsia"/>
                <w:sz w:val="18"/>
                <w:szCs w:val="18"/>
              </w:rPr>
              <w:t>整机热备</w:t>
            </w:r>
          </w:p>
          <w:p w14:paraId="74A0C0CB">
            <w:pPr>
              <w:widowControl/>
              <w:jc w:val="left"/>
              <w:rPr>
                <w:rFonts w:eastAsiaTheme="minorEastAsia"/>
                <w:sz w:val="18"/>
                <w:szCs w:val="18"/>
              </w:rPr>
            </w:pPr>
            <w:r>
              <w:rPr>
                <w:rFonts w:hint="eastAsia" w:eastAsiaTheme="minorEastAsia"/>
                <w:sz w:val="18"/>
                <w:szCs w:val="18"/>
              </w:rPr>
              <w:t>千兆以太网≥2个</w:t>
            </w:r>
          </w:p>
          <w:p w14:paraId="56111A30">
            <w:pPr>
              <w:widowControl/>
              <w:jc w:val="left"/>
              <w:rPr>
                <w:rFonts w:eastAsiaTheme="minorEastAsia"/>
                <w:sz w:val="18"/>
                <w:szCs w:val="18"/>
              </w:rPr>
            </w:pPr>
            <w:r>
              <w:rPr>
                <w:rFonts w:hint="eastAsia" w:eastAsiaTheme="minorEastAsia"/>
                <w:sz w:val="18"/>
                <w:szCs w:val="18"/>
              </w:rPr>
              <w:t>4U 机架式</w:t>
            </w:r>
          </w:p>
          <w:p w14:paraId="692699BF">
            <w:pPr>
              <w:widowControl/>
              <w:jc w:val="left"/>
              <w:rPr>
                <w:rFonts w:eastAsiaTheme="minorEastAsia"/>
                <w:sz w:val="18"/>
                <w:szCs w:val="18"/>
              </w:rPr>
            </w:pPr>
            <w:r>
              <w:rPr>
                <w:rFonts w:hint="eastAsia" w:eastAsiaTheme="minorEastAsia"/>
                <w:sz w:val="18"/>
                <w:szCs w:val="18"/>
              </w:rPr>
              <w:t>视频汇聚交换机2台（三层光口交换机）</w:t>
            </w:r>
          </w:p>
        </w:tc>
        <w:tc>
          <w:tcPr>
            <w:tcW w:w="700" w:type="dxa"/>
            <w:tcBorders>
              <w:tl2br w:val="nil"/>
              <w:tr2bl w:val="nil"/>
            </w:tcBorders>
            <w:shd w:val="clear" w:color="auto" w:fill="auto"/>
            <w:tcMar>
              <w:top w:w="10" w:type="dxa"/>
              <w:left w:w="10" w:type="dxa"/>
              <w:right w:w="10" w:type="dxa"/>
            </w:tcMar>
            <w:vAlign w:val="center"/>
          </w:tcPr>
          <w:p w14:paraId="08E52D53">
            <w:pPr>
              <w:widowControl/>
              <w:spacing w:line="360" w:lineRule="auto"/>
              <w:jc w:val="center"/>
              <w:rPr>
                <w:rFonts w:eastAsiaTheme="minorEastAsia"/>
                <w:color w:val="000000"/>
                <w:sz w:val="18"/>
                <w:szCs w:val="18"/>
              </w:rPr>
            </w:pPr>
            <w:r>
              <w:rPr>
                <w:rFonts w:hint="eastAsia" w:eastAsiaTheme="minorEastAsia"/>
                <w:sz w:val="18"/>
                <w:szCs w:val="18"/>
              </w:rPr>
              <w:t>1</w:t>
            </w:r>
          </w:p>
        </w:tc>
        <w:tc>
          <w:tcPr>
            <w:tcW w:w="1920" w:type="dxa"/>
            <w:tcBorders>
              <w:tl2br w:val="nil"/>
              <w:tr2bl w:val="nil"/>
            </w:tcBorders>
            <w:shd w:val="clear" w:color="auto" w:fill="auto"/>
            <w:noWrap/>
            <w:tcMar>
              <w:top w:w="10" w:type="dxa"/>
              <w:left w:w="10" w:type="dxa"/>
              <w:right w:w="10" w:type="dxa"/>
            </w:tcMar>
            <w:vAlign w:val="center"/>
          </w:tcPr>
          <w:p w14:paraId="5B088312">
            <w:pPr>
              <w:widowControl/>
              <w:spacing w:before="60" w:after="60"/>
              <w:jc w:val="center"/>
              <w:textAlignment w:val="center"/>
              <w:rPr>
                <w:sz w:val="18"/>
                <w:szCs w:val="18"/>
              </w:rPr>
            </w:pPr>
          </w:p>
        </w:tc>
        <w:tc>
          <w:tcPr>
            <w:tcW w:w="780" w:type="dxa"/>
            <w:tcBorders>
              <w:tl2br w:val="nil"/>
              <w:tr2bl w:val="nil"/>
            </w:tcBorders>
            <w:shd w:val="clear" w:color="auto" w:fill="auto"/>
            <w:noWrap/>
            <w:tcMar>
              <w:top w:w="10" w:type="dxa"/>
              <w:left w:w="10" w:type="dxa"/>
              <w:right w:w="10" w:type="dxa"/>
            </w:tcMar>
            <w:vAlign w:val="center"/>
          </w:tcPr>
          <w:p w14:paraId="70993309">
            <w:pPr>
              <w:spacing w:before="60" w:after="60"/>
              <w:rPr>
                <w:sz w:val="18"/>
                <w:szCs w:val="18"/>
              </w:rPr>
            </w:pPr>
          </w:p>
        </w:tc>
      </w:tr>
      <w:tr w14:paraId="4E52C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0" w:hRule="atLeast"/>
        </w:trPr>
        <w:tc>
          <w:tcPr>
            <w:tcW w:w="768" w:type="dxa"/>
            <w:shd w:val="clear" w:color="auto" w:fill="auto"/>
            <w:tcMar>
              <w:top w:w="10" w:type="dxa"/>
              <w:left w:w="10" w:type="dxa"/>
              <w:right w:w="10" w:type="dxa"/>
            </w:tcMar>
            <w:vAlign w:val="center"/>
          </w:tcPr>
          <w:p w14:paraId="1F0B6443">
            <w:pPr>
              <w:widowControl/>
              <w:spacing w:before="60" w:after="60"/>
              <w:jc w:val="center"/>
              <w:textAlignment w:val="center"/>
              <w:rPr>
                <w:sz w:val="18"/>
                <w:szCs w:val="18"/>
              </w:rPr>
            </w:pPr>
            <w:r>
              <w:rPr>
                <w:rFonts w:hint="eastAsia"/>
                <w:b/>
                <w:bCs/>
                <w:kern w:val="0"/>
                <w:sz w:val="18"/>
                <w:szCs w:val="18"/>
              </w:rPr>
              <w:t>4</w:t>
            </w:r>
          </w:p>
        </w:tc>
        <w:tc>
          <w:tcPr>
            <w:tcW w:w="1210" w:type="dxa"/>
            <w:shd w:val="clear" w:color="auto" w:fill="auto"/>
            <w:tcMar>
              <w:top w:w="10" w:type="dxa"/>
              <w:left w:w="10" w:type="dxa"/>
              <w:right w:w="10" w:type="dxa"/>
            </w:tcMar>
            <w:vAlign w:val="center"/>
          </w:tcPr>
          <w:p w14:paraId="13120EBF">
            <w:pPr>
              <w:widowControl/>
              <w:spacing w:before="60" w:after="60"/>
              <w:jc w:val="center"/>
              <w:textAlignment w:val="center"/>
              <w:rPr>
                <w:sz w:val="18"/>
                <w:szCs w:val="18"/>
              </w:rPr>
            </w:pPr>
            <w:r>
              <w:rPr>
                <w:rFonts w:hint="eastAsia"/>
                <w:b/>
                <w:bCs/>
                <w:sz w:val="18"/>
                <w:szCs w:val="18"/>
              </w:rPr>
              <w:t>辅材及施工</w:t>
            </w:r>
          </w:p>
        </w:tc>
        <w:tc>
          <w:tcPr>
            <w:tcW w:w="700" w:type="dxa"/>
            <w:shd w:val="clear" w:color="auto" w:fill="auto"/>
            <w:tcMar>
              <w:top w:w="10" w:type="dxa"/>
              <w:left w:w="10" w:type="dxa"/>
              <w:right w:w="10" w:type="dxa"/>
            </w:tcMar>
            <w:vAlign w:val="center"/>
          </w:tcPr>
          <w:p w14:paraId="36CC75E7">
            <w:pPr>
              <w:widowControl/>
              <w:spacing w:before="60" w:after="60"/>
              <w:jc w:val="center"/>
              <w:textAlignment w:val="center"/>
              <w:rPr>
                <w:kern w:val="0"/>
                <w:sz w:val="18"/>
                <w:szCs w:val="18"/>
              </w:rPr>
            </w:pPr>
          </w:p>
        </w:tc>
        <w:tc>
          <w:tcPr>
            <w:tcW w:w="2220" w:type="dxa"/>
            <w:shd w:val="clear" w:color="auto" w:fill="auto"/>
            <w:tcMar>
              <w:top w:w="10" w:type="dxa"/>
              <w:left w:w="10" w:type="dxa"/>
              <w:right w:w="10" w:type="dxa"/>
            </w:tcMar>
            <w:vAlign w:val="center"/>
          </w:tcPr>
          <w:p w14:paraId="5CD3E174">
            <w:pPr>
              <w:widowControl/>
              <w:jc w:val="left"/>
              <w:rPr>
                <w:sz w:val="18"/>
                <w:szCs w:val="18"/>
              </w:rPr>
            </w:pPr>
          </w:p>
        </w:tc>
        <w:tc>
          <w:tcPr>
            <w:tcW w:w="700" w:type="dxa"/>
            <w:shd w:val="clear" w:color="auto" w:fill="auto"/>
            <w:tcMar>
              <w:top w:w="10" w:type="dxa"/>
              <w:left w:w="10" w:type="dxa"/>
              <w:right w:w="10" w:type="dxa"/>
            </w:tcMar>
            <w:vAlign w:val="center"/>
          </w:tcPr>
          <w:p w14:paraId="477D045E">
            <w:pPr>
              <w:widowControl/>
              <w:jc w:val="center"/>
              <w:textAlignment w:val="center"/>
              <w:rPr>
                <w:kern w:val="0"/>
                <w:sz w:val="18"/>
                <w:szCs w:val="18"/>
              </w:rPr>
            </w:pPr>
          </w:p>
        </w:tc>
        <w:tc>
          <w:tcPr>
            <w:tcW w:w="1920" w:type="dxa"/>
            <w:shd w:val="clear" w:color="auto" w:fill="auto"/>
            <w:noWrap/>
            <w:tcMar>
              <w:top w:w="10" w:type="dxa"/>
              <w:left w:w="10" w:type="dxa"/>
              <w:right w:w="10" w:type="dxa"/>
            </w:tcMar>
            <w:vAlign w:val="center"/>
          </w:tcPr>
          <w:p w14:paraId="221D7333">
            <w:pPr>
              <w:rPr>
                <w:sz w:val="18"/>
                <w:szCs w:val="18"/>
              </w:rPr>
            </w:pPr>
          </w:p>
        </w:tc>
        <w:tc>
          <w:tcPr>
            <w:tcW w:w="780" w:type="dxa"/>
            <w:shd w:val="clear" w:color="auto" w:fill="auto"/>
            <w:noWrap/>
            <w:tcMar>
              <w:top w:w="10" w:type="dxa"/>
              <w:left w:w="10" w:type="dxa"/>
              <w:right w:w="10" w:type="dxa"/>
            </w:tcMar>
            <w:vAlign w:val="center"/>
          </w:tcPr>
          <w:p w14:paraId="5ED93854">
            <w:pPr>
              <w:rPr>
                <w:sz w:val="18"/>
                <w:szCs w:val="18"/>
              </w:rPr>
            </w:pPr>
          </w:p>
        </w:tc>
      </w:tr>
      <w:tr w14:paraId="0F8A0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0" w:hRule="atLeast"/>
        </w:trPr>
        <w:tc>
          <w:tcPr>
            <w:tcW w:w="768" w:type="dxa"/>
            <w:shd w:val="clear" w:color="auto" w:fill="auto"/>
            <w:tcMar>
              <w:top w:w="10" w:type="dxa"/>
              <w:left w:w="10" w:type="dxa"/>
              <w:right w:w="10" w:type="dxa"/>
            </w:tcMar>
            <w:vAlign w:val="center"/>
          </w:tcPr>
          <w:p w14:paraId="59E870B4">
            <w:pPr>
              <w:widowControl/>
              <w:spacing w:before="60" w:after="60"/>
              <w:jc w:val="center"/>
              <w:textAlignment w:val="center"/>
              <w:rPr>
                <w:sz w:val="18"/>
                <w:szCs w:val="18"/>
              </w:rPr>
            </w:pPr>
            <w:r>
              <w:rPr>
                <w:rFonts w:hint="eastAsia"/>
                <w:sz w:val="18"/>
                <w:szCs w:val="18"/>
              </w:rPr>
              <w:t>4.1</w:t>
            </w:r>
          </w:p>
        </w:tc>
        <w:tc>
          <w:tcPr>
            <w:tcW w:w="1210" w:type="dxa"/>
            <w:shd w:val="clear" w:color="auto" w:fill="auto"/>
            <w:tcMar>
              <w:top w:w="10" w:type="dxa"/>
              <w:left w:w="10" w:type="dxa"/>
              <w:right w:w="10" w:type="dxa"/>
            </w:tcMar>
            <w:vAlign w:val="center"/>
          </w:tcPr>
          <w:p w14:paraId="45388328">
            <w:pPr>
              <w:jc w:val="center"/>
              <w:rPr>
                <w:sz w:val="18"/>
                <w:szCs w:val="18"/>
              </w:rPr>
            </w:pPr>
            <w:r>
              <w:rPr>
                <w:rFonts w:hint="eastAsia"/>
                <w:sz w:val="18"/>
                <w:szCs w:val="18"/>
              </w:rPr>
              <w:t>控制电缆4*1.0</w:t>
            </w:r>
          </w:p>
        </w:tc>
        <w:tc>
          <w:tcPr>
            <w:tcW w:w="700" w:type="dxa"/>
            <w:shd w:val="clear" w:color="auto" w:fill="auto"/>
            <w:tcMar>
              <w:top w:w="10" w:type="dxa"/>
              <w:left w:w="10" w:type="dxa"/>
              <w:right w:w="10" w:type="dxa"/>
            </w:tcMar>
            <w:vAlign w:val="center"/>
          </w:tcPr>
          <w:p w14:paraId="240C603D">
            <w:pPr>
              <w:pStyle w:val="76"/>
              <w:spacing w:line="360" w:lineRule="auto"/>
              <w:rPr>
                <w:rFonts w:eastAsiaTheme="minorEastAsia"/>
                <w:sz w:val="18"/>
                <w:szCs w:val="18"/>
              </w:rPr>
            </w:pPr>
            <w:r>
              <w:rPr>
                <w:rFonts w:hint="eastAsia"/>
                <w:sz w:val="18"/>
                <w:szCs w:val="18"/>
              </w:rPr>
              <w:t>km</w:t>
            </w:r>
          </w:p>
        </w:tc>
        <w:tc>
          <w:tcPr>
            <w:tcW w:w="2220" w:type="dxa"/>
            <w:shd w:val="clear" w:color="auto" w:fill="auto"/>
            <w:tcMar>
              <w:top w:w="10" w:type="dxa"/>
              <w:left w:w="10" w:type="dxa"/>
              <w:right w:w="10" w:type="dxa"/>
            </w:tcMar>
            <w:vAlign w:val="center"/>
          </w:tcPr>
          <w:p w14:paraId="09D4BB50">
            <w:pPr>
              <w:widowControl/>
              <w:jc w:val="left"/>
              <w:rPr>
                <w:sz w:val="18"/>
                <w:szCs w:val="18"/>
              </w:rPr>
            </w:pPr>
            <w:r>
              <w:rPr>
                <w:rFonts w:hint="eastAsia"/>
                <w:sz w:val="18"/>
                <w:szCs w:val="18"/>
              </w:rPr>
              <w:t>控制电缆 ZA-RVVP22-4*1.0</w:t>
            </w:r>
          </w:p>
        </w:tc>
        <w:tc>
          <w:tcPr>
            <w:tcW w:w="700" w:type="dxa"/>
            <w:shd w:val="clear" w:color="auto" w:fill="auto"/>
            <w:tcMar>
              <w:top w:w="10" w:type="dxa"/>
              <w:left w:w="10" w:type="dxa"/>
              <w:right w:w="10" w:type="dxa"/>
            </w:tcMar>
            <w:vAlign w:val="center"/>
          </w:tcPr>
          <w:p w14:paraId="4122938D">
            <w:pPr>
              <w:widowControl/>
              <w:jc w:val="center"/>
              <w:rPr>
                <w:rFonts w:eastAsiaTheme="minorEastAsia"/>
                <w:sz w:val="18"/>
                <w:szCs w:val="18"/>
              </w:rPr>
            </w:pPr>
            <w:r>
              <w:rPr>
                <w:rFonts w:eastAsiaTheme="minorEastAsia"/>
                <w:sz w:val="18"/>
                <w:szCs w:val="18"/>
                <w:lang w:bidi="ar"/>
              </w:rPr>
              <w:t>18</w:t>
            </w:r>
          </w:p>
        </w:tc>
        <w:tc>
          <w:tcPr>
            <w:tcW w:w="1920" w:type="dxa"/>
            <w:shd w:val="clear" w:color="auto" w:fill="auto"/>
            <w:noWrap/>
            <w:tcMar>
              <w:top w:w="10" w:type="dxa"/>
              <w:left w:w="10" w:type="dxa"/>
              <w:right w:w="10" w:type="dxa"/>
            </w:tcMar>
            <w:vAlign w:val="center"/>
          </w:tcPr>
          <w:p w14:paraId="6683577F">
            <w:pPr>
              <w:rPr>
                <w:sz w:val="18"/>
                <w:szCs w:val="18"/>
              </w:rPr>
            </w:pPr>
          </w:p>
        </w:tc>
        <w:tc>
          <w:tcPr>
            <w:tcW w:w="780" w:type="dxa"/>
            <w:shd w:val="clear" w:color="auto" w:fill="auto"/>
            <w:noWrap/>
            <w:tcMar>
              <w:top w:w="10" w:type="dxa"/>
              <w:left w:w="10" w:type="dxa"/>
              <w:right w:w="10" w:type="dxa"/>
            </w:tcMar>
            <w:vAlign w:val="center"/>
          </w:tcPr>
          <w:p w14:paraId="57C083B8">
            <w:pPr>
              <w:rPr>
                <w:sz w:val="18"/>
                <w:szCs w:val="18"/>
              </w:rPr>
            </w:pPr>
          </w:p>
        </w:tc>
      </w:tr>
      <w:tr w14:paraId="30D3A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0" w:hRule="atLeast"/>
        </w:trPr>
        <w:tc>
          <w:tcPr>
            <w:tcW w:w="768" w:type="dxa"/>
            <w:shd w:val="clear" w:color="auto" w:fill="auto"/>
            <w:tcMar>
              <w:top w:w="10" w:type="dxa"/>
              <w:left w:w="10" w:type="dxa"/>
              <w:right w:w="10" w:type="dxa"/>
            </w:tcMar>
            <w:vAlign w:val="center"/>
          </w:tcPr>
          <w:p w14:paraId="3D827953">
            <w:pPr>
              <w:widowControl/>
              <w:spacing w:before="60" w:after="60"/>
              <w:jc w:val="center"/>
              <w:textAlignment w:val="center"/>
              <w:rPr>
                <w:sz w:val="18"/>
                <w:szCs w:val="18"/>
              </w:rPr>
            </w:pPr>
            <w:r>
              <w:rPr>
                <w:rFonts w:hint="eastAsia"/>
                <w:sz w:val="18"/>
                <w:szCs w:val="18"/>
              </w:rPr>
              <w:t>4.2</w:t>
            </w:r>
          </w:p>
        </w:tc>
        <w:tc>
          <w:tcPr>
            <w:tcW w:w="1210" w:type="dxa"/>
            <w:shd w:val="clear" w:color="auto" w:fill="auto"/>
            <w:tcMar>
              <w:top w:w="10" w:type="dxa"/>
              <w:left w:w="10" w:type="dxa"/>
              <w:right w:w="10" w:type="dxa"/>
            </w:tcMar>
            <w:vAlign w:val="center"/>
          </w:tcPr>
          <w:p w14:paraId="51752EBB">
            <w:pPr>
              <w:jc w:val="center"/>
              <w:rPr>
                <w:sz w:val="18"/>
                <w:szCs w:val="18"/>
              </w:rPr>
            </w:pPr>
            <w:r>
              <w:rPr>
                <w:rFonts w:hint="eastAsia"/>
                <w:sz w:val="18"/>
                <w:szCs w:val="18"/>
              </w:rPr>
              <w:t>电源电缆3*1.5</w:t>
            </w:r>
          </w:p>
        </w:tc>
        <w:tc>
          <w:tcPr>
            <w:tcW w:w="700" w:type="dxa"/>
            <w:shd w:val="clear" w:color="auto" w:fill="auto"/>
            <w:tcMar>
              <w:top w:w="10" w:type="dxa"/>
              <w:left w:w="10" w:type="dxa"/>
              <w:right w:w="10" w:type="dxa"/>
            </w:tcMar>
            <w:vAlign w:val="center"/>
          </w:tcPr>
          <w:p w14:paraId="178EA403">
            <w:pPr>
              <w:pStyle w:val="76"/>
              <w:spacing w:line="360" w:lineRule="auto"/>
              <w:rPr>
                <w:rFonts w:eastAsiaTheme="minorEastAsia"/>
                <w:sz w:val="18"/>
                <w:szCs w:val="18"/>
              </w:rPr>
            </w:pPr>
            <w:r>
              <w:rPr>
                <w:rFonts w:hint="eastAsia"/>
                <w:sz w:val="18"/>
                <w:szCs w:val="18"/>
              </w:rPr>
              <w:t>km</w:t>
            </w:r>
          </w:p>
        </w:tc>
        <w:tc>
          <w:tcPr>
            <w:tcW w:w="2220" w:type="dxa"/>
            <w:shd w:val="clear" w:color="auto" w:fill="auto"/>
            <w:tcMar>
              <w:top w:w="10" w:type="dxa"/>
              <w:left w:w="10" w:type="dxa"/>
              <w:right w:w="10" w:type="dxa"/>
            </w:tcMar>
            <w:vAlign w:val="center"/>
          </w:tcPr>
          <w:p w14:paraId="5636C607">
            <w:pPr>
              <w:widowControl/>
              <w:jc w:val="left"/>
              <w:rPr>
                <w:sz w:val="18"/>
                <w:szCs w:val="18"/>
              </w:rPr>
            </w:pPr>
            <w:r>
              <w:rPr>
                <w:rFonts w:hint="eastAsia"/>
                <w:sz w:val="18"/>
                <w:szCs w:val="18"/>
              </w:rPr>
              <w:t>电源电缆 ZA-RVV-3*1.5</w:t>
            </w:r>
          </w:p>
        </w:tc>
        <w:tc>
          <w:tcPr>
            <w:tcW w:w="700" w:type="dxa"/>
            <w:shd w:val="clear" w:color="auto" w:fill="auto"/>
            <w:tcMar>
              <w:top w:w="10" w:type="dxa"/>
              <w:left w:w="10" w:type="dxa"/>
              <w:right w:w="10" w:type="dxa"/>
            </w:tcMar>
            <w:vAlign w:val="center"/>
          </w:tcPr>
          <w:p w14:paraId="0E57EA90">
            <w:pPr>
              <w:widowControl/>
              <w:jc w:val="center"/>
              <w:rPr>
                <w:rFonts w:eastAsiaTheme="minorEastAsia"/>
                <w:sz w:val="18"/>
                <w:szCs w:val="18"/>
              </w:rPr>
            </w:pPr>
            <w:r>
              <w:rPr>
                <w:rFonts w:eastAsiaTheme="minorEastAsia"/>
                <w:sz w:val="18"/>
                <w:szCs w:val="18"/>
                <w:lang w:bidi="ar"/>
              </w:rPr>
              <w:t>35</w:t>
            </w:r>
          </w:p>
        </w:tc>
        <w:tc>
          <w:tcPr>
            <w:tcW w:w="1920" w:type="dxa"/>
            <w:shd w:val="clear" w:color="auto" w:fill="auto"/>
            <w:noWrap/>
            <w:tcMar>
              <w:top w:w="10" w:type="dxa"/>
              <w:left w:w="10" w:type="dxa"/>
              <w:right w:w="10" w:type="dxa"/>
            </w:tcMar>
            <w:vAlign w:val="center"/>
          </w:tcPr>
          <w:p w14:paraId="5DCE5EFE">
            <w:pPr>
              <w:rPr>
                <w:sz w:val="18"/>
                <w:szCs w:val="18"/>
              </w:rPr>
            </w:pPr>
          </w:p>
        </w:tc>
        <w:tc>
          <w:tcPr>
            <w:tcW w:w="780" w:type="dxa"/>
            <w:shd w:val="clear" w:color="auto" w:fill="auto"/>
            <w:noWrap/>
            <w:tcMar>
              <w:top w:w="10" w:type="dxa"/>
              <w:left w:w="10" w:type="dxa"/>
              <w:right w:w="10" w:type="dxa"/>
            </w:tcMar>
            <w:vAlign w:val="center"/>
          </w:tcPr>
          <w:p w14:paraId="511F1774">
            <w:pPr>
              <w:rPr>
                <w:sz w:val="18"/>
                <w:szCs w:val="18"/>
              </w:rPr>
            </w:pPr>
          </w:p>
        </w:tc>
      </w:tr>
      <w:tr w14:paraId="32037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0" w:hRule="atLeast"/>
        </w:trPr>
        <w:tc>
          <w:tcPr>
            <w:tcW w:w="768" w:type="dxa"/>
            <w:shd w:val="clear" w:color="auto" w:fill="auto"/>
            <w:tcMar>
              <w:top w:w="10" w:type="dxa"/>
              <w:left w:w="10" w:type="dxa"/>
              <w:right w:w="10" w:type="dxa"/>
            </w:tcMar>
            <w:vAlign w:val="center"/>
          </w:tcPr>
          <w:p w14:paraId="43B525EE">
            <w:pPr>
              <w:widowControl/>
              <w:spacing w:before="60" w:after="60"/>
              <w:jc w:val="center"/>
              <w:textAlignment w:val="center"/>
              <w:rPr>
                <w:sz w:val="18"/>
                <w:szCs w:val="18"/>
              </w:rPr>
            </w:pPr>
            <w:r>
              <w:rPr>
                <w:rFonts w:hint="eastAsia"/>
                <w:sz w:val="18"/>
                <w:szCs w:val="18"/>
              </w:rPr>
              <w:t>4.3</w:t>
            </w:r>
          </w:p>
        </w:tc>
        <w:tc>
          <w:tcPr>
            <w:tcW w:w="1210" w:type="dxa"/>
            <w:shd w:val="clear" w:color="auto" w:fill="auto"/>
            <w:tcMar>
              <w:top w:w="10" w:type="dxa"/>
              <w:left w:w="10" w:type="dxa"/>
              <w:right w:w="10" w:type="dxa"/>
            </w:tcMar>
            <w:vAlign w:val="center"/>
          </w:tcPr>
          <w:p w14:paraId="177CE80A">
            <w:pPr>
              <w:jc w:val="center"/>
              <w:rPr>
                <w:sz w:val="18"/>
                <w:szCs w:val="18"/>
              </w:rPr>
            </w:pPr>
            <w:r>
              <w:rPr>
                <w:rFonts w:hint="eastAsia"/>
                <w:sz w:val="18"/>
                <w:szCs w:val="18"/>
              </w:rPr>
              <w:t>电源电缆4*4</w:t>
            </w:r>
          </w:p>
        </w:tc>
        <w:tc>
          <w:tcPr>
            <w:tcW w:w="700" w:type="dxa"/>
            <w:shd w:val="clear" w:color="auto" w:fill="auto"/>
            <w:tcMar>
              <w:top w:w="10" w:type="dxa"/>
              <w:left w:w="10" w:type="dxa"/>
              <w:right w:w="10" w:type="dxa"/>
            </w:tcMar>
            <w:vAlign w:val="center"/>
          </w:tcPr>
          <w:p w14:paraId="2DDE9389">
            <w:pPr>
              <w:pStyle w:val="76"/>
              <w:spacing w:line="360" w:lineRule="auto"/>
              <w:rPr>
                <w:rFonts w:eastAsiaTheme="minorEastAsia"/>
                <w:sz w:val="18"/>
                <w:szCs w:val="18"/>
              </w:rPr>
            </w:pPr>
            <w:r>
              <w:rPr>
                <w:rFonts w:hint="eastAsia"/>
                <w:sz w:val="18"/>
                <w:szCs w:val="18"/>
              </w:rPr>
              <w:t>km</w:t>
            </w:r>
          </w:p>
        </w:tc>
        <w:tc>
          <w:tcPr>
            <w:tcW w:w="2220" w:type="dxa"/>
            <w:shd w:val="clear" w:color="auto" w:fill="auto"/>
            <w:tcMar>
              <w:top w:w="10" w:type="dxa"/>
              <w:left w:w="10" w:type="dxa"/>
              <w:right w:w="10" w:type="dxa"/>
            </w:tcMar>
            <w:vAlign w:val="center"/>
          </w:tcPr>
          <w:p w14:paraId="4ECEC8AF">
            <w:pPr>
              <w:widowControl/>
              <w:jc w:val="left"/>
              <w:rPr>
                <w:sz w:val="18"/>
                <w:szCs w:val="18"/>
              </w:rPr>
            </w:pPr>
            <w:r>
              <w:rPr>
                <w:rFonts w:hint="eastAsia"/>
                <w:sz w:val="18"/>
                <w:szCs w:val="18"/>
              </w:rPr>
              <w:t>电源电缆 ZA-KVVP2/22-4*4</w:t>
            </w:r>
          </w:p>
        </w:tc>
        <w:tc>
          <w:tcPr>
            <w:tcW w:w="700" w:type="dxa"/>
            <w:shd w:val="clear" w:color="auto" w:fill="auto"/>
            <w:tcMar>
              <w:top w:w="10" w:type="dxa"/>
              <w:left w:w="10" w:type="dxa"/>
              <w:right w:w="10" w:type="dxa"/>
            </w:tcMar>
            <w:vAlign w:val="center"/>
          </w:tcPr>
          <w:p w14:paraId="6DF5BA36">
            <w:pPr>
              <w:widowControl/>
              <w:jc w:val="center"/>
              <w:rPr>
                <w:rFonts w:eastAsiaTheme="minorEastAsia"/>
                <w:sz w:val="18"/>
                <w:szCs w:val="18"/>
              </w:rPr>
            </w:pPr>
            <w:r>
              <w:rPr>
                <w:rFonts w:eastAsiaTheme="minorEastAsia"/>
                <w:sz w:val="18"/>
                <w:szCs w:val="18"/>
                <w:lang w:bidi="ar"/>
              </w:rPr>
              <w:t>4</w:t>
            </w:r>
          </w:p>
        </w:tc>
        <w:tc>
          <w:tcPr>
            <w:tcW w:w="1920" w:type="dxa"/>
            <w:shd w:val="clear" w:color="auto" w:fill="auto"/>
            <w:noWrap/>
            <w:tcMar>
              <w:top w:w="10" w:type="dxa"/>
              <w:left w:w="10" w:type="dxa"/>
              <w:right w:w="10" w:type="dxa"/>
            </w:tcMar>
            <w:vAlign w:val="center"/>
          </w:tcPr>
          <w:p w14:paraId="06F5A541">
            <w:pPr>
              <w:rPr>
                <w:sz w:val="18"/>
                <w:szCs w:val="18"/>
              </w:rPr>
            </w:pPr>
          </w:p>
        </w:tc>
        <w:tc>
          <w:tcPr>
            <w:tcW w:w="780" w:type="dxa"/>
            <w:shd w:val="clear" w:color="auto" w:fill="auto"/>
            <w:noWrap/>
            <w:tcMar>
              <w:top w:w="10" w:type="dxa"/>
              <w:left w:w="10" w:type="dxa"/>
              <w:right w:w="10" w:type="dxa"/>
            </w:tcMar>
            <w:vAlign w:val="center"/>
          </w:tcPr>
          <w:p w14:paraId="18D15701">
            <w:pPr>
              <w:rPr>
                <w:sz w:val="18"/>
                <w:szCs w:val="18"/>
              </w:rPr>
            </w:pPr>
          </w:p>
        </w:tc>
      </w:tr>
      <w:tr w14:paraId="51648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0" w:hRule="atLeast"/>
        </w:trPr>
        <w:tc>
          <w:tcPr>
            <w:tcW w:w="768" w:type="dxa"/>
            <w:shd w:val="clear" w:color="auto" w:fill="auto"/>
            <w:tcMar>
              <w:top w:w="10" w:type="dxa"/>
              <w:left w:w="10" w:type="dxa"/>
              <w:right w:w="10" w:type="dxa"/>
            </w:tcMar>
            <w:vAlign w:val="center"/>
          </w:tcPr>
          <w:p w14:paraId="4919541D">
            <w:pPr>
              <w:widowControl/>
              <w:spacing w:before="60" w:after="60"/>
              <w:jc w:val="center"/>
              <w:textAlignment w:val="center"/>
              <w:rPr>
                <w:sz w:val="18"/>
                <w:szCs w:val="18"/>
              </w:rPr>
            </w:pPr>
            <w:r>
              <w:rPr>
                <w:rFonts w:hint="eastAsia"/>
                <w:sz w:val="18"/>
                <w:szCs w:val="18"/>
              </w:rPr>
              <w:t>4.4</w:t>
            </w:r>
          </w:p>
        </w:tc>
        <w:tc>
          <w:tcPr>
            <w:tcW w:w="1210" w:type="dxa"/>
            <w:shd w:val="clear" w:color="auto" w:fill="auto"/>
            <w:tcMar>
              <w:top w:w="10" w:type="dxa"/>
              <w:left w:w="10" w:type="dxa"/>
              <w:right w:w="10" w:type="dxa"/>
            </w:tcMar>
            <w:vAlign w:val="center"/>
          </w:tcPr>
          <w:p w14:paraId="6BBCC00A">
            <w:pPr>
              <w:jc w:val="center"/>
              <w:rPr>
                <w:sz w:val="18"/>
                <w:szCs w:val="18"/>
              </w:rPr>
            </w:pPr>
            <w:r>
              <w:rPr>
                <w:rFonts w:hint="eastAsia"/>
                <w:sz w:val="18"/>
                <w:szCs w:val="18"/>
              </w:rPr>
              <w:t>超五类网线</w:t>
            </w:r>
          </w:p>
        </w:tc>
        <w:tc>
          <w:tcPr>
            <w:tcW w:w="700" w:type="dxa"/>
            <w:shd w:val="clear" w:color="auto" w:fill="auto"/>
            <w:tcMar>
              <w:top w:w="10" w:type="dxa"/>
              <w:left w:w="10" w:type="dxa"/>
              <w:right w:w="10" w:type="dxa"/>
            </w:tcMar>
            <w:vAlign w:val="center"/>
          </w:tcPr>
          <w:p w14:paraId="432021DD">
            <w:pPr>
              <w:pStyle w:val="76"/>
              <w:spacing w:line="360" w:lineRule="auto"/>
              <w:rPr>
                <w:rFonts w:eastAsiaTheme="minorEastAsia"/>
                <w:sz w:val="18"/>
                <w:szCs w:val="18"/>
              </w:rPr>
            </w:pPr>
            <w:r>
              <w:rPr>
                <w:rFonts w:hint="eastAsia"/>
                <w:sz w:val="18"/>
                <w:szCs w:val="18"/>
              </w:rPr>
              <w:t>km</w:t>
            </w:r>
          </w:p>
        </w:tc>
        <w:tc>
          <w:tcPr>
            <w:tcW w:w="2220" w:type="dxa"/>
            <w:shd w:val="clear" w:color="auto" w:fill="auto"/>
            <w:tcMar>
              <w:top w:w="10" w:type="dxa"/>
              <w:left w:w="10" w:type="dxa"/>
              <w:right w:w="10" w:type="dxa"/>
            </w:tcMar>
            <w:vAlign w:val="center"/>
          </w:tcPr>
          <w:p w14:paraId="42BFFA38">
            <w:pPr>
              <w:widowControl/>
              <w:jc w:val="left"/>
              <w:rPr>
                <w:sz w:val="18"/>
                <w:szCs w:val="18"/>
              </w:rPr>
            </w:pPr>
            <w:r>
              <w:rPr>
                <w:rFonts w:hint="eastAsia"/>
                <w:sz w:val="18"/>
                <w:szCs w:val="18"/>
              </w:rPr>
              <w:t>超五类网线</w:t>
            </w:r>
          </w:p>
        </w:tc>
        <w:tc>
          <w:tcPr>
            <w:tcW w:w="700" w:type="dxa"/>
            <w:shd w:val="clear" w:color="auto" w:fill="auto"/>
            <w:tcMar>
              <w:top w:w="10" w:type="dxa"/>
              <w:left w:w="10" w:type="dxa"/>
              <w:right w:w="10" w:type="dxa"/>
            </w:tcMar>
            <w:vAlign w:val="center"/>
          </w:tcPr>
          <w:p w14:paraId="59EF1580">
            <w:pPr>
              <w:widowControl/>
              <w:jc w:val="center"/>
              <w:rPr>
                <w:rFonts w:eastAsiaTheme="minorEastAsia"/>
                <w:sz w:val="18"/>
                <w:szCs w:val="18"/>
              </w:rPr>
            </w:pPr>
            <w:r>
              <w:rPr>
                <w:rFonts w:eastAsiaTheme="minorEastAsia"/>
                <w:sz w:val="18"/>
                <w:szCs w:val="18"/>
                <w:lang w:bidi="ar"/>
              </w:rPr>
              <w:t>10</w:t>
            </w:r>
          </w:p>
        </w:tc>
        <w:tc>
          <w:tcPr>
            <w:tcW w:w="1920" w:type="dxa"/>
            <w:shd w:val="clear" w:color="auto" w:fill="auto"/>
            <w:noWrap/>
            <w:tcMar>
              <w:top w:w="10" w:type="dxa"/>
              <w:left w:w="10" w:type="dxa"/>
              <w:right w:w="10" w:type="dxa"/>
            </w:tcMar>
            <w:vAlign w:val="center"/>
          </w:tcPr>
          <w:p w14:paraId="4418C390">
            <w:pPr>
              <w:rPr>
                <w:sz w:val="18"/>
                <w:szCs w:val="18"/>
              </w:rPr>
            </w:pPr>
          </w:p>
        </w:tc>
        <w:tc>
          <w:tcPr>
            <w:tcW w:w="780" w:type="dxa"/>
            <w:shd w:val="clear" w:color="auto" w:fill="auto"/>
            <w:noWrap/>
            <w:tcMar>
              <w:top w:w="10" w:type="dxa"/>
              <w:left w:w="10" w:type="dxa"/>
              <w:right w:w="10" w:type="dxa"/>
            </w:tcMar>
            <w:vAlign w:val="center"/>
          </w:tcPr>
          <w:p w14:paraId="05135304">
            <w:pPr>
              <w:rPr>
                <w:sz w:val="18"/>
                <w:szCs w:val="18"/>
              </w:rPr>
            </w:pPr>
          </w:p>
        </w:tc>
      </w:tr>
      <w:tr w14:paraId="64E6D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0" w:hRule="atLeast"/>
        </w:trPr>
        <w:tc>
          <w:tcPr>
            <w:tcW w:w="768" w:type="dxa"/>
            <w:shd w:val="clear" w:color="auto" w:fill="auto"/>
            <w:tcMar>
              <w:top w:w="10" w:type="dxa"/>
              <w:left w:w="10" w:type="dxa"/>
              <w:right w:w="10" w:type="dxa"/>
            </w:tcMar>
            <w:vAlign w:val="center"/>
          </w:tcPr>
          <w:p w14:paraId="17FF2945">
            <w:pPr>
              <w:widowControl/>
              <w:spacing w:before="60" w:after="60"/>
              <w:jc w:val="center"/>
              <w:textAlignment w:val="center"/>
              <w:rPr>
                <w:sz w:val="18"/>
                <w:szCs w:val="18"/>
              </w:rPr>
            </w:pPr>
            <w:r>
              <w:rPr>
                <w:rFonts w:hint="eastAsia"/>
                <w:sz w:val="18"/>
                <w:szCs w:val="18"/>
              </w:rPr>
              <w:t>4.5</w:t>
            </w:r>
          </w:p>
        </w:tc>
        <w:tc>
          <w:tcPr>
            <w:tcW w:w="1210" w:type="dxa"/>
            <w:shd w:val="clear" w:color="auto" w:fill="auto"/>
            <w:tcMar>
              <w:top w:w="10" w:type="dxa"/>
              <w:left w:w="10" w:type="dxa"/>
              <w:right w:w="10" w:type="dxa"/>
            </w:tcMar>
            <w:vAlign w:val="center"/>
          </w:tcPr>
          <w:p w14:paraId="32DF02E0">
            <w:pPr>
              <w:jc w:val="center"/>
              <w:rPr>
                <w:sz w:val="18"/>
                <w:szCs w:val="18"/>
              </w:rPr>
            </w:pPr>
            <w:r>
              <w:rPr>
                <w:rFonts w:hint="eastAsia"/>
                <w:sz w:val="18"/>
                <w:szCs w:val="18"/>
              </w:rPr>
              <w:t>光纤</w:t>
            </w:r>
          </w:p>
        </w:tc>
        <w:tc>
          <w:tcPr>
            <w:tcW w:w="700" w:type="dxa"/>
            <w:shd w:val="clear" w:color="auto" w:fill="auto"/>
            <w:tcMar>
              <w:top w:w="10" w:type="dxa"/>
              <w:left w:w="10" w:type="dxa"/>
              <w:right w:w="10" w:type="dxa"/>
            </w:tcMar>
            <w:vAlign w:val="center"/>
          </w:tcPr>
          <w:p w14:paraId="307E17CE">
            <w:pPr>
              <w:pStyle w:val="76"/>
              <w:spacing w:line="360" w:lineRule="auto"/>
              <w:rPr>
                <w:rFonts w:eastAsiaTheme="minorEastAsia"/>
                <w:sz w:val="18"/>
                <w:szCs w:val="18"/>
              </w:rPr>
            </w:pPr>
            <w:r>
              <w:rPr>
                <w:rFonts w:hint="eastAsia"/>
                <w:sz w:val="18"/>
                <w:szCs w:val="18"/>
              </w:rPr>
              <w:t>km</w:t>
            </w:r>
          </w:p>
        </w:tc>
        <w:tc>
          <w:tcPr>
            <w:tcW w:w="2220" w:type="dxa"/>
            <w:shd w:val="clear" w:color="auto" w:fill="auto"/>
            <w:tcMar>
              <w:top w:w="10" w:type="dxa"/>
              <w:left w:w="10" w:type="dxa"/>
              <w:right w:w="10" w:type="dxa"/>
            </w:tcMar>
            <w:vAlign w:val="center"/>
          </w:tcPr>
          <w:p w14:paraId="7063F7CD">
            <w:pPr>
              <w:widowControl/>
              <w:jc w:val="left"/>
              <w:rPr>
                <w:sz w:val="18"/>
                <w:szCs w:val="18"/>
              </w:rPr>
            </w:pPr>
            <w:r>
              <w:rPr>
                <w:rFonts w:hint="eastAsia"/>
                <w:sz w:val="18"/>
                <w:szCs w:val="18"/>
              </w:rPr>
              <w:t>单模4芯光缆，铠装、阻燃、防鼠咬</w:t>
            </w:r>
          </w:p>
        </w:tc>
        <w:tc>
          <w:tcPr>
            <w:tcW w:w="700" w:type="dxa"/>
            <w:shd w:val="clear" w:color="auto" w:fill="auto"/>
            <w:tcMar>
              <w:top w:w="10" w:type="dxa"/>
              <w:left w:w="10" w:type="dxa"/>
              <w:right w:w="10" w:type="dxa"/>
            </w:tcMar>
            <w:vAlign w:val="center"/>
          </w:tcPr>
          <w:p w14:paraId="462655A1">
            <w:pPr>
              <w:widowControl/>
              <w:jc w:val="center"/>
              <w:rPr>
                <w:rFonts w:eastAsiaTheme="minorEastAsia"/>
                <w:sz w:val="18"/>
                <w:szCs w:val="18"/>
              </w:rPr>
            </w:pPr>
            <w:r>
              <w:rPr>
                <w:rFonts w:eastAsiaTheme="minorEastAsia"/>
                <w:sz w:val="18"/>
                <w:szCs w:val="18"/>
                <w:lang w:bidi="ar"/>
              </w:rPr>
              <w:t>25</w:t>
            </w:r>
          </w:p>
        </w:tc>
        <w:tc>
          <w:tcPr>
            <w:tcW w:w="1920" w:type="dxa"/>
            <w:shd w:val="clear" w:color="auto" w:fill="auto"/>
            <w:noWrap/>
            <w:tcMar>
              <w:top w:w="10" w:type="dxa"/>
              <w:left w:w="10" w:type="dxa"/>
              <w:right w:w="10" w:type="dxa"/>
            </w:tcMar>
            <w:vAlign w:val="center"/>
          </w:tcPr>
          <w:p w14:paraId="47AFD987">
            <w:pPr>
              <w:rPr>
                <w:sz w:val="18"/>
                <w:szCs w:val="18"/>
              </w:rPr>
            </w:pPr>
          </w:p>
        </w:tc>
        <w:tc>
          <w:tcPr>
            <w:tcW w:w="780" w:type="dxa"/>
            <w:shd w:val="clear" w:color="auto" w:fill="auto"/>
            <w:noWrap/>
            <w:tcMar>
              <w:top w:w="10" w:type="dxa"/>
              <w:left w:w="10" w:type="dxa"/>
              <w:right w:w="10" w:type="dxa"/>
            </w:tcMar>
            <w:vAlign w:val="center"/>
          </w:tcPr>
          <w:p w14:paraId="4038FA4B">
            <w:pPr>
              <w:rPr>
                <w:sz w:val="18"/>
                <w:szCs w:val="18"/>
              </w:rPr>
            </w:pPr>
          </w:p>
        </w:tc>
      </w:tr>
      <w:tr w14:paraId="11D28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0" w:hRule="atLeast"/>
        </w:trPr>
        <w:tc>
          <w:tcPr>
            <w:tcW w:w="768"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070A9F61">
            <w:pPr>
              <w:widowControl/>
              <w:spacing w:before="60" w:after="60"/>
              <w:jc w:val="center"/>
              <w:textAlignment w:val="center"/>
              <w:rPr>
                <w:sz w:val="18"/>
                <w:szCs w:val="18"/>
              </w:rPr>
            </w:pPr>
            <w:r>
              <w:rPr>
                <w:rFonts w:hint="eastAsia"/>
                <w:sz w:val="18"/>
                <w:szCs w:val="18"/>
              </w:rPr>
              <w:t>4.6</w:t>
            </w:r>
          </w:p>
        </w:tc>
        <w:tc>
          <w:tcPr>
            <w:tcW w:w="121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3D90F96C">
            <w:pPr>
              <w:jc w:val="center"/>
              <w:rPr>
                <w:sz w:val="18"/>
                <w:szCs w:val="18"/>
              </w:rPr>
            </w:pPr>
            <w:r>
              <w:rPr>
                <w:rFonts w:hint="eastAsia"/>
                <w:sz w:val="18"/>
                <w:szCs w:val="18"/>
              </w:rPr>
              <w:t>座立式视频汇聚箱</w:t>
            </w:r>
          </w:p>
        </w:tc>
        <w:tc>
          <w:tcPr>
            <w:tcW w:w="70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7DBD6C03">
            <w:pPr>
              <w:widowControl/>
              <w:jc w:val="center"/>
              <w:textAlignment w:val="center"/>
              <w:rPr>
                <w:kern w:val="0"/>
                <w:sz w:val="18"/>
                <w:szCs w:val="18"/>
              </w:rPr>
            </w:pPr>
            <w:r>
              <w:rPr>
                <w:rFonts w:hint="eastAsia"/>
                <w:kern w:val="0"/>
                <w:sz w:val="18"/>
                <w:szCs w:val="18"/>
              </w:rPr>
              <w:t>个</w:t>
            </w:r>
          </w:p>
        </w:tc>
        <w:tc>
          <w:tcPr>
            <w:tcW w:w="222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66E5AFBD">
            <w:pPr>
              <w:widowControl/>
              <w:jc w:val="left"/>
              <w:rPr>
                <w:sz w:val="18"/>
                <w:szCs w:val="18"/>
              </w:rPr>
            </w:pPr>
            <w:r>
              <w:rPr>
                <w:rFonts w:hint="eastAsia"/>
                <w:sz w:val="18"/>
                <w:szCs w:val="18"/>
              </w:rPr>
              <w:t>316不锈钢</w:t>
            </w:r>
          </w:p>
          <w:p w14:paraId="1493E138">
            <w:pPr>
              <w:widowControl/>
              <w:jc w:val="left"/>
              <w:rPr>
                <w:sz w:val="18"/>
                <w:szCs w:val="18"/>
              </w:rPr>
            </w:pPr>
            <w:r>
              <w:rPr>
                <w:rFonts w:hint="eastAsia"/>
                <w:sz w:val="18"/>
                <w:szCs w:val="18"/>
              </w:rPr>
              <w:t>（高*宽*深）1400*600*600</w:t>
            </w:r>
          </w:p>
          <w:p w14:paraId="0833E8FB">
            <w:pPr>
              <w:widowControl/>
              <w:jc w:val="left"/>
              <w:rPr>
                <w:sz w:val="18"/>
                <w:szCs w:val="18"/>
              </w:rPr>
            </w:pPr>
            <w:r>
              <w:rPr>
                <w:rFonts w:hint="eastAsia"/>
                <w:sz w:val="18"/>
                <w:szCs w:val="18"/>
              </w:rPr>
              <w:t>浅灰色（RAL7035）</w:t>
            </w:r>
          </w:p>
          <w:p w14:paraId="4A7D8B2C">
            <w:pPr>
              <w:widowControl/>
              <w:jc w:val="left"/>
              <w:rPr>
                <w:sz w:val="18"/>
                <w:szCs w:val="18"/>
              </w:rPr>
            </w:pPr>
            <w:r>
              <w:rPr>
                <w:rFonts w:hint="eastAsia"/>
                <w:sz w:val="18"/>
                <w:szCs w:val="18"/>
              </w:rPr>
              <w:t>带升高座，含空开、插座、接线端子排、空调。</w:t>
            </w:r>
          </w:p>
        </w:tc>
        <w:tc>
          <w:tcPr>
            <w:tcW w:w="70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4D50F458">
            <w:pPr>
              <w:widowControl/>
              <w:jc w:val="center"/>
              <w:rPr>
                <w:rFonts w:eastAsiaTheme="minorEastAsia"/>
                <w:sz w:val="18"/>
                <w:szCs w:val="18"/>
              </w:rPr>
            </w:pPr>
            <w:r>
              <w:rPr>
                <w:rFonts w:eastAsiaTheme="minorEastAsia"/>
                <w:sz w:val="18"/>
                <w:szCs w:val="18"/>
                <w:lang w:bidi="ar"/>
              </w:rPr>
              <w:t>6</w:t>
            </w:r>
          </w:p>
        </w:tc>
        <w:tc>
          <w:tcPr>
            <w:tcW w:w="1920" w:type="dxa"/>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center"/>
          </w:tcPr>
          <w:p w14:paraId="35BABA3F">
            <w:pPr>
              <w:rPr>
                <w:sz w:val="18"/>
                <w:szCs w:val="18"/>
              </w:rPr>
            </w:pPr>
          </w:p>
        </w:tc>
        <w:tc>
          <w:tcPr>
            <w:tcW w:w="780" w:type="dxa"/>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center"/>
          </w:tcPr>
          <w:p w14:paraId="5787DA67">
            <w:pPr>
              <w:rPr>
                <w:sz w:val="18"/>
                <w:szCs w:val="18"/>
              </w:rPr>
            </w:pPr>
          </w:p>
        </w:tc>
      </w:tr>
      <w:tr w14:paraId="14362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87" w:hRule="atLeast"/>
        </w:trPr>
        <w:tc>
          <w:tcPr>
            <w:tcW w:w="768" w:type="dxa"/>
            <w:tcBorders>
              <w:top w:val="single" w:color="auto" w:sz="4" w:space="0"/>
              <w:left w:val="single" w:color="auto" w:sz="4" w:space="0"/>
              <w:right w:val="single" w:color="auto" w:sz="4" w:space="0"/>
            </w:tcBorders>
            <w:shd w:val="clear" w:color="auto" w:fill="auto"/>
            <w:tcMar>
              <w:top w:w="10" w:type="dxa"/>
              <w:left w:w="10" w:type="dxa"/>
              <w:right w:w="10" w:type="dxa"/>
            </w:tcMar>
            <w:vAlign w:val="center"/>
          </w:tcPr>
          <w:p w14:paraId="53B55A4D">
            <w:pPr>
              <w:widowControl/>
              <w:spacing w:before="60" w:after="60"/>
              <w:jc w:val="center"/>
              <w:textAlignment w:val="center"/>
              <w:rPr>
                <w:sz w:val="18"/>
                <w:szCs w:val="18"/>
              </w:rPr>
            </w:pPr>
            <w:r>
              <w:rPr>
                <w:rFonts w:hint="eastAsia"/>
                <w:bCs/>
                <w:sz w:val="18"/>
                <w:szCs w:val="18"/>
              </w:rPr>
              <w:t>4.7</w:t>
            </w:r>
          </w:p>
        </w:tc>
        <w:tc>
          <w:tcPr>
            <w:tcW w:w="1210" w:type="dxa"/>
            <w:tcBorders>
              <w:top w:val="single" w:color="auto" w:sz="4" w:space="0"/>
              <w:left w:val="single" w:color="auto" w:sz="4" w:space="0"/>
              <w:right w:val="single" w:color="auto" w:sz="4" w:space="0"/>
            </w:tcBorders>
            <w:shd w:val="clear" w:color="auto" w:fill="auto"/>
            <w:tcMar>
              <w:top w:w="10" w:type="dxa"/>
              <w:left w:w="10" w:type="dxa"/>
              <w:right w:w="10" w:type="dxa"/>
            </w:tcMar>
            <w:vAlign w:val="center"/>
          </w:tcPr>
          <w:p w14:paraId="6F5624F2">
            <w:pPr>
              <w:jc w:val="center"/>
              <w:rPr>
                <w:sz w:val="18"/>
                <w:szCs w:val="18"/>
              </w:rPr>
            </w:pPr>
            <w:r>
              <w:rPr>
                <w:rFonts w:hint="eastAsia"/>
                <w:sz w:val="18"/>
                <w:szCs w:val="18"/>
              </w:rPr>
              <w:t>壁挂式视频汇聚箱</w:t>
            </w:r>
          </w:p>
        </w:tc>
        <w:tc>
          <w:tcPr>
            <w:tcW w:w="700" w:type="dxa"/>
            <w:tcBorders>
              <w:top w:val="single" w:color="auto" w:sz="4" w:space="0"/>
              <w:left w:val="single" w:color="auto" w:sz="4" w:space="0"/>
              <w:right w:val="single" w:color="auto" w:sz="4" w:space="0"/>
            </w:tcBorders>
            <w:shd w:val="clear" w:color="auto" w:fill="auto"/>
            <w:tcMar>
              <w:top w:w="10" w:type="dxa"/>
              <w:left w:w="10" w:type="dxa"/>
              <w:right w:w="10" w:type="dxa"/>
            </w:tcMar>
            <w:vAlign w:val="center"/>
          </w:tcPr>
          <w:p w14:paraId="56D4441C">
            <w:pPr>
              <w:widowControl/>
              <w:jc w:val="center"/>
              <w:textAlignment w:val="center"/>
              <w:rPr>
                <w:kern w:val="0"/>
                <w:sz w:val="18"/>
                <w:szCs w:val="18"/>
              </w:rPr>
            </w:pPr>
            <w:r>
              <w:rPr>
                <w:rFonts w:hint="eastAsia"/>
                <w:kern w:val="0"/>
                <w:sz w:val="18"/>
                <w:szCs w:val="18"/>
              </w:rPr>
              <w:t>个</w:t>
            </w:r>
          </w:p>
        </w:tc>
        <w:tc>
          <w:tcPr>
            <w:tcW w:w="2220" w:type="dxa"/>
            <w:tcBorders>
              <w:top w:val="single" w:color="auto" w:sz="4" w:space="0"/>
              <w:left w:val="single" w:color="auto" w:sz="4" w:space="0"/>
              <w:right w:val="single" w:color="auto" w:sz="4" w:space="0"/>
            </w:tcBorders>
            <w:shd w:val="clear" w:color="auto" w:fill="auto"/>
            <w:tcMar>
              <w:top w:w="10" w:type="dxa"/>
              <w:left w:w="10" w:type="dxa"/>
              <w:right w:w="10" w:type="dxa"/>
            </w:tcMar>
          </w:tcPr>
          <w:p w14:paraId="2845CB1A">
            <w:pPr>
              <w:widowControl/>
              <w:jc w:val="left"/>
              <w:rPr>
                <w:sz w:val="18"/>
                <w:szCs w:val="18"/>
              </w:rPr>
            </w:pPr>
            <w:r>
              <w:rPr>
                <w:rFonts w:hint="eastAsia"/>
                <w:sz w:val="18"/>
                <w:szCs w:val="18"/>
              </w:rPr>
              <w:t>柜体、立柱采用不锈钢304材质，板厚1.2MM</w:t>
            </w:r>
          </w:p>
          <w:p w14:paraId="188D71A0">
            <w:pPr>
              <w:widowControl/>
              <w:jc w:val="left"/>
              <w:rPr>
                <w:sz w:val="18"/>
                <w:szCs w:val="18"/>
              </w:rPr>
            </w:pPr>
            <w:r>
              <w:rPr>
                <w:rFonts w:hint="eastAsia"/>
                <w:sz w:val="18"/>
                <w:szCs w:val="18"/>
              </w:rPr>
              <w:t>（高*宽*深）500*600*450</w:t>
            </w:r>
          </w:p>
          <w:p w14:paraId="054CBE0D">
            <w:pPr>
              <w:jc w:val="left"/>
              <w:rPr>
                <w:sz w:val="18"/>
                <w:szCs w:val="18"/>
              </w:rPr>
            </w:pPr>
            <w:r>
              <w:rPr>
                <w:rFonts w:hint="eastAsia"/>
                <w:sz w:val="18"/>
                <w:szCs w:val="18"/>
              </w:rPr>
              <w:t>箱体含接地铜排、空开配电器、导轨插座、两侧配置固定方孔条等</w:t>
            </w:r>
          </w:p>
        </w:tc>
        <w:tc>
          <w:tcPr>
            <w:tcW w:w="700" w:type="dxa"/>
            <w:tcBorders>
              <w:top w:val="single" w:color="auto" w:sz="4" w:space="0"/>
              <w:left w:val="single" w:color="auto" w:sz="4" w:space="0"/>
              <w:right w:val="single" w:color="auto" w:sz="4" w:space="0"/>
            </w:tcBorders>
            <w:shd w:val="clear" w:color="auto" w:fill="auto"/>
            <w:tcMar>
              <w:top w:w="10" w:type="dxa"/>
              <w:left w:w="10" w:type="dxa"/>
              <w:right w:w="10" w:type="dxa"/>
            </w:tcMar>
            <w:vAlign w:val="center"/>
          </w:tcPr>
          <w:p w14:paraId="6C23B1AA">
            <w:pPr>
              <w:widowControl/>
              <w:jc w:val="center"/>
              <w:rPr>
                <w:rFonts w:eastAsiaTheme="minorEastAsia"/>
                <w:sz w:val="18"/>
                <w:szCs w:val="18"/>
              </w:rPr>
            </w:pPr>
            <w:r>
              <w:rPr>
                <w:rFonts w:eastAsiaTheme="minorEastAsia"/>
                <w:sz w:val="18"/>
                <w:szCs w:val="18"/>
                <w:lang w:bidi="ar"/>
              </w:rPr>
              <w:t>5</w:t>
            </w:r>
          </w:p>
        </w:tc>
        <w:tc>
          <w:tcPr>
            <w:tcW w:w="1920" w:type="dxa"/>
            <w:tcBorders>
              <w:top w:val="single" w:color="auto" w:sz="4" w:space="0"/>
              <w:left w:val="single" w:color="auto" w:sz="4" w:space="0"/>
              <w:right w:val="single" w:color="auto" w:sz="4" w:space="0"/>
            </w:tcBorders>
            <w:shd w:val="clear" w:color="auto" w:fill="auto"/>
            <w:noWrap/>
            <w:tcMar>
              <w:top w:w="10" w:type="dxa"/>
              <w:left w:w="10" w:type="dxa"/>
              <w:right w:w="10" w:type="dxa"/>
            </w:tcMar>
            <w:vAlign w:val="center"/>
          </w:tcPr>
          <w:p w14:paraId="3063C8C2">
            <w:pPr>
              <w:rPr>
                <w:sz w:val="18"/>
                <w:szCs w:val="18"/>
              </w:rPr>
            </w:pPr>
          </w:p>
        </w:tc>
        <w:tc>
          <w:tcPr>
            <w:tcW w:w="780" w:type="dxa"/>
            <w:tcBorders>
              <w:top w:val="single" w:color="auto" w:sz="4" w:space="0"/>
              <w:left w:val="single" w:color="auto" w:sz="4" w:space="0"/>
              <w:right w:val="single" w:color="auto" w:sz="4" w:space="0"/>
            </w:tcBorders>
            <w:shd w:val="clear" w:color="auto" w:fill="auto"/>
            <w:noWrap/>
            <w:tcMar>
              <w:top w:w="10" w:type="dxa"/>
              <w:left w:w="10" w:type="dxa"/>
              <w:right w:w="10" w:type="dxa"/>
            </w:tcMar>
            <w:vAlign w:val="center"/>
          </w:tcPr>
          <w:p w14:paraId="7F199A02">
            <w:pPr>
              <w:rPr>
                <w:sz w:val="18"/>
                <w:szCs w:val="18"/>
              </w:rPr>
            </w:pPr>
          </w:p>
        </w:tc>
      </w:tr>
      <w:tr w14:paraId="5F136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9" w:hRule="atLeast"/>
        </w:trPr>
        <w:tc>
          <w:tcPr>
            <w:tcW w:w="768" w:type="dxa"/>
            <w:tcBorders>
              <w:top w:val="single" w:color="auto" w:sz="4" w:space="0"/>
              <w:left w:val="single" w:color="auto" w:sz="4" w:space="0"/>
              <w:right w:val="single" w:color="auto" w:sz="4" w:space="0"/>
            </w:tcBorders>
            <w:shd w:val="clear" w:color="auto" w:fill="auto"/>
            <w:tcMar>
              <w:top w:w="10" w:type="dxa"/>
              <w:left w:w="10" w:type="dxa"/>
              <w:right w:w="10" w:type="dxa"/>
            </w:tcMar>
            <w:vAlign w:val="center"/>
          </w:tcPr>
          <w:p w14:paraId="7DC03D4F">
            <w:pPr>
              <w:widowControl/>
              <w:spacing w:before="60" w:after="60"/>
              <w:jc w:val="center"/>
              <w:textAlignment w:val="center"/>
              <w:rPr>
                <w:bCs/>
                <w:sz w:val="18"/>
                <w:szCs w:val="18"/>
              </w:rPr>
            </w:pPr>
            <w:r>
              <w:rPr>
                <w:rFonts w:hint="eastAsia"/>
                <w:bCs/>
                <w:sz w:val="18"/>
                <w:szCs w:val="18"/>
              </w:rPr>
              <w:t>4.8</w:t>
            </w:r>
          </w:p>
        </w:tc>
        <w:tc>
          <w:tcPr>
            <w:tcW w:w="1210" w:type="dxa"/>
            <w:tcBorders>
              <w:top w:val="single" w:color="auto" w:sz="4" w:space="0"/>
              <w:left w:val="single" w:color="auto" w:sz="4" w:space="0"/>
              <w:right w:val="single" w:color="auto" w:sz="4" w:space="0"/>
            </w:tcBorders>
            <w:shd w:val="clear" w:color="auto" w:fill="auto"/>
            <w:tcMar>
              <w:top w:w="10" w:type="dxa"/>
              <w:left w:w="10" w:type="dxa"/>
              <w:right w:w="10" w:type="dxa"/>
            </w:tcMar>
            <w:vAlign w:val="center"/>
          </w:tcPr>
          <w:p w14:paraId="52FCF855">
            <w:pPr>
              <w:jc w:val="center"/>
              <w:rPr>
                <w:sz w:val="18"/>
                <w:szCs w:val="18"/>
              </w:rPr>
            </w:pPr>
            <w:r>
              <w:rPr>
                <w:rFonts w:hint="eastAsia"/>
                <w:sz w:val="18"/>
                <w:szCs w:val="18"/>
              </w:rPr>
              <w:t>ODF配线架 24口</w:t>
            </w:r>
          </w:p>
        </w:tc>
        <w:tc>
          <w:tcPr>
            <w:tcW w:w="700" w:type="dxa"/>
            <w:tcBorders>
              <w:top w:val="single" w:color="auto" w:sz="4" w:space="0"/>
              <w:left w:val="single" w:color="auto" w:sz="4" w:space="0"/>
              <w:right w:val="single" w:color="auto" w:sz="4" w:space="0"/>
            </w:tcBorders>
            <w:shd w:val="clear" w:color="auto" w:fill="auto"/>
            <w:tcMar>
              <w:top w:w="10" w:type="dxa"/>
              <w:left w:w="10" w:type="dxa"/>
              <w:right w:w="10" w:type="dxa"/>
            </w:tcMar>
            <w:vAlign w:val="center"/>
          </w:tcPr>
          <w:p w14:paraId="4DCFBFCD">
            <w:pPr>
              <w:jc w:val="center"/>
              <w:rPr>
                <w:sz w:val="18"/>
                <w:szCs w:val="18"/>
              </w:rPr>
            </w:pPr>
            <w:r>
              <w:rPr>
                <w:rFonts w:hint="eastAsia"/>
                <w:kern w:val="0"/>
                <w:sz w:val="18"/>
                <w:szCs w:val="18"/>
              </w:rPr>
              <w:t>个</w:t>
            </w:r>
          </w:p>
        </w:tc>
        <w:tc>
          <w:tcPr>
            <w:tcW w:w="2220" w:type="dxa"/>
            <w:tcBorders>
              <w:top w:val="single" w:color="auto" w:sz="4" w:space="0"/>
              <w:left w:val="single" w:color="auto" w:sz="4" w:space="0"/>
              <w:right w:val="single" w:color="auto" w:sz="4" w:space="0"/>
            </w:tcBorders>
            <w:shd w:val="clear" w:color="auto" w:fill="auto"/>
            <w:tcMar>
              <w:top w:w="10" w:type="dxa"/>
              <w:left w:w="10" w:type="dxa"/>
              <w:right w:w="10" w:type="dxa"/>
            </w:tcMar>
            <w:vAlign w:val="center"/>
          </w:tcPr>
          <w:p w14:paraId="35FDFD08">
            <w:pPr>
              <w:widowControl/>
              <w:jc w:val="left"/>
              <w:rPr>
                <w:sz w:val="18"/>
                <w:szCs w:val="18"/>
              </w:rPr>
            </w:pPr>
          </w:p>
        </w:tc>
        <w:tc>
          <w:tcPr>
            <w:tcW w:w="700" w:type="dxa"/>
            <w:tcBorders>
              <w:top w:val="single" w:color="auto" w:sz="4" w:space="0"/>
              <w:left w:val="single" w:color="auto" w:sz="4" w:space="0"/>
              <w:right w:val="single" w:color="auto" w:sz="4" w:space="0"/>
            </w:tcBorders>
            <w:shd w:val="clear" w:color="auto" w:fill="auto"/>
            <w:tcMar>
              <w:top w:w="10" w:type="dxa"/>
              <w:left w:w="10" w:type="dxa"/>
              <w:right w:w="10" w:type="dxa"/>
            </w:tcMar>
            <w:vAlign w:val="center"/>
          </w:tcPr>
          <w:p w14:paraId="6BE0E269">
            <w:pPr>
              <w:widowControl/>
              <w:jc w:val="center"/>
              <w:rPr>
                <w:rFonts w:eastAsiaTheme="minorEastAsia"/>
                <w:sz w:val="18"/>
                <w:szCs w:val="18"/>
              </w:rPr>
            </w:pPr>
            <w:r>
              <w:rPr>
                <w:rFonts w:eastAsiaTheme="minorEastAsia"/>
                <w:sz w:val="18"/>
                <w:szCs w:val="18"/>
                <w:lang w:bidi="ar"/>
              </w:rPr>
              <w:t>5</w:t>
            </w:r>
          </w:p>
        </w:tc>
        <w:tc>
          <w:tcPr>
            <w:tcW w:w="1920" w:type="dxa"/>
            <w:tcBorders>
              <w:top w:val="single" w:color="auto" w:sz="4" w:space="0"/>
              <w:left w:val="single" w:color="auto" w:sz="4" w:space="0"/>
              <w:right w:val="single" w:color="auto" w:sz="4" w:space="0"/>
            </w:tcBorders>
            <w:shd w:val="clear" w:color="auto" w:fill="auto"/>
            <w:noWrap/>
            <w:tcMar>
              <w:top w:w="10" w:type="dxa"/>
              <w:left w:w="10" w:type="dxa"/>
              <w:right w:w="10" w:type="dxa"/>
            </w:tcMar>
            <w:vAlign w:val="center"/>
          </w:tcPr>
          <w:p w14:paraId="2D5AD36D">
            <w:pPr>
              <w:rPr>
                <w:sz w:val="18"/>
                <w:szCs w:val="18"/>
              </w:rPr>
            </w:pPr>
          </w:p>
        </w:tc>
        <w:tc>
          <w:tcPr>
            <w:tcW w:w="780" w:type="dxa"/>
            <w:tcBorders>
              <w:top w:val="single" w:color="auto" w:sz="4" w:space="0"/>
              <w:left w:val="single" w:color="auto" w:sz="4" w:space="0"/>
              <w:right w:val="single" w:color="auto" w:sz="4" w:space="0"/>
            </w:tcBorders>
            <w:shd w:val="clear" w:color="auto" w:fill="auto"/>
            <w:noWrap/>
            <w:tcMar>
              <w:top w:w="10" w:type="dxa"/>
              <w:left w:w="10" w:type="dxa"/>
              <w:right w:w="10" w:type="dxa"/>
            </w:tcMar>
            <w:vAlign w:val="center"/>
          </w:tcPr>
          <w:p w14:paraId="106DCB0D">
            <w:pPr>
              <w:rPr>
                <w:sz w:val="18"/>
                <w:szCs w:val="18"/>
              </w:rPr>
            </w:pPr>
          </w:p>
        </w:tc>
      </w:tr>
      <w:tr w14:paraId="7089E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0" w:hRule="atLeast"/>
        </w:trPr>
        <w:tc>
          <w:tcPr>
            <w:tcW w:w="768"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0723BB6F">
            <w:pPr>
              <w:widowControl/>
              <w:spacing w:before="60" w:after="60"/>
              <w:jc w:val="center"/>
              <w:textAlignment w:val="center"/>
              <w:rPr>
                <w:bCs/>
                <w:sz w:val="18"/>
                <w:szCs w:val="18"/>
              </w:rPr>
            </w:pPr>
            <w:r>
              <w:rPr>
                <w:rFonts w:hint="eastAsia"/>
                <w:bCs/>
                <w:sz w:val="18"/>
                <w:szCs w:val="18"/>
              </w:rPr>
              <w:t>4.9</w:t>
            </w:r>
          </w:p>
        </w:tc>
        <w:tc>
          <w:tcPr>
            <w:tcW w:w="121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00DA4CF9">
            <w:pPr>
              <w:jc w:val="center"/>
              <w:rPr>
                <w:sz w:val="18"/>
                <w:szCs w:val="18"/>
              </w:rPr>
            </w:pPr>
            <w:r>
              <w:rPr>
                <w:rFonts w:hint="eastAsia"/>
                <w:sz w:val="18"/>
                <w:szCs w:val="18"/>
              </w:rPr>
              <w:t>ODF配线架 48口</w:t>
            </w:r>
          </w:p>
        </w:tc>
        <w:tc>
          <w:tcPr>
            <w:tcW w:w="70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51C7900C">
            <w:pPr>
              <w:jc w:val="center"/>
              <w:rPr>
                <w:sz w:val="18"/>
                <w:szCs w:val="18"/>
              </w:rPr>
            </w:pPr>
            <w:r>
              <w:rPr>
                <w:rFonts w:hint="eastAsia"/>
                <w:kern w:val="0"/>
                <w:sz w:val="18"/>
                <w:szCs w:val="18"/>
              </w:rPr>
              <w:t>个</w:t>
            </w:r>
          </w:p>
        </w:tc>
        <w:tc>
          <w:tcPr>
            <w:tcW w:w="222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6FEE00E9">
            <w:pPr>
              <w:widowControl/>
              <w:jc w:val="left"/>
              <w:rPr>
                <w:sz w:val="18"/>
                <w:szCs w:val="18"/>
              </w:rPr>
            </w:pPr>
          </w:p>
        </w:tc>
        <w:tc>
          <w:tcPr>
            <w:tcW w:w="70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18A5ED2C">
            <w:pPr>
              <w:widowControl/>
              <w:jc w:val="center"/>
              <w:rPr>
                <w:rFonts w:eastAsiaTheme="minorEastAsia"/>
                <w:sz w:val="18"/>
                <w:szCs w:val="18"/>
              </w:rPr>
            </w:pPr>
            <w:r>
              <w:rPr>
                <w:rFonts w:eastAsiaTheme="minorEastAsia"/>
                <w:sz w:val="18"/>
                <w:szCs w:val="18"/>
                <w:lang w:bidi="ar"/>
              </w:rPr>
              <w:t>10</w:t>
            </w:r>
          </w:p>
        </w:tc>
        <w:tc>
          <w:tcPr>
            <w:tcW w:w="1920" w:type="dxa"/>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center"/>
          </w:tcPr>
          <w:p w14:paraId="308874A5">
            <w:pPr>
              <w:rPr>
                <w:sz w:val="18"/>
                <w:szCs w:val="18"/>
              </w:rPr>
            </w:pPr>
          </w:p>
        </w:tc>
        <w:tc>
          <w:tcPr>
            <w:tcW w:w="780" w:type="dxa"/>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center"/>
          </w:tcPr>
          <w:p w14:paraId="7DEFB89A">
            <w:pPr>
              <w:rPr>
                <w:sz w:val="18"/>
                <w:szCs w:val="18"/>
              </w:rPr>
            </w:pPr>
          </w:p>
        </w:tc>
      </w:tr>
      <w:tr w14:paraId="5DDE4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0" w:hRule="atLeast"/>
        </w:trPr>
        <w:tc>
          <w:tcPr>
            <w:tcW w:w="768"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74F90DC6">
            <w:pPr>
              <w:widowControl/>
              <w:spacing w:before="60" w:after="60"/>
              <w:jc w:val="center"/>
              <w:textAlignment w:val="center"/>
              <w:rPr>
                <w:bCs/>
                <w:sz w:val="18"/>
                <w:szCs w:val="18"/>
              </w:rPr>
            </w:pPr>
            <w:r>
              <w:rPr>
                <w:rFonts w:hint="eastAsia"/>
                <w:bCs/>
                <w:sz w:val="18"/>
                <w:szCs w:val="18"/>
              </w:rPr>
              <w:t>4.10</w:t>
            </w:r>
          </w:p>
        </w:tc>
        <w:tc>
          <w:tcPr>
            <w:tcW w:w="121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119264B0">
            <w:pPr>
              <w:jc w:val="center"/>
              <w:rPr>
                <w:sz w:val="18"/>
                <w:szCs w:val="18"/>
              </w:rPr>
            </w:pPr>
            <w:r>
              <w:rPr>
                <w:rFonts w:hint="eastAsia"/>
                <w:sz w:val="18"/>
                <w:szCs w:val="18"/>
              </w:rPr>
              <w:t>PVC管</w:t>
            </w:r>
          </w:p>
        </w:tc>
        <w:tc>
          <w:tcPr>
            <w:tcW w:w="70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382D5BE0">
            <w:pPr>
              <w:jc w:val="center"/>
              <w:rPr>
                <w:sz w:val="18"/>
                <w:szCs w:val="18"/>
              </w:rPr>
            </w:pPr>
            <w:r>
              <w:rPr>
                <w:rFonts w:hint="eastAsia"/>
                <w:sz w:val="18"/>
                <w:szCs w:val="18"/>
              </w:rPr>
              <w:t>km</w:t>
            </w:r>
          </w:p>
        </w:tc>
        <w:tc>
          <w:tcPr>
            <w:tcW w:w="222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3F2A7319">
            <w:pPr>
              <w:widowControl/>
              <w:jc w:val="left"/>
              <w:rPr>
                <w:sz w:val="18"/>
                <w:szCs w:val="18"/>
              </w:rPr>
            </w:pPr>
            <w:r>
              <w:rPr>
                <w:rFonts w:hint="eastAsia"/>
                <w:sz w:val="18"/>
                <w:szCs w:val="18"/>
              </w:rPr>
              <w:t>φ32</w:t>
            </w:r>
          </w:p>
        </w:tc>
        <w:tc>
          <w:tcPr>
            <w:tcW w:w="70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5A8E4DF0">
            <w:pPr>
              <w:widowControl/>
              <w:jc w:val="center"/>
              <w:rPr>
                <w:rFonts w:eastAsiaTheme="minorEastAsia"/>
                <w:sz w:val="18"/>
                <w:szCs w:val="18"/>
              </w:rPr>
            </w:pPr>
            <w:r>
              <w:rPr>
                <w:rFonts w:eastAsiaTheme="minorEastAsia"/>
                <w:sz w:val="18"/>
                <w:szCs w:val="18"/>
                <w:lang w:bidi="ar"/>
              </w:rPr>
              <w:t>3</w:t>
            </w:r>
          </w:p>
        </w:tc>
        <w:tc>
          <w:tcPr>
            <w:tcW w:w="1920" w:type="dxa"/>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center"/>
          </w:tcPr>
          <w:p w14:paraId="2050D172">
            <w:pPr>
              <w:rPr>
                <w:sz w:val="18"/>
                <w:szCs w:val="18"/>
              </w:rPr>
            </w:pPr>
          </w:p>
        </w:tc>
        <w:tc>
          <w:tcPr>
            <w:tcW w:w="780" w:type="dxa"/>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center"/>
          </w:tcPr>
          <w:p w14:paraId="577FD369">
            <w:pPr>
              <w:rPr>
                <w:sz w:val="18"/>
                <w:szCs w:val="18"/>
              </w:rPr>
            </w:pPr>
          </w:p>
        </w:tc>
      </w:tr>
      <w:tr w14:paraId="64CA5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0" w:hRule="atLeast"/>
        </w:trPr>
        <w:tc>
          <w:tcPr>
            <w:tcW w:w="768"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33DEA9D0">
            <w:pPr>
              <w:widowControl/>
              <w:spacing w:before="60" w:after="60"/>
              <w:jc w:val="center"/>
              <w:textAlignment w:val="center"/>
              <w:rPr>
                <w:bCs/>
                <w:sz w:val="18"/>
                <w:szCs w:val="18"/>
              </w:rPr>
            </w:pPr>
            <w:r>
              <w:rPr>
                <w:rFonts w:hint="eastAsia"/>
                <w:bCs/>
                <w:sz w:val="18"/>
                <w:szCs w:val="18"/>
              </w:rPr>
              <w:t>4.11</w:t>
            </w:r>
          </w:p>
        </w:tc>
        <w:tc>
          <w:tcPr>
            <w:tcW w:w="121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002558F3">
            <w:pPr>
              <w:jc w:val="center"/>
              <w:rPr>
                <w:sz w:val="18"/>
                <w:szCs w:val="18"/>
              </w:rPr>
            </w:pPr>
            <w:r>
              <w:rPr>
                <w:rFonts w:hint="eastAsia"/>
                <w:sz w:val="18"/>
                <w:szCs w:val="18"/>
              </w:rPr>
              <w:t xml:space="preserve">Φ25镀锌钢管 </w:t>
            </w:r>
          </w:p>
        </w:tc>
        <w:tc>
          <w:tcPr>
            <w:tcW w:w="70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33D20139">
            <w:pPr>
              <w:jc w:val="center"/>
              <w:rPr>
                <w:sz w:val="18"/>
                <w:szCs w:val="18"/>
              </w:rPr>
            </w:pPr>
            <w:r>
              <w:rPr>
                <w:rFonts w:hint="eastAsia"/>
                <w:sz w:val="18"/>
                <w:szCs w:val="18"/>
              </w:rPr>
              <w:t>km</w:t>
            </w:r>
          </w:p>
        </w:tc>
        <w:tc>
          <w:tcPr>
            <w:tcW w:w="222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1A85C239">
            <w:pPr>
              <w:widowControl/>
              <w:jc w:val="left"/>
              <w:rPr>
                <w:sz w:val="18"/>
                <w:szCs w:val="18"/>
              </w:rPr>
            </w:pPr>
            <w:r>
              <w:rPr>
                <w:rFonts w:hint="eastAsia"/>
                <w:sz w:val="18"/>
                <w:szCs w:val="18"/>
              </w:rPr>
              <w:t>Φ25</w:t>
            </w:r>
          </w:p>
        </w:tc>
        <w:tc>
          <w:tcPr>
            <w:tcW w:w="70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1878D6C2">
            <w:pPr>
              <w:widowControl/>
              <w:jc w:val="center"/>
              <w:rPr>
                <w:rFonts w:eastAsiaTheme="minorEastAsia"/>
                <w:sz w:val="18"/>
                <w:szCs w:val="18"/>
              </w:rPr>
            </w:pPr>
            <w:r>
              <w:rPr>
                <w:rFonts w:eastAsiaTheme="minorEastAsia"/>
                <w:sz w:val="18"/>
                <w:szCs w:val="18"/>
                <w:lang w:bidi="ar"/>
              </w:rPr>
              <w:t>2</w:t>
            </w:r>
          </w:p>
        </w:tc>
        <w:tc>
          <w:tcPr>
            <w:tcW w:w="1920" w:type="dxa"/>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center"/>
          </w:tcPr>
          <w:p w14:paraId="6ED37FFB">
            <w:pPr>
              <w:rPr>
                <w:sz w:val="18"/>
                <w:szCs w:val="18"/>
              </w:rPr>
            </w:pPr>
          </w:p>
        </w:tc>
        <w:tc>
          <w:tcPr>
            <w:tcW w:w="780" w:type="dxa"/>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center"/>
          </w:tcPr>
          <w:p w14:paraId="42E1A02B">
            <w:pPr>
              <w:rPr>
                <w:sz w:val="18"/>
                <w:szCs w:val="18"/>
              </w:rPr>
            </w:pPr>
          </w:p>
        </w:tc>
      </w:tr>
      <w:tr w14:paraId="5A8CE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0" w:hRule="atLeast"/>
        </w:trPr>
        <w:tc>
          <w:tcPr>
            <w:tcW w:w="768"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42B7B47D">
            <w:pPr>
              <w:widowControl/>
              <w:spacing w:before="60" w:after="60"/>
              <w:jc w:val="center"/>
              <w:textAlignment w:val="center"/>
              <w:rPr>
                <w:bCs/>
                <w:sz w:val="18"/>
                <w:szCs w:val="18"/>
              </w:rPr>
            </w:pPr>
            <w:r>
              <w:rPr>
                <w:rFonts w:hint="eastAsia"/>
                <w:bCs/>
                <w:sz w:val="18"/>
                <w:szCs w:val="18"/>
              </w:rPr>
              <w:t>4.12</w:t>
            </w:r>
          </w:p>
        </w:tc>
        <w:tc>
          <w:tcPr>
            <w:tcW w:w="121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1C94083D">
            <w:pPr>
              <w:jc w:val="center"/>
              <w:rPr>
                <w:sz w:val="18"/>
                <w:szCs w:val="18"/>
              </w:rPr>
            </w:pPr>
            <w:r>
              <w:rPr>
                <w:rFonts w:hint="eastAsia"/>
                <w:sz w:val="18"/>
                <w:szCs w:val="18"/>
              </w:rPr>
              <w:t xml:space="preserve">Φ50镀锌钢管 </w:t>
            </w:r>
          </w:p>
        </w:tc>
        <w:tc>
          <w:tcPr>
            <w:tcW w:w="70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760CC40E">
            <w:pPr>
              <w:jc w:val="center"/>
              <w:rPr>
                <w:sz w:val="18"/>
                <w:szCs w:val="18"/>
              </w:rPr>
            </w:pPr>
            <w:r>
              <w:rPr>
                <w:rFonts w:hint="eastAsia"/>
                <w:sz w:val="18"/>
                <w:szCs w:val="18"/>
              </w:rPr>
              <w:t>km</w:t>
            </w:r>
          </w:p>
        </w:tc>
        <w:tc>
          <w:tcPr>
            <w:tcW w:w="222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62CA3A41">
            <w:pPr>
              <w:widowControl/>
              <w:jc w:val="left"/>
              <w:rPr>
                <w:sz w:val="18"/>
                <w:szCs w:val="18"/>
              </w:rPr>
            </w:pPr>
            <w:r>
              <w:rPr>
                <w:rFonts w:hint="eastAsia"/>
                <w:sz w:val="18"/>
                <w:szCs w:val="18"/>
              </w:rPr>
              <w:t>Φ50</w:t>
            </w:r>
          </w:p>
        </w:tc>
        <w:tc>
          <w:tcPr>
            <w:tcW w:w="70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0329C27B">
            <w:pPr>
              <w:widowControl/>
              <w:jc w:val="center"/>
              <w:rPr>
                <w:rFonts w:eastAsiaTheme="minorEastAsia"/>
                <w:sz w:val="18"/>
                <w:szCs w:val="18"/>
              </w:rPr>
            </w:pPr>
            <w:r>
              <w:rPr>
                <w:rFonts w:eastAsiaTheme="minorEastAsia"/>
                <w:sz w:val="18"/>
                <w:szCs w:val="18"/>
                <w:lang w:bidi="ar"/>
              </w:rPr>
              <w:t>2</w:t>
            </w:r>
          </w:p>
        </w:tc>
        <w:tc>
          <w:tcPr>
            <w:tcW w:w="1920" w:type="dxa"/>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center"/>
          </w:tcPr>
          <w:p w14:paraId="7416AD9D">
            <w:pPr>
              <w:rPr>
                <w:sz w:val="18"/>
                <w:szCs w:val="18"/>
              </w:rPr>
            </w:pPr>
          </w:p>
        </w:tc>
        <w:tc>
          <w:tcPr>
            <w:tcW w:w="780" w:type="dxa"/>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center"/>
          </w:tcPr>
          <w:p w14:paraId="250F6470">
            <w:pPr>
              <w:rPr>
                <w:sz w:val="18"/>
                <w:szCs w:val="18"/>
              </w:rPr>
            </w:pPr>
          </w:p>
        </w:tc>
      </w:tr>
      <w:tr w14:paraId="5C9FD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0" w:hRule="atLeast"/>
        </w:trPr>
        <w:tc>
          <w:tcPr>
            <w:tcW w:w="768"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6A50C7F1">
            <w:pPr>
              <w:widowControl/>
              <w:spacing w:before="60" w:after="60"/>
              <w:jc w:val="center"/>
              <w:textAlignment w:val="center"/>
              <w:rPr>
                <w:bCs/>
                <w:sz w:val="18"/>
                <w:szCs w:val="18"/>
              </w:rPr>
            </w:pPr>
            <w:r>
              <w:rPr>
                <w:rFonts w:hint="eastAsia"/>
                <w:bCs/>
                <w:sz w:val="18"/>
                <w:szCs w:val="18"/>
              </w:rPr>
              <w:t>4.13</w:t>
            </w:r>
          </w:p>
        </w:tc>
        <w:tc>
          <w:tcPr>
            <w:tcW w:w="121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38134C95">
            <w:pPr>
              <w:jc w:val="center"/>
              <w:rPr>
                <w:sz w:val="18"/>
                <w:szCs w:val="18"/>
              </w:rPr>
            </w:pPr>
            <w:r>
              <w:rPr>
                <w:rFonts w:hint="eastAsia"/>
                <w:sz w:val="18"/>
                <w:szCs w:val="18"/>
              </w:rPr>
              <w:t>PVC线槽</w:t>
            </w:r>
          </w:p>
        </w:tc>
        <w:tc>
          <w:tcPr>
            <w:tcW w:w="70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576DB669">
            <w:pPr>
              <w:jc w:val="center"/>
              <w:rPr>
                <w:sz w:val="18"/>
                <w:szCs w:val="18"/>
              </w:rPr>
            </w:pPr>
            <w:r>
              <w:rPr>
                <w:rFonts w:hint="eastAsia"/>
                <w:sz w:val="18"/>
                <w:szCs w:val="18"/>
              </w:rPr>
              <w:t>km</w:t>
            </w:r>
          </w:p>
        </w:tc>
        <w:tc>
          <w:tcPr>
            <w:tcW w:w="222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26FBC286">
            <w:pPr>
              <w:widowControl/>
              <w:jc w:val="left"/>
              <w:rPr>
                <w:sz w:val="18"/>
                <w:szCs w:val="18"/>
              </w:rPr>
            </w:pPr>
            <w:r>
              <w:rPr>
                <w:rFonts w:hint="eastAsia"/>
                <w:sz w:val="18"/>
                <w:szCs w:val="18"/>
              </w:rPr>
              <w:t>100*100</w:t>
            </w:r>
          </w:p>
        </w:tc>
        <w:tc>
          <w:tcPr>
            <w:tcW w:w="70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23624322">
            <w:pPr>
              <w:widowControl/>
              <w:jc w:val="center"/>
              <w:rPr>
                <w:rFonts w:eastAsiaTheme="minorEastAsia"/>
                <w:sz w:val="18"/>
                <w:szCs w:val="18"/>
              </w:rPr>
            </w:pPr>
            <w:r>
              <w:rPr>
                <w:rFonts w:eastAsiaTheme="minorEastAsia"/>
                <w:sz w:val="18"/>
                <w:szCs w:val="18"/>
                <w:lang w:bidi="ar"/>
              </w:rPr>
              <w:t>3</w:t>
            </w:r>
          </w:p>
        </w:tc>
        <w:tc>
          <w:tcPr>
            <w:tcW w:w="1920" w:type="dxa"/>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center"/>
          </w:tcPr>
          <w:p w14:paraId="0BB62886">
            <w:pPr>
              <w:rPr>
                <w:sz w:val="18"/>
                <w:szCs w:val="18"/>
              </w:rPr>
            </w:pPr>
          </w:p>
        </w:tc>
        <w:tc>
          <w:tcPr>
            <w:tcW w:w="780" w:type="dxa"/>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center"/>
          </w:tcPr>
          <w:p w14:paraId="663D66DB">
            <w:pPr>
              <w:rPr>
                <w:sz w:val="18"/>
                <w:szCs w:val="18"/>
              </w:rPr>
            </w:pPr>
          </w:p>
        </w:tc>
      </w:tr>
      <w:tr w14:paraId="39841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0" w:hRule="atLeast"/>
        </w:trPr>
        <w:tc>
          <w:tcPr>
            <w:tcW w:w="768"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7B555926">
            <w:pPr>
              <w:widowControl/>
              <w:spacing w:before="60" w:after="60"/>
              <w:jc w:val="center"/>
              <w:textAlignment w:val="center"/>
              <w:rPr>
                <w:bCs/>
                <w:sz w:val="18"/>
                <w:szCs w:val="18"/>
              </w:rPr>
            </w:pPr>
            <w:r>
              <w:rPr>
                <w:rFonts w:hint="eastAsia"/>
                <w:bCs/>
                <w:sz w:val="18"/>
                <w:szCs w:val="18"/>
              </w:rPr>
              <w:t>4.14</w:t>
            </w:r>
          </w:p>
        </w:tc>
        <w:tc>
          <w:tcPr>
            <w:tcW w:w="121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1449F9D3">
            <w:pPr>
              <w:jc w:val="center"/>
              <w:rPr>
                <w:sz w:val="18"/>
                <w:szCs w:val="18"/>
              </w:rPr>
            </w:pPr>
            <w:r>
              <w:rPr>
                <w:rFonts w:hint="eastAsia"/>
                <w:sz w:val="18"/>
                <w:szCs w:val="18"/>
              </w:rPr>
              <w:t>PVC线槽</w:t>
            </w:r>
          </w:p>
        </w:tc>
        <w:tc>
          <w:tcPr>
            <w:tcW w:w="70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7501C03B">
            <w:pPr>
              <w:jc w:val="center"/>
              <w:rPr>
                <w:sz w:val="18"/>
                <w:szCs w:val="18"/>
              </w:rPr>
            </w:pPr>
            <w:r>
              <w:rPr>
                <w:rFonts w:hint="eastAsia"/>
                <w:sz w:val="18"/>
                <w:szCs w:val="18"/>
              </w:rPr>
              <w:t>km</w:t>
            </w:r>
          </w:p>
        </w:tc>
        <w:tc>
          <w:tcPr>
            <w:tcW w:w="222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5F389A8E">
            <w:pPr>
              <w:widowControl/>
              <w:jc w:val="left"/>
              <w:rPr>
                <w:sz w:val="18"/>
                <w:szCs w:val="18"/>
              </w:rPr>
            </w:pPr>
            <w:r>
              <w:rPr>
                <w:rFonts w:hint="eastAsia"/>
                <w:sz w:val="18"/>
                <w:szCs w:val="18"/>
              </w:rPr>
              <w:t>100*50</w:t>
            </w:r>
          </w:p>
        </w:tc>
        <w:tc>
          <w:tcPr>
            <w:tcW w:w="70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198E34FF">
            <w:pPr>
              <w:widowControl/>
              <w:jc w:val="center"/>
              <w:rPr>
                <w:rFonts w:eastAsiaTheme="minorEastAsia"/>
                <w:sz w:val="18"/>
                <w:szCs w:val="18"/>
              </w:rPr>
            </w:pPr>
            <w:r>
              <w:rPr>
                <w:rFonts w:eastAsiaTheme="minorEastAsia"/>
                <w:sz w:val="18"/>
                <w:szCs w:val="18"/>
                <w:lang w:bidi="ar"/>
              </w:rPr>
              <w:t>8</w:t>
            </w:r>
          </w:p>
        </w:tc>
        <w:tc>
          <w:tcPr>
            <w:tcW w:w="1920" w:type="dxa"/>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center"/>
          </w:tcPr>
          <w:p w14:paraId="7F93D454">
            <w:pPr>
              <w:rPr>
                <w:sz w:val="18"/>
                <w:szCs w:val="18"/>
              </w:rPr>
            </w:pPr>
          </w:p>
        </w:tc>
        <w:tc>
          <w:tcPr>
            <w:tcW w:w="780" w:type="dxa"/>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center"/>
          </w:tcPr>
          <w:p w14:paraId="65459579">
            <w:pPr>
              <w:rPr>
                <w:sz w:val="18"/>
                <w:szCs w:val="18"/>
              </w:rPr>
            </w:pPr>
          </w:p>
        </w:tc>
      </w:tr>
      <w:tr w14:paraId="6A6F6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0" w:hRule="atLeast"/>
        </w:trPr>
        <w:tc>
          <w:tcPr>
            <w:tcW w:w="768"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1CBECADF">
            <w:pPr>
              <w:widowControl/>
              <w:spacing w:before="60" w:after="60"/>
              <w:jc w:val="center"/>
              <w:textAlignment w:val="center"/>
              <w:rPr>
                <w:bCs/>
                <w:sz w:val="18"/>
                <w:szCs w:val="18"/>
              </w:rPr>
            </w:pPr>
            <w:r>
              <w:rPr>
                <w:rFonts w:hint="eastAsia"/>
                <w:bCs/>
                <w:sz w:val="18"/>
                <w:szCs w:val="18"/>
              </w:rPr>
              <w:t>4.15</w:t>
            </w:r>
          </w:p>
        </w:tc>
        <w:tc>
          <w:tcPr>
            <w:tcW w:w="121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5E797CE4">
            <w:pPr>
              <w:jc w:val="center"/>
              <w:rPr>
                <w:sz w:val="18"/>
                <w:szCs w:val="18"/>
              </w:rPr>
            </w:pPr>
            <w:r>
              <w:rPr>
                <w:rFonts w:hint="eastAsia"/>
                <w:sz w:val="18"/>
                <w:szCs w:val="18"/>
              </w:rPr>
              <w:t>镀锌钢线槽</w:t>
            </w:r>
          </w:p>
        </w:tc>
        <w:tc>
          <w:tcPr>
            <w:tcW w:w="70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75B91349">
            <w:pPr>
              <w:jc w:val="center"/>
              <w:rPr>
                <w:sz w:val="18"/>
                <w:szCs w:val="18"/>
              </w:rPr>
            </w:pPr>
            <w:r>
              <w:rPr>
                <w:rFonts w:hint="eastAsia"/>
                <w:sz w:val="18"/>
                <w:szCs w:val="18"/>
              </w:rPr>
              <w:t>km</w:t>
            </w:r>
          </w:p>
        </w:tc>
        <w:tc>
          <w:tcPr>
            <w:tcW w:w="222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5825DD44">
            <w:pPr>
              <w:widowControl/>
              <w:jc w:val="left"/>
              <w:rPr>
                <w:sz w:val="18"/>
                <w:szCs w:val="18"/>
              </w:rPr>
            </w:pPr>
            <w:r>
              <w:rPr>
                <w:rFonts w:hint="eastAsia"/>
                <w:sz w:val="18"/>
                <w:szCs w:val="18"/>
              </w:rPr>
              <w:t>100*100*1.5</w:t>
            </w:r>
          </w:p>
        </w:tc>
        <w:tc>
          <w:tcPr>
            <w:tcW w:w="70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3FA65C62">
            <w:pPr>
              <w:widowControl/>
              <w:jc w:val="center"/>
              <w:rPr>
                <w:rFonts w:eastAsiaTheme="minorEastAsia"/>
                <w:sz w:val="18"/>
                <w:szCs w:val="18"/>
              </w:rPr>
            </w:pPr>
            <w:r>
              <w:rPr>
                <w:rFonts w:eastAsiaTheme="minorEastAsia"/>
                <w:sz w:val="18"/>
                <w:szCs w:val="18"/>
                <w:lang w:bidi="ar"/>
              </w:rPr>
              <w:t>1</w:t>
            </w:r>
          </w:p>
        </w:tc>
        <w:tc>
          <w:tcPr>
            <w:tcW w:w="1920" w:type="dxa"/>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center"/>
          </w:tcPr>
          <w:p w14:paraId="6C32FDE8">
            <w:pPr>
              <w:rPr>
                <w:sz w:val="18"/>
                <w:szCs w:val="18"/>
              </w:rPr>
            </w:pPr>
          </w:p>
        </w:tc>
        <w:tc>
          <w:tcPr>
            <w:tcW w:w="780" w:type="dxa"/>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center"/>
          </w:tcPr>
          <w:p w14:paraId="7B43931B">
            <w:pPr>
              <w:rPr>
                <w:sz w:val="18"/>
                <w:szCs w:val="18"/>
              </w:rPr>
            </w:pPr>
          </w:p>
        </w:tc>
      </w:tr>
      <w:tr w14:paraId="4FB31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0" w:hRule="atLeast"/>
        </w:trPr>
        <w:tc>
          <w:tcPr>
            <w:tcW w:w="768"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4FC195AA">
            <w:pPr>
              <w:widowControl/>
              <w:spacing w:before="60" w:after="60"/>
              <w:jc w:val="center"/>
              <w:textAlignment w:val="center"/>
              <w:rPr>
                <w:bCs/>
                <w:sz w:val="18"/>
                <w:szCs w:val="18"/>
              </w:rPr>
            </w:pPr>
            <w:r>
              <w:rPr>
                <w:rFonts w:hint="eastAsia"/>
                <w:bCs/>
                <w:sz w:val="18"/>
                <w:szCs w:val="18"/>
              </w:rPr>
              <w:t>4.16</w:t>
            </w:r>
          </w:p>
        </w:tc>
        <w:tc>
          <w:tcPr>
            <w:tcW w:w="121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50978169">
            <w:pPr>
              <w:jc w:val="center"/>
              <w:rPr>
                <w:sz w:val="18"/>
                <w:szCs w:val="18"/>
              </w:rPr>
            </w:pPr>
            <w:r>
              <w:rPr>
                <w:rFonts w:hint="eastAsia"/>
                <w:sz w:val="18"/>
                <w:szCs w:val="18"/>
              </w:rPr>
              <w:t>防火封堵</w:t>
            </w:r>
          </w:p>
        </w:tc>
        <w:tc>
          <w:tcPr>
            <w:tcW w:w="70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5F4C6D23">
            <w:pPr>
              <w:jc w:val="center"/>
              <w:rPr>
                <w:sz w:val="18"/>
                <w:szCs w:val="18"/>
              </w:rPr>
            </w:pPr>
            <w:r>
              <w:rPr>
                <w:rFonts w:hint="eastAsia"/>
                <w:sz w:val="18"/>
                <w:szCs w:val="18"/>
              </w:rPr>
              <w:t>kg</w:t>
            </w:r>
          </w:p>
        </w:tc>
        <w:tc>
          <w:tcPr>
            <w:tcW w:w="222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1203C94F">
            <w:pPr>
              <w:widowControl/>
              <w:jc w:val="left"/>
              <w:rPr>
                <w:sz w:val="18"/>
                <w:szCs w:val="18"/>
              </w:rPr>
            </w:pPr>
          </w:p>
        </w:tc>
        <w:tc>
          <w:tcPr>
            <w:tcW w:w="70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364E9D43">
            <w:pPr>
              <w:jc w:val="center"/>
              <w:rPr>
                <w:rFonts w:eastAsiaTheme="minorEastAsia"/>
                <w:sz w:val="18"/>
                <w:szCs w:val="18"/>
              </w:rPr>
            </w:pPr>
            <w:r>
              <w:rPr>
                <w:rFonts w:eastAsiaTheme="minorEastAsia"/>
                <w:sz w:val="18"/>
                <w:szCs w:val="18"/>
              </w:rPr>
              <w:t>100</w:t>
            </w:r>
          </w:p>
        </w:tc>
        <w:tc>
          <w:tcPr>
            <w:tcW w:w="1920" w:type="dxa"/>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center"/>
          </w:tcPr>
          <w:p w14:paraId="00F3EAB6">
            <w:pPr>
              <w:rPr>
                <w:sz w:val="18"/>
                <w:szCs w:val="18"/>
              </w:rPr>
            </w:pPr>
          </w:p>
        </w:tc>
        <w:tc>
          <w:tcPr>
            <w:tcW w:w="780" w:type="dxa"/>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center"/>
          </w:tcPr>
          <w:p w14:paraId="287FF3A7">
            <w:pPr>
              <w:rPr>
                <w:sz w:val="18"/>
                <w:szCs w:val="18"/>
              </w:rPr>
            </w:pPr>
          </w:p>
        </w:tc>
      </w:tr>
      <w:tr w14:paraId="71F45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0" w:hRule="atLeast"/>
        </w:trPr>
        <w:tc>
          <w:tcPr>
            <w:tcW w:w="768"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24508250">
            <w:pPr>
              <w:widowControl/>
              <w:spacing w:before="60" w:after="60"/>
              <w:jc w:val="center"/>
              <w:textAlignment w:val="center"/>
              <w:rPr>
                <w:bCs/>
                <w:sz w:val="18"/>
                <w:szCs w:val="18"/>
              </w:rPr>
            </w:pPr>
            <w:r>
              <w:rPr>
                <w:rFonts w:hint="eastAsia"/>
                <w:bCs/>
                <w:sz w:val="18"/>
                <w:szCs w:val="18"/>
              </w:rPr>
              <w:t>4.17</w:t>
            </w:r>
          </w:p>
        </w:tc>
        <w:tc>
          <w:tcPr>
            <w:tcW w:w="121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3FA3EC43">
            <w:pPr>
              <w:jc w:val="center"/>
              <w:rPr>
                <w:sz w:val="18"/>
                <w:szCs w:val="18"/>
              </w:rPr>
            </w:pPr>
            <w:r>
              <w:rPr>
                <w:rFonts w:hint="eastAsia"/>
                <w:sz w:val="18"/>
                <w:szCs w:val="18"/>
              </w:rPr>
              <w:t>其他辅材</w:t>
            </w:r>
          </w:p>
        </w:tc>
        <w:tc>
          <w:tcPr>
            <w:tcW w:w="70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0EAB9ED5">
            <w:pPr>
              <w:jc w:val="center"/>
              <w:rPr>
                <w:sz w:val="18"/>
                <w:szCs w:val="18"/>
              </w:rPr>
            </w:pPr>
            <w:r>
              <w:rPr>
                <w:sz w:val="18"/>
                <w:szCs w:val="18"/>
              </w:rPr>
              <w:t>套</w:t>
            </w:r>
          </w:p>
        </w:tc>
        <w:tc>
          <w:tcPr>
            <w:tcW w:w="222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68F918B5">
            <w:pPr>
              <w:widowControl/>
              <w:jc w:val="left"/>
              <w:rPr>
                <w:sz w:val="18"/>
                <w:szCs w:val="18"/>
              </w:rPr>
            </w:pPr>
            <w:r>
              <w:rPr>
                <w:rFonts w:hint="eastAsia"/>
                <w:sz w:val="18"/>
                <w:szCs w:val="18"/>
              </w:rPr>
              <w:t>含施工辅材、波纹管、视频配电箱、线管、接地线等</w:t>
            </w:r>
          </w:p>
        </w:tc>
        <w:tc>
          <w:tcPr>
            <w:tcW w:w="70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3735D4F6">
            <w:pPr>
              <w:jc w:val="center"/>
              <w:rPr>
                <w:rFonts w:eastAsiaTheme="minorEastAsia"/>
                <w:sz w:val="18"/>
                <w:szCs w:val="18"/>
              </w:rPr>
            </w:pPr>
            <w:r>
              <w:rPr>
                <w:rFonts w:eastAsiaTheme="minorEastAsia"/>
                <w:sz w:val="18"/>
                <w:szCs w:val="18"/>
              </w:rPr>
              <w:t>1</w:t>
            </w:r>
          </w:p>
        </w:tc>
        <w:tc>
          <w:tcPr>
            <w:tcW w:w="1920" w:type="dxa"/>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center"/>
          </w:tcPr>
          <w:p w14:paraId="2737A8DA">
            <w:pPr>
              <w:rPr>
                <w:sz w:val="18"/>
                <w:szCs w:val="18"/>
              </w:rPr>
            </w:pPr>
          </w:p>
        </w:tc>
        <w:tc>
          <w:tcPr>
            <w:tcW w:w="780" w:type="dxa"/>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center"/>
          </w:tcPr>
          <w:p w14:paraId="1D55719D">
            <w:pPr>
              <w:rPr>
                <w:sz w:val="18"/>
                <w:szCs w:val="18"/>
              </w:rPr>
            </w:pPr>
          </w:p>
        </w:tc>
      </w:tr>
      <w:tr w14:paraId="190BF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0" w:hRule="atLeast"/>
        </w:trPr>
        <w:tc>
          <w:tcPr>
            <w:tcW w:w="768"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452B89F5">
            <w:pPr>
              <w:widowControl/>
              <w:spacing w:before="60" w:after="60"/>
              <w:jc w:val="center"/>
              <w:textAlignment w:val="center"/>
              <w:rPr>
                <w:bCs/>
                <w:sz w:val="18"/>
                <w:szCs w:val="18"/>
              </w:rPr>
            </w:pPr>
            <w:r>
              <w:rPr>
                <w:rFonts w:hint="eastAsia"/>
                <w:bCs/>
                <w:sz w:val="18"/>
                <w:szCs w:val="18"/>
              </w:rPr>
              <w:t>4.18</w:t>
            </w:r>
          </w:p>
        </w:tc>
        <w:tc>
          <w:tcPr>
            <w:tcW w:w="121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32585AA4">
            <w:pPr>
              <w:jc w:val="center"/>
              <w:rPr>
                <w:sz w:val="18"/>
                <w:szCs w:val="18"/>
              </w:rPr>
            </w:pPr>
            <w:r>
              <w:rPr>
                <w:rFonts w:hint="eastAsia"/>
                <w:sz w:val="18"/>
                <w:szCs w:val="18"/>
              </w:rPr>
              <w:t>分子系统调试</w:t>
            </w:r>
          </w:p>
        </w:tc>
        <w:tc>
          <w:tcPr>
            <w:tcW w:w="70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029A08DE">
            <w:pPr>
              <w:jc w:val="center"/>
              <w:rPr>
                <w:sz w:val="18"/>
                <w:szCs w:val="18"/>
              </w:rPr>
            </w:pPr>
            <w:r>
              <w:rPr>
                <w:sz w:val="18"/>
                <w:szCs w:val="18"/>
              </w:rPr>
              <w:t>个</w:t>
            </w:r>
          </w:p>
        </w:tc>
        <w:tc>
          <w:tcPr>
            <w:tcW w:w="222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6A52E478">
            <w:pPr>
              <w:widowControl/>
              <w:jc w:val="left"/>
              <w:rPr>
                <w:sz w:val="18"/>
                <w:szCs w:val="18"/>
              </w:rPr>
            </w:pPr>
            <w:r>
              <w:rPr>
                <w:rFonts w:hint="eastAsia"/>
                <w:sz w:val="18"/>
                <w:szCs w:val="18"/>
              </w:rPr>
              <w:t>智能监视、巡视及安全分系统调试</w:t>
            </w:r>
          </w:p>
        </w:tc>
        <w:tc>
          <w:tcPr>
            <w:tcW w:w="70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0913B5CD">
            <w:pPr>
              <w:jc w:val="center"/>
              <w:rPr>
                <w:rFonts w:eastAsiaTheme="minorEastAsia"/>
                <w:sz w:val="18"/>
                <w:szCs w:val="18"/>
              </w:rPr>
            </w:pPr>
            <w:r>
              <w:rPr>
                <w:rFonts w:hint="eastAsia" w:eastAsiaTheme="minorEastAsia"/>
                <w:sz w:val="18"/>
                <w:szCs w:val="18"/>
              </w:rPr>
              <w:t>3</w:t>
            </w:r>
          </w:p>
        </w:tc>
        <w:tc>
          <w:tcPr>
            <w:tcW w:w="1920" w:type="dxa"/>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center"/>
          </w:tcPr>
          <w:p w14:paraId="54323AA9">
            <w:pPr>
              <w:rPr>
                <w:sz w:val="18"/>
                <w:szCs w:val="18"/>
              </w:rPr>
            </w:pPr>
          </w:p>
        </w:tc>
        <w:tc>
          <w:tcPr>
            <w:tcW w:w="780" w:type="dxa"/>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center"/>
          </w:tcPr>
          <w:p w14:paraId="26014049">
            <w:pPr>
              <w:rPr>
                <w:sz w:val="18"/>
                <w:szCs w:val="18"/>
              </w:rPr>
            </w:pPr>
          </w:p>
        </w:tc>
      </w:tr>
      <w:tr w14:paraId="01AB8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0" w:hRule="atLeast"/>
        </w:trPr>
        <w:tc>
          <w:tcPr>
            <w:tcW w:w="768"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7A1C4973">
            <w:pPr>
              <w:widowControl/>
              <w:spacing w:before="60" w:after="60"/>
              <w:jc w:val="center"/>
              <w:textAlignment w:val="center"/>
              <w:rPr>
                <w:bCs/>
                <w:sz w:val="18"/>
                <w:szCs w:val="18"/>
              </w:rPr>
            </w:pPr>
            <w:r>
              <w:rPr>
                <w:rFonts w:hint="eastAsia"/>
                <w:bCs/>
                <w:sz w:val="18"/>
                <w:szCs w:val="18"/>
              </w:rPr>
              <w:t>5</w:t>
            </w:r>
          </w:p>
        </w:tc>
        <w:tc>
          <w:tcPr>
            <w:tcW w:w="121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2A3ABA9D">
            <w:pPr>
              <w:jc w:val="center"/>
              <w:rPr>
                <w:sz w:val="18"/>
                <w:szCs w:val="18"/>
              </w:rPr>
            </w:pPr>
            <w:r>
              <w:rPr>
                <w:rFonts w:hint="eastAsia"/>
                <w:sz w:val="18"/>
                <w:szCs w:val="18"/>
              </w:rPr>
              <w:t>数字孪生软件应用软件</w:t>
            </w:r>
          </w:p>
        </w:tc>
        <w:tc>
          <w:tcPr>
            <w:tcW w:w="70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2A15DA00">
            <w:pPr>
              <w:jc w:val="center"/>
              <w:rPr>
                <w:sz w:val="18"/>
                <w:szCs w:val="18"/>
              </w:rPr>
            </w:pPr>
          </w:p>
        </w:tc>
        <w:tc>
          <w:tcPr>
            <w:tcW w:w="222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2358F7FC">
            <w:pPr>
              <w:widowControl/>
              <w:jc w:val="left"/>
              <w:rPr>
                <w:sz w:val="18"/>
                <w:szCs w:val="18"/>
              </w:rPr>
            </w:pPr>
          </w:p>
        </w:tc>
        <w:tc>
          <w:tcPr>
            <w:tcW w:w="70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272E4B0D">
            <w:pPr>
              <w:jc w:val="center"/>
              <w:rPr>
                <w:rFonts w:eastAsiaTheme="minorEastAsia"/>
                <w:sz w:val="18"/>
                <w:szCs w:val="18"/>
              </w:rPr>
            </w:pPr>
          </w:p>
        </w:tc>
        <w:tc>
          <w:tcPr>
            <w:tcW w:w="1920" w:type="dxa"/>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center"/>
          </w:tcPr>
          <w:p w14:paraId="3601F6A8">
            <w:pPr>
              <w:rPr>
                <w:sz w:val="18"/>
                <w:szCs w:val="18"/>
              </w:rPr>
            </w:pPr>
          </w:p>
        </w:tc>
        <w:tc>
          <w:tcPr>
            <w:tcW w:w="780" w:type="dxa"/>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center"/>
          </w:tcPr>
          <w:p w14:paraId="04606912">
            <w:pPr>
              <w:rPr>
                <w:sz w:val="18"/>
                <w:szCs w:val="18"/>
              </w:rPr>
            </w:pPr>
          </w:p>
        </w:tc>
      </w:tr>
      <w:tr w14:paraId="5B9FF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0" w:hRule="atLeast"/>
        </w:trPr>
        <w:tc>
          <w:tcPr>
            <w:tcW w:w="768"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2CC48CD8">
            <w:pPr>
              <w:widowControl/>
              <w:spacing w:before="60" w:after="60"/>
              <w:jc w:val="center"/>
              <w:textAlignment w:val="center"/>
              <w:rPr>
                <w:bCs/>
                <w:sz w:val="18"/>
                <w:szCs w:val="18"/>
              </w:rPr>
            </w:pPr>
            <w:r>
              <w:rPr>
                <w:rFonts w:hint="eastAsia"/>
                <w:bCs/>
                <w:sz w:val="18"/>
                <w:szCs w:val="18"/>
              </w:rPr>
              <w:t>5</w:t>
            </w:r>
            <w:r>
              <w:rPr>
                <w:bCs/>
                <w:sz w:val="18"/>
                <w:szCs w:val="18"/>
              </w:rPr>
              <w:t>.1</w:t>
            </w:r>
          </w:p>
        </w:tc>
        <w:tc>
          <w:tcPr>
            <w:tcW w:w="121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0B5BF751">
            <w:pPr>
              <w:jc w:val="center"/>
              <w:rPr>
                <w:sz w:val="18"/>
                <w:szCs w:val="18"/>
              </w:rPr>
            </w:pPr>
            <w:r>
              <w:rPr>
                <w:rFonts w:hint="eastAsia" w:cs="Arial"/>
                <w:sz w:val="20"/>
                <w:szCs w:val="20"/>
              </w:rPr>
              <w:t>动态知识图谱</w:t>
            </w:r>
          </w:p>
        </w:tc>
        <w:tc>
          <w:tcPr>
            <w:tcW w:w="70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622B956C">
            <w:pPr>
              <w:jc w:val="center"/>
              <w:rPr>
                <w:sz w:val="18"/>
                <w:szCs w:val="18"/>
              </w:rPr>
            </w:pPr>
            <w:r>
              <w:rPr>
                <w:rFonts w:hint="eastAsia"/>
                <w:sz w:val="18"/>
                <w:szCs w:val="18"/>
              </w:rPr>
              <w:t>套</w:t>
            </w:r>
          </w:p>
        </w:tc>
        <w:tc>
          <w:tcPr>
            <w:tcW w:w="222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3D103683">
            <w:pPr>
              <w:widowControl/>
              <w:jc w:val="left"/>
              <w:rPr>
                <w:sz w:val="18"/>
                <w:szCs w:val="18"/>
              </w:rPr>
            </w:pPr>
            <w:r>
              <w:rPr>
                <w:rFonts w:hint="eastAsia"/>
                <w:sz w:val="18"/>
                <w:szCs w:val="18"/>
              </w:rPr>
              <w:t>含电气知识图谱应用、运检规程知识图谱应用、多模态知识融合的知识库构建及接入、本地大语言模型部署</w:t>
            </w:r>
          </w:p>
        </w:tc>
        <w:tc>
          <w:tcPr>
            <w:tcW w:w="70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3208171B">
            <w:pPr>
              <w:jc w:val="center"/>
              <w:rPr>
                <w:rFonts w:eastAsiaTheme="minorEastAsia"/>
                <w:sz w:val="18"/>
                <w:szCs w:val="18"/>
              </w:rPr>
            </w:pPr>
            <w:r>
              <w:rPr>
                <w:rFonts w:hint="eastAsia" w:eastAsiaTheme="minorEastAsia"/>
                <w:sz w:val="18"/>
                <w:szCs w:val="18"/>
              </w:rPr>
              <w:t>1</w:t>
            </w:r>
          </w:p>
        </w:tc>
        <w:tc>
          <w:tcPr>
            <w:tcW w:w="1920" w:type="dxa"/>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center"/>
          </w:tcPr>
          <w:p w14:paraId="7B6B46A3">
            <w:pPr>
              <w:rPr>
                <w:sz w:val="18"/>
                <w:szCs w:val="18"/>
              </w:rPr>
            </w:pPr>
          </w:p>
        </w:tc>
        <w:tc>
          <w:tcPr>
            <w:tcW w:w="780" w:type="dxa"/>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center"/>
          </w:tcPr>
          <w:p w14:paraId="5D81E7A1">
            <w:pPr>
              <w:rPr>
                <w:sz w:val="18"/>
                <w:szCs w:val="18"/>
              </w:rPr>
            </w:pPr>
          </w:p>
        </w:tc>
      </w:tr>
      <w:tr w14:paraId="47540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0" w:hRule="atLeast"/>
        </w:trPr>
        <w:tc>
          <w:tcPr>
            <w:tcW w:w="768"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2277FECF">
            <w:pPr>
              <w:widowControl/>
              <w:spacing w:before="60" w:after="60"/>
              <w:jc w:val="center"/>
              <w:textAlignment w:val="center"/>
              <w:rPr>
                <w:bCs/>
                <w:sz w:val="18"/>
                <w:szCs w:val="18"/>
              </w:rPr>
            </w:pPr>
            <w:r>
              <w:rPr>
                <w:bCs/>
                <w:sz w:val="18"/>
                <w:szCs w:val="18"/>
              </w:rPr>
              <w:t>5.2</w:t>
            </w:r>
          </w:p>
        </w:tc>
        <w:tc>
          <w:tcPr>
            <w:tcW w:w="121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70770185">
            <w:pPr>
              <w:jc w:val="center"/>
              <w:rPr>
                <w:sz w:val="18"/>
                <w:szCs w:val="18"/>
              </w:rPr>
            </w:pPr>
            <w:r>
              <w:rPr>
                <w:rFonts w:hint="eastAsia" w:cs="Arial"/>
                <w:sz w:val="20"/>
                <w:szCs w:val="20"/>
              </w:rPr>
              <w:t>换流站运行状态智能分析</w:t>
            </w:r>
          </w:p>
        </w:tc>
        <w:tc>
          <w:tcPr>
            <w:tcW w:w="70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20823F9B">
            <w:pPr>
              <w:jc w:val="center"/>
              <w:rPr>
                <w:sz w:val="18"/>
                <w:szCs w:val="18"/>
              </w:rPr>
            </w:pPr>
            <w:r>
              <w:rPr>
                <w:rFonts w:hint="eastAsia"/>
                <w:sz w:val="18"/>
                <w:szCs w:val="18"/>
              </w:rPr>
              <w:t>套</w:t>
            </w:r>
          </w:p>
        </w:tc>
        <w:tc>
          <w:tcPr>
            <w:tcW w:w="222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3FCEF38D">
            <w:pPr>
              <w:widowControl/>
              <w:jc w:val="left"/>
              <w:rPr>
                <w:sz w:val="18"/>
                <w:szCs w:val="18"/>
              </w:rPr>
            </w:pPr>
            <w:r>
              <w:rPr>
                <w:rFonts w:hint="eastAsia"/>
                <w:sz w:val="18"/>
                <w:szCs w:val="18"/>
              </w:rPr>
              <w:t>含一次设备智能分析算法开发与部署、系统健康状态评估应用开发与部署、多维度数据融合与主设备诊断高效数据库服务部署</w:t>
            </w:r>
          </w:p>
        </w:tc>
        <w:tc>
          <w:tcPr>
            <w:tcW w:w="70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016244B0">
            <w:pPr>
              <w:jc w:val="center"/>
              <w:rPr>
                <w:rFonts w:eastAsiaTheme="minorEastAsia"/>
                <w:sz w:val="18"/>
                <w:szCs w:val="18"/>
              </w:rPr>
            </w:pPr>
            <w:r>
              <w:rPr>
                <w:rFonts w:hint="eastAsia" w:eastAsiaTheme="minorEastAsia"/>
                <w:sz w:val="18"/>
                <w:szCs w:val="18"/>
              </w:rPr>
              <w:t>1</w:t>
            </w:r>
          </w:p>
        </w:tc>
        <w:tc>
          <w:tcPr>
            <w:tcW w:w="1920" w:type="dxa"/>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center"/>
          </w:tcPr>
          <w:p w14:paraId="31F1CCF6">
            <w:pPr>
              <w:rPr>
                <w:sz w:val="18"/>
                <w:szCs w:val="18"/>
              </w:rPr>
            </w:pPr>
          </w:p>
        </w:tc>
        <w:tc>
          <w:tcPr>
            <w:tcW w:w="780" w:type="dxa"/>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center"/>
          </w:tcPr>
          <w:p w14:paraId="2450B59D">
            <w:pPr>
              <w:rPr>
                <w:sz w:val="18"/>
                <w:szCs w:val="18"/>
              </w:rPr>
            </w:pPr>
          </w:p>
        </w:tc>
      </w:tr>
      <w:tr w14:paraId="49D55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0" w:hRule="atLeast"/>
        </w:trPr>
        <w:tc>
          <w:tcPr>
            <w:tcW w:w="768"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7DD75BD2">
            <w:pPr>
              <w:widowControl/>
              <w:spacing w:before="60" w:after="60"/>
              <w:jc w:val="center"/>
              <w:textAlignment w:val="center"/>
              <w:rPr>
                <w:bCs/>
                <w:sz w:val="18"/>
                <w:szCs w:val="18"/>
              </w:rPr>
            </w:pPr>
            <w:r>
              <w:rPr>
                <w:rFonts w:hint="eastAsia"/>
                <w:bCs/>
                <w:sz w:val="18"/>
                <w:szCs w:val="18"/>
              </w:rPr>
              <w:t>5</w:t>
            </w:r>
            <w:r>
              <w:rPr>
                <w:bCs/>
                <w:sz w:val="18"/>
                <w:szCs w:val="18"/>
              </w:rPr>
              <w:t>.3</w:t>
            </w:r>
          </w:p>
        </w:tc>
        <w:tc>
          <w:tcPr>
            <w:tcW w:w="121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49EA81B9">
            <w:pPr>
              <w:jc w:val="center"/>
              <w:rPr>
                <w:sz w:val="18"/>
                <w:szCs w:val="18"/>
              </w:rPr>
            </w:pPr>
            <w:r>
              <w:rPr>
                <w:rFonts w:hint="eastAsia" w:cs="Arial"/>
                <w:sz w:val="20"/>
                <w:szCs w:val="20"/>
              </w:rPr>
              <w:t>集成部署与数据对接</w:t>
            </w:r>
          </w:p>
        </w:tc>
        <w:tc>
          <w:tcPr>
            <w:tcW w:w="70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447F688E">
            <w:pPr>
              <w:jc w:val="center"/>
              <w:rPr>
                <w:sz w:val="18"/>
                <w:szCs w:val="18"/>
              </w:rPr>
            </w:pPr>
            <w:r>
              <w:rPr>
                <w:rFonts w:hint="eastAsia"/>
                <w:sz w:val="18"/>
                <w:szCs w:val="18"/>
              </w:rPr>
              <w:t>套</w:t>
            </w:r>
          </w:p>
        </w:tc>
        <w:tc>
          <w:tcPr>
            <w:tcW w:w="222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66DADAF6">
            <w:pPr>
              <w:widowControl/>
              <w:jc w:val="left"/>
              <w:rPr>
                <w:sz w:val="18"/>
                <w:szCs w:val="18"/>
              </w:rPr>
            </w:pPr>
            <w:r>
              <w:rPr>
                <w:rFonts w:hint="eastAsia"/>
                <w:sz w:val="18"/>
                <w:szCs w:val="18"/>
              </w:rPr>
              <w:t>含一次主设备数字孪生模型前端应用开发、全站数字化子系统监测点配置、数据对接及应用集成</w:t>
            </w:r>
          </w:p>
        </w:tc>
        <w:tc>
          <w:tcPr>
            <w:tcW w:w="700" w:type="dxa"/>
            <w:tcBorders>
              <w:top w:val="single" w:color="auto" w:sz="4" w:space="0"/>
              <w:left w:val="single" w:color="auto" w:sz="4" w:space="0"/>
              <w:bottom w:val="single" w:color="auto" w:sz="4" w:space="0"/>
              <w:right w:val="single" w:color="auto" w:sz="4" w:space="0"/>
            </w:tcBorders>
            <w:shd w:val="clear" w:color="auto" w:fill="auto"/>
            <w:tcMar>
              <w:top w:w="10" w:type="dxa"/>
              <w:left w:w="10" w:type="dxa"/>
              <w:right w:w="10" w:type="dxa"/>
            </w:tcMar>
            <w:vAlign w:val="center"/>
          </w:tcPr>
          <w:p w14:paraId="750F053A">
            <w:pPr>
              <w:jc w:val="center"/>
              <w:rPr>
                <w:rFonts w:eastAsiaTheme="minorEastAsia"/>
                <w:sz w:val="18"/>
                <w:szCs w:val="18"/>
              </w:rPr>
            </w:pPr>
            <w:r>
              <w:rPr>
                <w:rFonts w:hint="eastAsia" w:eastAsiaTheme="minorEastAsia"/>
                <w:sz w:val="18"/>
                <w:szCs w:val="18"/>
              </w:rPr>
              <w:t>1</w:t>
            </w:r>
          </w:p>
        </w:tc>
        <w:tc>
          <w:tcPr>
            <w:tcW w:w="1920" w:type="dxa"/>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center"/>
          </w:tcPr>
          <w:p w14:paraId="5C48778E">
            <w:pPr>
              <w:rPr>
                <w:sz w:val="18"/>
                <w:szCs w:val="18"/>
              </w:rPr>
            </w:pPr>
          </w:p>
        </w:tc>
        <w:tc>
          <w:tcPr>
            <w:tcW w:w="780" w:type="dxa"/>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center"/>
          </w:tcPr>
          <w:p w14:paraId="631F7B98">
            <w:pPr>
              <w:rPr>
                <w:sz w:val="18"/>
                <w:szCs w:val="18"/>
              </w:rPr>
            </w:pPr>
          </w:p>
        </w:tc>
      </w:tr>
    </w:tbl>
    <w:p w14:paraId="196FA9F9">
      <w:pPr>
        <w:adjustRightInd w:val="0"/>
        <w:snapToGrid w:val="0"/>
        <w:spacing w:line="360" w:lineRule="auto"/>
        <w:rPr>
          <w:szCs w:val="21"/>
        </w:rPr>
      </w:pPr>
      <w:r>
        <w:rPr>
          <w:szCs w:val="21"/>
        </w:rPr>
        <w:br w:type="textWrapping" w:clear="all"/>
      </w:r>
    </w:p>
    <w:p w14:paraId="6BD88614">
      <w:pPr>
        <w:adjustRightInd w:val="0"/>
        <w:snapToGrid w:val="0"/>
        <w:spacing w:line="360" w:lineRule="auto"/>
        <w:rPr>
          <w:b/>
          <w:bCs/>
          <w:szCs w:val="21"/>
        </w:rPr>
      </w:pPr>
      <w:r>
        <w:rPr>
          <w:rFonts w:hint="eastAsia"/>
          <w:b/>
          <w:bCs/>
          <w:szCs w:val="21"/>
        </w:rPr>
        <w:t>备注：投标方提供的主材性能参数不应低于表2.2.1中要求的性能指标。</w:t>
      </w:r>
      <w:r>
        <w:rPr>
          <w:rFonts w:hint="eastAsia" w:ascii="宋体" w:hAnsi="宋体" w:cs="宋体"/>
          <w:b/>
          <w:bCs/>
          <w:szCs w:val="21"/>
        </w:rPr>
        <w:t>投标方负责提供保证主材发挥功能的配</w:t>
      </w:r>
      <w:r>
        <w:rPr>
          <w:rFonts w:hint="eastAsia" w:ascii="宋体" w:hAnsi="宋体" w:cs="宋体"/>
          <w:b/>
          <w:bCs/>
          <w:szCs w:val="21"/>
          <w:highlight w:val="none"/>
        </w:rPr>
        <w:t>件、辅材及安装、试验工具；以上配置方案供投标方参考，实际以审定的方案为准。其中，设备部署包含电气相关设备及箱体等安装、电缆敷设、接线及调试、标签标示、封堵接地等工作，不包含土建相关管槽预埋及配套开孔、箱体预埋及配套开孔、柜体基础预制、预埋及开孔修复等工作。</w:t>
      </w:r>
    </w:p>
    <w:p w14:paraId="6C9C9830">
      <w:pPr>
        <w:adjustRightInd w:val="0"/>
        <w:snapToGrid w:val="0"/>
        <w:spacing w:line="360" w:lineRule="auto"/>
        <w:rPr>
          <w:szCs w:val="21"/>
        </w:rPr>
      </w:pPr>
      <w:r>
        <w:rPr>
          <w:rFonts w:hint="eastAsia"/>
          <w:szCs w:val="21"/>
        </w:rPr>
        <w:t>2.3.3</w:t>
      </w:r>
      <w:r>
        <w:rPr>
          <w:szCs w:val="21"/>
        </w:rPr>
        <w:t>现场安装和试验</w:t>
      </w:r>
      <w:r>
        <w:rPr>
          <w:rFonts w:hint="eastAsia"/>
          <w:szCs w:val="21"/>
        </w:rPr>
        <w:t>、调试</w:t>
      </w:r>
      <w:r>
        <w:rPr>
          <w:szCs w:val="21"/>
        </w:rPr>
        <w:t>由</w:t>
      </w:r>
      <w:r>
        <w:rPr>
          <w:rFonts w:hint="eastAsia"/>
          <w:szCs w:val="21"/>
        </w:rPr>
        <w:t>投</w:t>
      </w:r>
      <w:r>
        <w:rPr>
          <w:szCs w:val="21"/>
        </w:rPr>
        <w:t>标方完成</w:t>
      </w:r>
      <w:r>
        <w:rPr>
          <w:rFonts w:hint="eastAsia"/>
          <w:szCs w:val="21"/>
        </w:rPr>
        <w:t>，</w:t>
      </w:r>
      <w:r>
        <w:rPr>
          <w:szCs w:val="21"/>
        </w:rPr>
        <w:t>投标方协助招标方按标准检查安装质量, 处理调试投运过程中出现的问题，并提供备品、备件，做好销售服务工作。投标方应选派有经验的技术人员，对安装和运行人员免费培训。安装督导的工作范围及人数和天数等规定详见标书商务部分。</w:t>
      </w:r>
    </w:p>
    <w:p w14:paraId="4E874B12">
      <w:pPr>
        <w:adjustRightInd w:val="0"/>
        <w:snapToGrid w:val="0"/>
        <w:spacing w:line="360" w:lineRule="auto"/>
        <w:rPr>
          <w:szCs w:val="21"/>
        </w:rPr>
      </w:pPr>
      <w:r>
        <w:rPr>
          <w:rFonts w:hint="eastAsia"/>
          <w:szCs w:val="21"/>
        </w:rPr>
        <w:t>2.3.4</w:t>
      </w:r>
      <w:r>
        <w:rPr>
          <w:szCs w:val="21"/>
        </w:rPr>
        <w:t>投标方应协助招标方解决设备运行中出现的问题。</w:t>
      </w:r>
    </w:p>
    <w:p w14:paraId="3757BF17">
      <w:pPr>
        <w:widowControl/>
        <w:spacing w:line="360" w:lineRule="auto"/>
        <w:jc w:val="left"/>
        <w:rPr>
          <w:szCs w:val="21"/>
        </w:rPr>
      </w:pPr>
      <w:r>
        <w:rPr>
          <w:rFonts w:hint="eastAsia"/>
          <w:szCs w:val="21"/>
        </w:rPr>
        <w:t>2.3.5</w:t>
      </w:r>
      <w:r>
        <w:rPr>
          <w:szCs w:val="21"/>
        </w:rPr>
        <w:t>设备安装、调试和性能试验合格后方可投运。设备投运并稳定运行后，投标方和招标方（业主）双方应根据相关法律、法规和公司管理制度签署合同设备的验收证明书。该证明书共两份，双方各执一份。</w:t>
      </w:r>
    </w:p>
    <w:p w14:paraId="3C4AAF1F">
      <w:pPr>
        <w:widowControl/>
        <w:spacing w:line="360" w:lineRule="auto"/>
        <w:jc w:val="left"/>
      </w:pPr>
      <w:r>
        <w:rPr>
          <w:rFonts w:hint="eastAsia"/>
        </w:rPr>
        <w:t>2.3.6</w:t>
      </w:r>
      <w:r>
        <w:t>如果安装、调试、性能试验、试运行及质保期内技术指标一项或多项不能满足合同技术部分要求，买卖双方共同分析原因，分清责任，如属制造方面的原因，或涉及索赔部分，按商务部分有关条款执行。</w:t>
      </w:r>
    </w:p>
    <w:p w14:paraId="182D02F8">
      <w:pPr>
        <w:widowControl/>
        <w:spacing w:line="360" w:lineRule="auto"/>
        <w:jc w:val="left"/>
        <w:rPr>
          <w:szCs w:val="21"/>
        </w:rPr>
      </w:pPr>
      <w:r>
        <w:rPr>
          <w:rFonts w:hint="eastAsia"/>
          <w:szCs w:val="21"/>
        </w:rPr>
        <w:t>2.3.7验收要求。投标方所供应硬件设备应符合技术标准，并完成现场安装调试，系统功能应满足技术规范书与招标方验收整改要求，试运行</w:t>
      </w:r>
      <w:r>
        <w:rPr>
          <w:szCs w:val="21"/>
        </w:rPr>
        <w:t>1</w:t>
      </w:r>
      <w:r>
        <w:rPr>
          <w:rFonts w:hint="eastAsia"/>
          <w:szCs w:val="21"/>
        </w:rPr>
        <w:t>个月无异常。</w:t>
      </w:r>
    </w:p>
    <w:p w14:paraId="11D79B3E">
      <w:pPr>
        <w:widowControl/>
        <w:spacing w:line="360" w:lineRule="auto"/>
        <w:jc w:val="left"/>
        <w:rPr>
          <w:szCs w:val="21"/>
        </w:rPr>
      </w:pPr>
      <w:r>
        <w:rPr>
          <w:rFonts w:hint="eastAsia"/>
          <w:szCs w:val="21"/>
        </w:rPr>
        <w:t>2.3.8后期服务要求。验收合格后进入质保期，质保期内投标方应指定联系人，在接到维修通知后需在24小时内响应，72小时内到场。</w:t>
      </w:r>
    </w:p>
    <w:p w14:paraId="176B6760">
      <w:pPr>
        <w:widowControl/>
        <w:spacing w:line="360" w:lineRule="auto"/>
        <w:jc w:val="left"/>
      </w:pPr>
      <w:r>
        <w:rPr>
          <w:rFonts w:hint="eastAsia"/>
        </w:rPr>
        <w:t>2.3.9所提供二次设备（包括主机、服务器、网络设备、网络安全设备等），应配置网口锁、USB口锁，对所有未使用的端口进行物理封堵；所供系统所有网线、光跳线应有清晰标签，标明起点、终点、用途；投标方所提供系统应满足南网反措要求，安装南网指定控件，实现移动介质管控。</w:t>
      </w:r>
    </w:p>
    <w:p w14:paraId="0E699D27">
      <w:pPr>
        <w:widowControl/>
        <w:spacing w:line="360" w:lineRule="auto"/>
        <w:jc w:val="left"/>
      </w:pPr>
      <w:r>
        <w:rPr>
          <w:rFonts w:hint="eastAsia"/>
        </w:rPr>
        <w:t>2.3.10 电缆敷设要求满足南方电网《变电站电气火灾防控技术要求》最新要求。电缆应选用A类阻燃电缆或耐火电缆。</w:t>
      </w:r>
    </w:p>
    <w:p w14:paraId="04BE9B64">
      <w:pPr>
        <w:widowControl/>
        <w:spacing w:line="360" w:lineRule="auto"/>
        <w:jc w:val="left"/>
      </w:pPr>
      <w:r>
        <w:rPr>
          <w:rFonts w:hint="eastAsia"/>
        </w:rPr>
        <w:t>2.3.11 网络安全防护要求：</w:t>
      </w:r>
    </w:p>
    <w:p w14:paraId="1F5C03FA">
      <w:pPr>
        <w:widowControl/>
        <w:numPr>
          <w:ilvl w:val="0"/>
          <w:numId w:val="4"/>
        </w:numPr>
        <w:spacing w:line="360" w:lineRule="auto"/>
        <w:jc w:val="left"/>
        <w:rPr>
          <w:rFonts w:ascii="宋体" w:hAnsi="宋体" w:cs="宋体"/>
          <w:szCs w:val="21"/>
        </w:rPr>
      </w:pPr>
      <w:r>
        <w:rPr>
          <w:rFonts w:hint="eastAsia" w:ascii="宋体" w:hAnsi="宋体" w:cs="宋体"/>
          <w:szCs w:val="21"/>
        </w:rPr>
        <w:t>系统功能应满足《电力二次系统安全防护技术规范》《南方电网二次系统安全防护业务指导书》《南方电网网络安全管理办法》《南方电网互联网应用管理办法》《南方电网智能电网电力监控系统网络安全防护技术导则》最新发布版本和南方电网反措的相关要求。投标方应在验收前提供《广州局电力监控系统网络安全管理业务指导书》中附件E、F、G（《附录E （再）并网网络安全管控表单》《附录F 电力监控系统资产清册》《附录G 电力监控系统网络安全互联图册》），且应保证系统按照《IT直流设备安全基线技术规范》完成配置后，系统仍可正常运行。</w:t>
      </w:r>
    </w:p>
    <w:p w14:paraId="28114D96">
      <w:pPr>
        <w:widowControl/>
        <w:numPr>
          <w:ilvl w:val="0"/>
          <w:numId w:val="4"/>
        </w:numPr>
        <w:spacing w:line="360" w:lineRule="auto"/>
        <w:jc w:val="left"/>
      </w:pPr>
      <w:r>
        <w:rPr>
          <w:rFonts w:hint="eastAsia"/>
        </w:rPr>
        <w:t>各安全区网线颜色要求如下：</w:t>
      </w:r>
    </w:p>
    <w:tbl>
      <w:tblPr>
        <w:tblStyle w:val="32"/>
        <w:tblW w:w="4620" w:type="dxa"/>
        <w:tblInd w:w="18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85"/>
        <w:gridCol w:w="2235"/>
      </w:tblGrid>
      <w:tr w14:paraId="180E4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85" w:type="dxa"/>
            <w:shd w:val="clear" w:color="auto" w:fill="D7D7D7" w:themeFill="background1" w:themeFillShade="D8"/>
            <w:vAlign w:val="center"/>
          </w:tcPr>
          <w:p w14:paraId="3ADA3D13">
            <w:pPr>
              <w:widowControl/>
              <w:spacing w:before="60" w:after="60"/>
              <w:jc w:val="center"/>
              <w:rPr>
                <w:b/>
                <w:bCs/>
              </w:rPr>
            </w:pPr>
            <w:r>
              <w:rPr>
                <w:rFonts w:hint="eastAsia"/>
                <w:b/>
                <w:bCs/>
              </w:rPr>
              <w:t>安全分区</w:t>
            </w:r>
          </w:p>
        </w:tc>
        <w:tc>
          <w:tcPr>
            <w:tcW w:w="2235" w:type="dxa"/>
            <w:shd w:val="clear" w:color="auto" w:fill="D7D7D7" w:themeFill="background1" w:themeFillShade="D8"/>
            <w:vAlign w:val="center"/>
          </w:tcPr>
          <w:p w14:paraId="6165C39D">
            <w:pPr>
              <w:widowControl/>
              <w:spacing w:before="60" w:after="60"/>
              <w:jc w:val="center"/>
              <w:rPr>
                <w:b/>
                <w:bCs/>
              </w:rPr>
            </w:pPr>
            <w:r>
              <w:rPr>
                <w:rFonts w:hint="eastAsia"/>
                <w:b/>
                <w:bCs/>
              </w:rPr>
              <w:t>网线颜色</w:t>
            </w:r>
          </w:p>
        </w:tc>
      </w:tr>
      <w:tr w14:paraId="70574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85" w:type="dxa"/>
            <w:vAlign w:val="center"/>
          </w:tcPr>
          <w:p w14:paraId="763A2A42">
            <w:pPr>
              <w:widowControl/>
              <w:spacing w:before="60" w:after="60"/>
              <w:jc w:val="center"/>
            </w:pPr>
            <w:r>
              <w:rPr>
                <w:rFonts w:hint="eastAsia"/>
              </w:rPr>
              <w:t>安全I区</w:t>
            </w:r>
          </w:p>
        </w:tc>
        <w:tc>
          <w:tcPr>
            <w:tcW w:w="2235" w:type="dxa"/>
            <w:vAlign w:val="center"/>
          </w:tcPr>
          <w:p w14:paraId="30741506">
            <w:pPr>
              <w:widowControl/>
              <w:spacing w:before="60" w:after="60"/>
              <w:jc w:val="center"/>
            </w:pPr>
            <w:r>
              <w:rPr>
                <w:rFonts w:hint="eastAsia"/>
              </w:rPr>
              <w:t>红色网线</w:t>
            </w:r>
          </w:p>
        </w:tc>
      </w:tr>
      <w:tr w14:paraId="3001B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85" w:type="dxa"/>
            <w:vAlign w:val="center"/>
          </w:tcPr>
          <w:p w14:paraId="5E9183C5">
            <w:pPr>
              <w:widowControl/>
              <w:spacing w:before="60" w:after="60"/>
              <w:jc w:val="center"/>
            </w:pPr>
            <w:r>
              <w:rPr>
                <w:rFonts w:hint="eastAsia"/>
              </w:rPr>
              <w:t>安全II区</w:t>
            </w:r>
          </w:p>
        </w:tc>
        <w:tc>
          <w:tcPr>
            <w:tcW w:w="2235" w:type="dxa"/>
            <w:vAlign w:val="center"/>
          </w:tcPr>
          <w:p w14:paraId="0F790000">
            <w:pPr>
              <w:widowControl/>
              <w:spacing w:before="60" w:after="60"/>
              <w:jc w:val="center"/>
            </w:pPr>
            <w:r>
              <w:rPr>
                <w:rFonts w:hint="eastAsia"/>
              </w:rPr>
              <w:t>黄色网线</w:t>
            </w:r>
          </w:p>
        </w:tc>
      </w:tr>
      <w:tr w14:paraId="7EA50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85" w:type="dxa"/>
            <w:vAlign w:val="center"/>
          </w:tcPr>
          <w:p w14:paraId="4C85BE89">
            <w:pPr>
              <w:widowControl/>
              <w:spacing w:before="60" w:after="60"/>
              <w:jc w:val="center"/>
            </w:pPr>
            <w:r>
              <w:rPr>
                <w:rFonts w:hint="eastAsia"/>
              </w:rPr>
              <w:t>安全III区</w:t>
            </w:r>
          </w:p>
        </w:tc>
        <w:tc>
          <w:tcPr>
            <w:tcW w:w="2235" w:type="dxa"/>
            <w:vAlign w:val="center"/>
          </w:tcPr>
          <w:p w14:paraId="41EB6596">
            <w:pPr>
              <w:widowControl/>
              <w:spacing w:before="60" w:after="60"/>
              <w:jc w:val="center"/>
            </w:pPr>
            <w:r>
              <w:rPr>
                <w:rFonts w:hint="eastAsia"/>
              </w:rPr>
              <w:t>绿色网线</w:t>
            </w:r>
          </w:p>
        </w:tc>
      </w:tr>
    </w:tbl>
    <w:p w14:paraId="1B1DE750">
      <w:pPr>
        <w:widowControl/>
        <w:numPr>
          <w:ilvl w:val="0"/>
          <w:numId w:val="4"/>
        </w:numPr>
        <w:spacing w:line="360" w:lineRule="auto"/>
        <w:jc w:val="left"/>
      </w:pPr>
      <w:r>
        <w:rPr>
          <w:rFonts w:hint="eastAsia"/>
        </w:rPr>
        <w:t>主机操作系统应采用自主可控的操作系统。</w:t>
      </w:r>
    </w:p>
    <w:p w14:paraId="653FAC52">
      <w:pPr>
        <w:widowControl/>
        <w:numPr>
          <w:ilvl w:val="0"/>
          <w:numId w:val="4"/>
        </w:numPr>
        <w:spacing w:line="360" w:lineRule="auto"/>
        <w:jc w:val="left"/>
      </w:pPr>
      <w:r>
        <w:rPr>
          <w:rFonts w:hint="eastAsia"/>
        </w:rPr>
        <w:t>网络安全防护设备应采用支持SM2等国家密码局批准的国产密码产品。</w:t>
      </w:r>
    </w:p>
    <w:p w14:paraId="56C2B1D6">
      <w:pPr>
        <w:widowControl/>
        <w:numPr>
          <w:ilvl w:val="0"/>
          <w:numId w:val="4"/>
        </w:numPr>
        <w:spacing w:line="360" w:lineRule="auto"/>
        <w:jc w:val="left"/>
      </w:pPr>
      <w:r>
        <w:rPr>
          <w:rFonts w:hint="eastAsia"/>
        </w:rPr>
        <w:t>本网络及应用系统等均应满足等级保护二级系统的信息网络安全要求，以及南方电网公司网络安全合规库要求。系统软件需配合本体工程同步进行入网安排、等保测评工作。</w:t>
      </w:r>
    </w:p>
    <w:p w14:paraId="062D35BD">
      <w:pPr>
        <w:widowControl/>
        <w:numPr>
          <w:ilvl w:val="0"/>
          <w:numId w:val="4"/>
        </w:numPr>
        <w:spacing w:line="360" w:lineRule="auto"/>
        <w:jc w:val="left"/>
      </w:pPr>
      <w:r>
        <w:rPr>
          <w:rFonts w:hint="eastAsia"/>
        </w:rPr>
        <w:t>支持采用加密或其他有效措施实现系统管理数据、鉴别信息和重要业务数据传输与存储的保密性，提供数据本地备份与恢复功能以及异地周期备份功能。</w:t>
      </w:r>
    </w:p>
    <w:p w14:paraId="0F7342B8">
      <w:pPr>
        <w:widowControl/>
        <w:numPr>
          <w:ilvl w:val="0"/>
          <w:numId w:val="4"/>
        </w:numPr>
        <w:spacing w:line="360" w:lineRule="auto"/>
        <w:jc w:val="left"/>
        <w:rPr>
          <w:highlight w:val="none"/>
        </w:rPr>
      </w:pPr>
      <w:r>
        <w:rPr>
          <w:rFonts w:hint="eastAsia"/>
        </w:rPr>
        <w:t>投标方在技术服务期间，应严格遵守国家、行业、公司等相关规定，若因投标方原因对招标方造成不良影响的（如违反相关规定、受到口头批评、受书面通报、被考核扣分等），投标方需承担一定</w:t>
      </w:r>
      <w:r>
        <w:rPr>
          <w:rFonts w:hint="eastAsia"/>
          <w:highlight w:val="none"/>
        </w:rPr>
        <w:t>经济责任，具体见合同规定。</w:t>
      </w:r>
    </w:p>
    <w:p w14:paraId="53D34304">
      <w:pPr>
        <w:widowControl/>
        <w:spacing w:line="360" w:lineRule="auto"/>
        <w:jc w:val="left"/>
        <w:rPr>
          <w:szCs w:val="21"/>
        </w:rPr>
      </w:pPr>
      <w:r>
        <w:rPr>
          <w:rFonts w:hint="eastAsia"/>
          <w:szCs w:val="21"/>
          <w:highlight w:val="none"/>
        </w:rPr>
        <w:t>2.3.12投标方确保供货范围完整，满足招标方对</w:t>
      </w:r>
      <w:r>
        <w:rPr>
          <w:rFonts w:hint="eastAsia"/>
          <w:highlight w:val="none"/>
          <w:lang w:eastAsia="zh-CN"/>
        </w:rPr>
        <w:t>广东电网220kV天河棠下柔直背靠背工程数字孪生应用及智能运维系统工程设计施工总承包</w:t>
      </w:r>
      <w:r>
        <w:rPr>
          <w:rFonts w:hint="eastAsia"/>
          <w:szCs w:val="21"/>
          <w:highlight w:val="none"/>
        </w:rPr>
        <w:t>相</w:t>
      </w:r>
      <w:r>
        <w:rPr>
          <w:rFonts w:hint="eastAsia"/>
          <w:szCs w:val="21"/>
        </w:rPr>
        <w:t>关硬件、软件的安装、调试、运行和设备性能的要求，并提供保证设备安装、调试、投运相关的技术服务和配合。</w:t>
      </w:r>
    </w:p>
    <w:p w14:paraId="6ABED6CE">
      <w:pPr>
        <w:widowControl/>
        <w:spacing w:line="360" w:lineRule="auto"/>
        <w:jc w:val="left"/>
        <w:rPr>
          <w:szCs w:val="21"/>
        </w:rPr>
      </w:pPr>
      <w:r>
        <w:rPr>
          <w:rFonts w:hint="eastAsia"/>
          <w:szCs w:val="21"/>
        </w:rPr>
        <w:t>2.3.13 从生产厂家至换流站的运输全部由投标方完成。</w:t>
      </w:r>
    </w:p>
    <w:p w14:paraId="36437B52">
      <w:pPr>
        <w:widowControl/>
        <w:spacing w:line="360" w:lineRule="auto"/>
        <w:jc w:val="left"/>
        <w:rPr>
          <w:szCs w:val="21"/>
        </w:rPr>
      </w:pPr>
      <w:r>
        <w:rPr>
          <w:rFonts w:hint="eastAsia"/>
          <w:szCs w:val="21"/>
        </w:rPr>
        <w:t>2.3.14 投标方应在生产前就现场供货具体事宜与招标方进行有效沟通。</w:t>
      </w:r>
    </w:p>
    <w:p w14:paraId="55DED480">
      <w:pPr>
        <w:widowControl/>
        <w:spacing w:line="360" w:lineRule="auto"/>
        <w:jc w:val="left"/>
        <w:rPr>
          <w:szCs w:val="21"/>
        </w:rPr>
      </w:pPr>
      <w:r>
        <w:rPr>
          <w:rFonts w:hint="eastAsia"/>
          <w:szCs w:val="21"/>
        </w:rPr>
        <w:t>2.3.15 投标方在项目现场的代表称为投标方的现场代表。在产品进行现场使用前，投标方应提供现场代表名单、资质，供招标方认可。</w:t>
      </w:r>
    </w:p>
    <w:p w14:paraId="608B18ED">
      <w:pPr>
        <w:widowControl/>
        <w:spacing w:line="360" w:lineRule="auto"/>
        <w:jc w:val="left"/>
        <w:rPr>
          <w:szCs w:val="21"/>
        </w:rPr>
      </w:pPr>
      <w:r>
        <w:rPr>
          <w:rFonts w:hint="eastAsia"/>
          <w:szCs w:val="21"/>
        </w:rPr>
        <w:t>2.3.16 投标方的现场代表应为本公司内部人员，且具备相应的经验，负责平台和人员定位系统现场安装、调试、巡检、维修、保养等工作，解决合同设备制造及性能等方面的有关问题，及解答合同范围内招标方提出的问题。投标方应指定现场首席代表，其作为投标方的全权代表，应具有整个项目的代表权和决定权，招标方与首席代表的一切联系均应视为是与投标方的直接联系。在现场验收期间，应有至少一名现场代表留在现场。</w:t>
      </w:r>
    </w:p>
    <w:p w14:paraId="5348218D">
      <w:pPr>
        <w:widowControl/>
        <w:spacing w:line="360" w:lineRule="auto"/>
        <w:jc w:val="left"/>
        <w:rPr>
          <w:szCs w:val="21"/>
        </w:rPr>
      </w:pPr>
      <w:r>
        <w:rPr>
          <w:rFonts w:hint="eastAsia"/>
          <w:szCs w:val="21"/>
        </w:rPr>
        <w:t>2.3.17 招标方认为现场代表的服务不能满足项目需要时，投标方应及时提出替代的现场代表供招标方认可，投标方承担由此引起的一切费用。因投标方原因而使现场服务的时间和人员数量增加，所引起的一切费用由投标方承担。</w:t>
      </w:r>
    </w:p>
    <w:p w14:paraId="113BF5D1">
      <w:pPr>
        <w:widowControl/>
        <w:spacing w:line="360" w:lineRule="auto"/>
        <w:jc w:val="left"/>
        <w:rPr>
          <w:szCs w:val="21"/>
        </w:rPr>
      </w:pPr>
      <w:r>
        <w:rPr>
          <w:rFonts w:hint="eastAsia"/>
          <w:szCs w:val="21"/>
        </w:rPr>
        <w:t>2.3.18调试期间，投标方应安排不少于两组人员轮流进行现场调试，并提供用于调试的软硬件，所引起的一切费用由投标方承担。</w:t>
      </w:r>
    </w:p>
    <w:p w14:paraId="481CBD2D">
      <w:pPr>
        <w:pStyle w:val="4"/>
      </w:pPr>
      <w:bookmarkStart w:id="35" w:name="_Toc226110470"/>
      <w:bookmarkStart w:id="36" w:name="_Toc84839225"/>
      <w:r>
        <w:rPr>
          <w:rFonts w:hint="eastAsia"/>
        </w:rPr>
        <w:t>应遵循的主要标准</w:t>
      </w:r>
      <w:bookmarkEnd w:id="35"/>
      <w:bookmarkEnd w:id="36"/>
    </w:p>
    <w:p w14:paraId="11923307">
      <w:pPr>
        <w:pStyle w:val="49"/>
        <w:adjustRightInd w:val="0"/>
        <w:snapToGrid w:val="0"/>
        <w:spacing w:line="360" w:lineRule="auto"/>
        <w:rPr>
          <w:rFonts w:eastAsia="宋体" w:cs="Times New Roman"/>
          <w:szCs w:val="21"/>
        </w:rPr>
      </w:pPr>
      <w:r>
        <w:rPr>
          <w:rFonts w:eastAsia="宋体" w:cs="Times New Roman"/>
          <w:szCs w:val="21"/>
        </w:rPr>
        <w:t>除本标书特殊规定外, 投标方所提供的设备均按规定的标准和规程的最新版本进行设计、制造、试验和安装。如果这些标准内容有矛盾时, 应按最高标准的条款执行或按双方商定的标准执行。如果投标方选用本标书规定以外的标准时, 则需提交这种替换标准供审查和分析。仅在投标方已证明替换标准相当或优于标书规定的标准, 并从招标方处获得书面的认可才能使用。提交供审查的标准应为中文或英文版本。主要引用标准如下：</w:t>
      </w:r>
    </w:p>
    <w:tbl>
      <w:tblPr>
        <w:tblStyle w:val="31"/>
        <w:tblW w:w="8500" w:type="dxa"/>
        <w:tblInd w:w="1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6"/>
        <w:gridCol w:w="2584"/>
        <w:gridCol w:w="5200"/>
      </w:tblGrid>
      <w:tr w14:paraId="2A36D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6" w:type="dxa"/>
            <w:vAlign w:val="center"/>
          </w:tcPr>
          <w:p w14:paraId="30BC588E">
            <w:pPr>
              <w:spacing w:line="360" w:lineRule="auto"/>
              <w:rPr>
                <w:rFonts w:asciiTheme="minorEastAsia" w:hAnsiTheme="minorEastAsia" w:eastAsiaTheme="minorEastAsia"/>
                <w:kern w:val="0"/>
                <w:szCs w:val="21"/>
              </w:rPr>
            </w:pPr>
            <w:r>
              <w:rPr>
                <w:rFonts w:hint="eastAsia" w:asciiTheme="minorEastAsia" w:hAnsiTheme="minorEastAsia" w:eastAsiaTheme="minorEastAsia"/>
                <w:kern w:val="0"/>
                <w:szCs w:val="21"/>
              </w:rPr>
              <w:t>序号</w:t>
            </w:r>
          </w:p>
        </w:tc>
        <w:tc>
          <w:tcPr>
            <w:tcW w:w="2584" w:type="dxa"/>
            <w:vAlign w:val="center"/>
          </w:tcPr>
          <w:p w14:paraId="449DFE3A">
            <w:pPr>
              <w:spacing w:line="360" w:lineRule="auto"/>
              <w:rPr>
                <w:rFonts w:asciiTheme="minorEastAsia" w:hAnsiTheme="minorEastAsia" w:eastAsiaTheme="minorEastAsia"/>
                <w:kern w:val="0"/>
                <w:szCs w:val="21"/>
              </w:rPr>
            </w:pPr>
            <w:r>
              <w:rPr>
                <w:rFonts w:hint="eastAsia" w:asciiTheme="minorEastAsia" w:hAnsiTheme="minorEastAsia" w:eastAsiaTheme="minorEastAsia"/>
                <w:kern w:val="0"/>
                <w:szCs w:val="21"/>
              </w:rPr>
              <w:t>标准号</w:t>
            </w:r>
          </w:p>
        </w:tc>
        <w:tc>
          <w:tcPr>
            <w:tcW w:w="5200" w:type="dxa"/>
            <w:vAlign w:val="center"/>
          </w:tcPr>
          <w:p w14:paraId="7C2ECB36">
            <w:pPr>
              <w:spacing w:line="360" w:lineRule="auto"/>
              <w:rPr>
                <w:rFonts w:asciiTheme="minorEastAsia" w:hAnsiTheme="minorEastAsia" w:eastAsiaTheme="minorEastAsia"/>
                <w:kern w:val="0"/>
                <w:szCs w:val="21"/>
              </w:rPr>
            </w:pPr>
            <w:r>
              <w:rPr>
                <w:rFonts w:hint="eastAsia" w:asciiTheme="minorEastAsia" w:hAnsiTheme="minorEastAsia" w:eastAsiaTheme="minorEastAsia"/>
                <w:kern w:val="0"/>
                <w:szCs w:val="21"/>
              </w:rPr>
              <w:t>标准名称</w:t>
            </w:r>
          </w:p>
        </w:tc>
      </w:tr>
      <w:tr w14:paraId="65B93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6" w:type="dxa"/>
            <w:vAlign w:val="center"/>
          </w:tcPr>
          <w:p w14:paraId="14C22947">
            <w:pPr>
              <w:spacing w:line="360" w:lineRule="auto"/>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1</w:t>
            </w:r>
          </w:p>
        </w:tc>
        <w:tc>
          <w:tcPr>
            <w:tcW w:w="2584" w:type="dxa"/>
            <w:vAlign w:val="center"/>
          </w:tcPr>
          <w:p w14:paraId="77B6487B">
            <w:pPr>
              <w:spacing w:line="360" w:lineRule="auto"/>
              <w:rPr>
                <w:rFonts w:asciiTheme="minorEastAsia" w:hAnsiTheme="minorEastAsia" w:eastAsiaTheme="minorEastAsia"/>
                <w:kern w:val="0"/>
                <w:szCs w:val="21"/>
              </w:rPr>
            </w:pPr>
            <w:r>
              <w:rPr>
                <w:rFonts w:asciiTheme="minorEastAsia" w:hAnsiTheme="minorEastAsia" w:eastAsiaTheme="minorEastAsia"/>
                <w:kern w:val="0"/>
                <w:szCs w:val="21"/>
              </w:rPr>
              <w:t>电监信息[2012]62号</w:t>
            </w:r>
          </w:p>
        </w:tc>
        <w:tc>
          <w:tcPr>
            <w:tcW w:w="5200" w:type="dxa"/>
            <w:vAlign w:val="center"/>
          </w:tcPr>
          <w:p w14:paraId="27077FA9">
            <w:pPr>
              <w:spacing w:line="360" w:lineRule="auto"/>
              <w:rPr>
                <w:rFonts w:asciiTheme="minorEastAsia" w:hAnsiTheme="minorEastAsia" w:eastAsiaTheme="minorEastAsia"/>
                <w:kern w:val="0"/>
                <w:szCs w:val="21"/>
              </w:rPr>
            </w:pPr>
            <w:r>
              <w:rPr>
                <w:rFonts w:asciiTheme="minorEastAsia" w:hAnsiTheme="minorEastAsia" w:eastAsiaTheme="minorEastAsia"/>
                <w:kern w:val="0"/>
                <w:szCs w:val="21"/>
              </w:rPr>
              <w:t>电力行业信息系统安全等级保护基本要求</w:t>
            </w:r>
          </w:p>
        </w:tc>
      </w:tr>
      <w:tr w14:paraId="1E472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6" w:type="dxa"/>
            <w:vAlign w:val="center"/>
          </w:tcPr>
          <w:p w14:paraId="0E4B41DF">
            <w:pPr>
              <w:spacing w:line="360" w:lineRule="auto"/>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2</w:t>
            </w:r>
          </w:p>
        </w:tc>
        <w:tc>
          <w:tcPr>
            <w:tcW w:w="2584" w:type="dxa"/>
            <w:vAlign w:val="center"/>
          </w:tcPr>
          <w:p w14:paraId="782AD110">
            <w:pPr>
              <w:spacing w:line="360" w:lineRule="auto"/>
              <w:rPr>
                <w:rFonts w:asciiTheme="minorEastAsia" w:hAnsiTheme="minorEastAsia" w:eastAsiaTheme="minorEastAsia"/>
                <w:kern w:val="0"/>
                <w:szCs w:val="21"/>
              </w:rPr>
            </w:pPr>
            <w:r>
              <w:rPr>
                <w:rFonts w:asciiTheme="minorEastAsia" w:hAnsiTheme="minorEastAsia" w:eastAsiaTheme="minorEastAsia"/>
                <w:kern w:val="0"/>
                <w:szCs w:val="21"/>
              </w:rPr>
              <w:t>国家发改委[2024]27 号令</w:t>
            </w:r>
          </w:p>
        </w:tc>
        <w:tc>
          <w:tcPr>
            <w:tcW w:w="5200" w:type="dxa"/>
            <w:vAlign w:val="center"/>
          </w:tcPr>
          <w:p w14:paraId="1DA356D7">
            <w:pPr>
              <w:spacing w:line="360" w:lineRule="auto"/>
              <w:rPr>
                <w:rFonts w:asciiTheme="minorEastAsia" w:hAnsiTheme="minorEastAsia" w:eastAsiaTheme="minorEastAsia"/>
                <w:kern w:val="0"/>
                <w:szCs w:val="21"/>
              </w:rPr>
            </w:pPr>
            <w:r>
              <w:rPr>
                <w:rFonts w:asciiTheme="minorEastAsia" w:hAnsiTheme="minorEastAsia" w:eastAsiaTheme="minorEastAsia"/>
                <w:kern w:val="0"/>
                <w:szCs w:val="21"/>
              </w:rPr>
              <w:t>电力监控系统安全防护规定</w:t>
            </w:r>
          </w:p>
        </w:tc>
      </w:tr>
      <w:tr w14:paraId="28DFC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6" w:type="dxa"/>
            <w:vAlign w:val="center"/>
          </w:tcPr>
          <w:p w14:paraId="2B63872E">
            <w:pPr>
              <w:spacing w:line="360" w:lineRule="auto"/>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3</w:t>
            </w:r>
          </w:p>
        </w:tc>
        <w:tc>
          <w:tcPr>
            <w:tcW w:w="2584" w:type="dxa"/>
            <w:vAlign w:val="center"/>
          </w:tcPr>
          <w:p w14:paraId="2445C8CD">
            <w:pPr>
              <w:spacing w:line="360" w:lineRule="auto"/>
              <w:rPr>
                <w:rFonts w:asciiTheme="minorEastAsia" w:hAnsiTheme="minorEastAsia" w:eastAsiaTheme="minorEastAsia"/>
                <w:kern w:val="0"/>
                <w:szCs w:val="21"/>
              </w:rPr>
            </w:pPr>
            <w:r>
              <w:rPr>
                <w:rFonts w:asciiTheme="minorEastAsia" w:hAnsiTheme="minorEastAsia" w:eastAsiaTheme="minorEastAsia"/>
                <w:kern w:val="0"/>
                <w:szCs w:val="21"/>
              </w:rPr>
              <w:t>国能安全[2015]36 号</w:t>
            </w:r>
          </w:p>
        </w:tc>
        <w:tc>
          <w:tcPr>
            <w:tcW w:w="5200" w:type="dxa"/>
            <w:vAlign w:val="center"/>
          </w:tcPr>
          <w:p w14:paraId="24353931">
            <w:pPr>
              <w:spacing w:line="360" w:lineRule="auto"/>
              <w:rPr>
                <w:rFonts w:asciiTheme="minorEastAsia" w:hAnsiTheme="minorEastAsia" w:eastAsiaTheme="minorEastAsia"/>
                <w:kern w:val="0"/>
                <w:szCs w:val="21"/>
              </w:rPr>
            </w:pPr>
            <w:r>
              <w:rPr>
                <w:rFonts w:asciiTheme="minorEastAsia" w:hAnsiTheme="minorEastAsia" w:eastAsiaTheme="minorEastAsia"/>
                <w:kern w:val="0"/>
                <w:szCs w:val="21"/>
              </w:rPr>
              <w:t>电力监控系统安全防护总体方案</w:t>
            </w:r>
          </w:p>
        </w:tc>
      </w:tr>
      <w:tr w14:paraId="2DD7C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6" w:type="dxa"/>
            <w:vAlign w:val="center"/>
          </w:tcPr>
          <w:p w14:paraId="2B3C3154">
            <w:pPr>
              <w:spacing w:line="360" w:lineRule="auto"/>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4</w:t>
            </w:r>
          </w:p>
        </w:tc>
        <w:tc>
          <w:tcPr>
            <w:tcW w:w="2584" w:type="dxa"/>
            <w:vAlign w:val="center"/>
          </w:tcPr>
          <w:p w14:paraId="3F3D2C1F">
            <w:pPr>
              <w:spacing w:line="360" w:lineRule="auto"/>
              <w:rPr>
                <w:rFonts w:asciiTheme="minorEastAsia" w:hAnsiTheme="minorEastAsia" w:eastAsiaTheme="minorEastAsia"/>
                <w:kern w:val="0"/>
                <w:szCs w:val="21"/>
              </w:rPr>
            </w:pPr>
            <w:r>
              <w:rPr>
                <w:rFonts w:asciiTheme="minorEastAsia" w:hAnsiTheme="minorEastAsia" w:eastAsiaTheme="minorEastAsia"/>
                <w:kern w:val="0"/>
                <w:szCs w:val="21"/>
              </w:rPr>
              <w:t>GB/T 22239—2019</w:t>
            </w:r>
          </w:p>
        </w:tc>
        <w:tc>
          <w:tcPr>
            <w:tcW w:w="5200" w:type="dxa"/>
            <w:vAlign w:val="center"/>
          </w:tcPr>
          <w:p w14:paraId="28D27B7A">
            <w:pPr>
              <w:spacing w:line="360" w:lineRule="auto"/>
              <w:rPr>
                <w:rFonts w:asciiTheme="minorEastAsia" w:hAnsiTheme="minorEastAsia" w:eastAsiaTheme="minorEastAsia"/>
                <w:kern w:val="0"/>
                <w:szCs w:val="21"/>
              </w:rPr>
            </w:pPr>
            <w:r>
              <w:rPr>
                <w:rFonts w:asciiTheme="minorEastAsia" w:hAnsiTheme="minorEastAsia" w:eastAsiaTheme="minorEastAsia"/>
                <w:kern w:val="0"/>
                <w:szCs w:val="21"/>
              </w:rPr>
              <w:t>信息安全技术网络安全等级保护基本要求</w:t>
            </w:r>
          </w:p>
        </w:tc>
      </w:tr>
      <w:tr w14:paraId="6A4A5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6" w:type="dxa"/>
            <w:vAlign w:val="center"/>
          </w:tcPr>
          <w:p w14:paraId="49BF77BE">
            <w:pPr>
              <w:spacing w:line="360" w:lineRule="auto"/>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5</w:t>
            </w:r>
          </w:p>
        </w:tc>
        <w:tc>
          <w:tcPr>
            <w:tcW w:w="2584" w:type="dxa"/>
            <w:vAlign w:val="center"/>
          </w:tcPr>
          <w:p w14:paraId="5161841F">
            <w:pPr>
              <w:spacing w:line="360" w:lineRule="auto"/>
              <w:rPr>
                <w:rFonts w:asciiTheme="minorEastAsia" w:hAnsiTheme="minorEastAsia" w:eastAsiaTheme="minorEastAsia"/>
                <w:kern w:val="0"/>
                <w:szCs w:val="21"/>
              </w:rPr>
            </w:pPr>
            <w:r>
              <w:rPr>
                <w:rFonts w:asciiTheme="minorEastAsia" w:hAnsiTheme="minorEastAsia" w:eastAsiaTheme="minorEastAsia"/>
                <w:kern w:val="0"/>
                <w:szCs w:val="21"/>
              </w:rPr>
              <w:t>GB/T 28181—2016</w:t>
            </w:r>
          </w:p>
        </w:tc>
        <w:tc>
          <w:tcPr>
            <w:tcW w:w="5200" w:type="dxa"/>
            <w:vAlign w:val="center"/>
          </w:tcPr>
          <w:p w14:paraId="251679C5">
            <w:pPr>
              <w:spacing w:line="360" w:lineRule="auto"/>
              <w:rPr>
                <w:rFonts w:asciiTheme="minorEastAsia" w:hAnsiTheme="minorEastAsia" w:eastAsiaTheme="minorEastAsia"/>
                <w:kern w:val="0"/>
                <w:szCs w:val="21"/>
              </w:rPr>
            </w:pPr>
            <w:r>
              <w:rPr>
                <w:rFonts w:asciiTheme="minorEastAsia" w:hAnsiTheme="minorEastAsia" w:eastAsiaTheme="minorEastAsia"/>
                <w:kern w:val="0"/>
                <w:szCs w:val="21"/>
              </w:rPr>
              <w:t>公共安全视频监控联网系统信息传输、交换、控制技术要求</w:t>
            </w:r>
          </w:p>
        </w:tc>
      </w:tr>
      <w:tr w14:paraId="30E4D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6" w:type="dxa"/>
            <w:vAlign w:val="center"/>
          </w:tcPr>
          <w:p w14:paraId="404FEE8F">
            <w:pPr>
              <w:spacing w:line="360" w:lineRule="auto"/>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6</w:t>
            </w:r>
          </w:p>
        </w:tc>
        <w:tc>
          <w:tcPr>
            <w:tcW w:w="2584" w:type="dxa"/>
            <w:vAlign w:val="center"/>
          </w:tcPr>
          <w:p w14:paraId="557FAD27">
            <w:pPr>
              <w:spacing w:line="360" w:lineRule="auto"/>
              <w:rPr>
                <w:rFonts w:asciiTheme="minorEastAsia" w:hAnsiTheme="minorEastAsia" w:eastAsiaTheme="minorEastAsia"/>
                <w:kern w:val="0"/>
                <w:szCs w:val="21"/>
              </w:rPr>
            </w:pPr>
            <w:r>
              <w:rPr>
                <w:rFonts w:asciiTheme="minorEastAsia" w:hAnsiTheme="minorEastAsia" w:eastAsiaTheme="minorEastAsia"/>
                <w:kern w:val="0"/>
                <w:szCs w:val="21"/>
              </w:rPr>
              <w:t>GB/T 33745—2017</w:t>
            </w:r>
          </w:p>
        </w:tc>
        <w:tc>
          <w:tcPr>
            <w:tcW w:w="5200" w:type="dxa"/>
            <w:vAlign w:val="center"/>
          </w:tcPr>
          <w:p w14:paraId="1E229CC4">
            <w:pPr>
              <w:spacing w:line="360" w:lineRule="auto"/>
              <w:rPr>
                <w:rFonts w:asciiTheme="minorEastAsia" w:hAnsiTheme="minorEastAsia" w:eastAsiaTheme="minorEastAsia"/>
                <w:kern w:val="0"/>
                <w:szCs w:val="21"/>
              </w:rPr>
            </w:pPr>
            <w:r>
              <w:rPr>
                <w:rFonts w:asciiTheme="minorEastAsia" w:hAnsiTheme="minorEastAsia" w:eastAsiaTheme="minorEastAsia"/>
                <w:kern w:val="0"/>
                <w:szCs w:val="21"/>
              </w:rPr>
              <w:t>物联网术语</w:t>
            </w:r>
          </w:p>
        </w:tc>
      </w:tr>
      <w:tr w14:paraId="25740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6" w:type="dxa"/>
            <w:vAlign w:val="center"/>
          </w:tcPr>
          <w:p w14:paraId="57423388">
            <w:pPr>
              <w:spacing w:line="360" w:lineRule="auto"/>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7</w:t>
            </w:r>
          </w:p>
        </w:tc>
        <w:tc>
          <w:tcPr>
            <w:tcW w:w="2584" w:type="dxa"/>
            <w:vAlign w:val="center"/>
          </w:tcPr>
          <w:p w14:paraId="21BFC2B2">
            <w:pPr>
              <w:spacing w:line="360" w:lineRule="auto"/>
              <w:rPr>
                <w:rFonts w:asciiTheme="minorEastAsia" w:hAnsiTheme="minorEastAsia" w:eastAsiaTheme="minorEastAsia"/>
                <w:kern w:val="0"/>
                <w:szCs w:val="21"/>
              </w:rPr>
            </w:pPr>
            <w:r>
              <w:rPr>
                <w:rFonts w:asciiTheme="minorEastAsia" w:hAnsiTheme="minorEastAsia" w:eastAsiaTheme="minorEastAsia"/>
                <w:kern w:val="0"/>
                <w:szCs w:val="21"/>
              </w:rPr>
              <w:t>GB/T 35319—2017</w:t>
            </w:r>
          </w:p>
        </w:tc>
        <w:tc>
          <w:tcPr>
            <w:tcW w:w="5200" w:type="dxa"/>
            <w:vAlign w:val="center"/>
          </w:tcPr>
          <w:p w14:paraId="549CFBC8">
            <w:pPr>
              <w:spacing w:line="360" w:lineRule="auto"/>
              <w:rPr>
                <w:rFonts w:asciiTheme="minorEastAsia" w:hAnsiTheme="minorEastAsia" w:eastAsiaTheme="minorEastAsia"/>
                <w:kern w:val="0"/>
                <w:szCs w:val="21"/>
              </w:rPr>
            </w:pPr>
            <w:r>
              <w:rPr>
                <w:rFonts w:asciiTheme="minorEastAsia" w:hAnsiTheme="minorEastAsia" w:eastAsiaTheme="minorEastAsia"/>
                <w:kern w:val="0"/>
                <w:szCs w:val="21"/>
              </w:rPr>
              <w:t>物联网系统接口要求</w:t>
            </w:r>
          </w:p>
        </w:tc>
      </w:tr>
      <w:tr w14:paraId="469A9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6" w:type="dxa"/>
            <w:vAlign w:val="center"/>
          </w:tcPr>
          <w:p w14:paraId="7064200B">
            <w:pPr>
              <w:spacing w:line="360" w:lineRule="auto"/>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8</w:t>
            </w:r>
          </w:p>
        </w:tc>
        <w:tc>
          <w:tcPr>
            <w:tcW w:w="2584" w:type="dxa"/>
            <w:vAlign w:val="center"/>
          </w:tcPr>
          <w:p w14:paraId="4C2E4958">
            <w:pPr>
              <w:spacing w:line="360" w:lineRule="auto"/>
              <w:rPr>
                <w:rFonts w:asciiTheme="minorEastAsia" w:hAnsiTheme="minorEastAsia" w:eastAsiaTheme="minorEastAsia"/>
                <w:kern w:val="0"/>
                <w:szCs w:val="21"/>
              </w:rPr>
            </w:pPr>
            <w:r>
              <w:rPr>
                <w:rFonts w:asciiTheme="minorEastAsia" w:hAnsiTheme="minorEastAsia" w:eastAsiaTheme="minorEastAsia"/>
                <w:kern w:val="0"/>
                <w:szCs w:val="21"/>
              </w:rPr>
              <w:t>GB/T 36478.1—2018</w:t>
            </w:r>
          </w:p>
        </w:tc>
        <w:tc>
          <w:tcPr>
            <w:tcW w:w="5200" w:type="dxa"/>
            <w:vAlign w:val="center"/>
          </w:tcPr>
          <w:p w14:paraId="26C09ED8">
            <w:pPr>
              <w:spacing w:line="360" w:lineRule="auto"/>
              <w:rPr>
                <w:rFonts w:asciiTheme="minorEastAsia" w:hAnsiTheme="minorEastAsia" w:eastAsiaTheme="minorEastAsia"/>
                <w:kern w:val="0"/>
                <w:szCs w:val="21"/>
              </w:rPr>
            </w:pPr>
            <w:r>
              <w:rPr>
                <w:rFonts w:asciiTheme="minorEastAsia" w:hAnsiTheme="minorEastAsia" w:eastAsiaTheme="minorEastAsia"/>
                <w:kern w:val="0"/>
                <w:szCs w:val="21"/>
              </w:rPr>
              <w:t>物联网信息交换和共享第1 部分：总体架构</w:t>
            </w:r>
          </w:p>
        </w:tc>
      </w:tr>
      <w:tr w14:paraId="4BAE1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6" w:type="dxa"/>
            <w:vAlign w:val="center"/>
          </w:tcPr>
          <w:p w14:paraId="32C10501">
            <w:pPr>
              <w:spacing w:line="360" w:lineRule="auto"/>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9</w:t>
            </w:r>
          </w:p>
        </w:tc>
        <w:tc>
          <w:tcPr>
            <w:tcW w:w="2584" w:type="dxa"/>
            <w:vAlign w:val="center"/>
          </w:tcPr>
          <w:p w14:paraId="31E9C909">
            <w:pPr>
              <w:spacing w:line="360" w:lineRule="auto"/>
              <w:rPr>
                <w:rFonts w:asciiTheme="minorEastAsia" w:hAnsiTheme="minorEastAsia" w:eastAsiaTheme="minorEastAsia"/>
                <w:kern w:val="0"/>
                <w:szCs w:val="21"/>
              </w:rPr>
            </w:pPr>
            <w:r>
              <w:rPr>
                <w:rFonts w:asciiTheme="minorEastAsia" w:hAnsiTheme="minorEastAsia" w:eastAsiaTheme="minorEastAsia"/>
                <w:kern w:val="0"/>
                <w:szCs w:val="21"/>
              </w:rPr>
              <w:t>GB/T 36478.2—2018</w:t>
            </w:r>
          </w:p>
        </w:tc>
        <w:tc>
          <w:tcPr>
            <w:tcW w:w="5200" w:type="dxa"/>
            <w:vAlign w:val="center"/>
          </w:tcPr>
          <w:p w14:paraId="70D237A8">
            <w:pPr>
              <w:spacing w:line="360" w:lineRule="auto"/>
              <w:rPr>
                <w:rFonts w:asciiTheme="minorEastAsia" w:hAnsiTheme="minorEastAsia" w:eastAsiaTheme="minorEastAsia"/>
                <w:kern w:val="0"/>
                <w:szCs w:val="21"/>
              </w:rPr>
            </w:pPr>
            <w:r>
              <w:rPr>
                <w:rFonts w:asciiTheme="minorEastAsia" w:hAnsiTheme="minorEastAsia" w:eastAsiaTheme="minorEastAsia"/>
                <w:kern w:val="0"/>
                <w:szCs w:val="21"/>
              </w:rPr>
              <w:t>物联网信息交换和共享第2 部分：通用技术要求</w:t>
            </w:r>
          </w:p>
        </w:tc>
      </w:tr>
      <w:tr w14:paraId="3DD6A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6" w:type="dxa"/>
            <w:vAlign w:val="center"/>
          </w:tcPr>
          <w:p w14:paraId="718CCB83">
            <w:pPr>
              <w:spacing w:line="360" w:lineRule="auto"/>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10</w:t>
            </w:r>
          </w:p>
        </w:tc>
        <w:tc>
          <w:tcPr>
            <w:tcW w:w="2584" w:type="dxa"/>
            <w:vAlign w:val="center"/>
          </w:tcPr>
          <w:p w14:paraId="416852EE">
            <w:pPr>
              <w:spacing w:line="360" w:lineRule="auto"/>
              <w:rPr>
                <w:rFonts w:asciiTheme="minorEastAsia" w:hAnsiTheme="minorEastAsia" w:eastAsiaTheme="minorEastAsia"/>
                <w:kern w:val="0"/>
                <w:szCs w:val="21"/>
              </w:rPr>
            </w:pPr>
            <w:r>
              <w:rPr>
                <w:rFonts w:asciiTheme="minorEastAsia" w:hAnsiTheme="minorEastAsia" w:eastAsiaTheme="minorEastAsia"/>
                <w:kern w:val="0"/>
                <w:szCs w:val="21"/>
              </w:rPr>
              <w:t>GB 50348-2004</w:t>
            </w:r>
          </w:p>
        </w:tc>
        <w:tc>
          <w:tcPr>
            <w:tcW w:w="5200" w:type="dxa"/>
            <w:vAlign w:val="center"/>
          </w:tcPr>
          <w:p w14:paraId="5A42557E">
            <w:pPr>
              <w:spacing w:line="360" w:lineRule="auto"/>
              <w:rPr>
                <w:rFonts w:asciiTheme="minorEastAsia" w:hAnsiTheme="minorEastAsia" w:eastAsiaTheme="minorEastAsia"/>
                <w:kern w:val="0"/>
                <w:szCs w:val="21"/>
              </w:rPr>
            </w:pPr>
            <w:r>
              <w:rPr>
                <w:rFonts w:asciiTheme="minorEastAsia" w:hAnsiTheme="minorEastAsia" w:eastAsiaTheme="minorEastAsia"/>
                <w:kern w:val="0"/>
                <w:szCs w:val="21"/>
              </w:rPr>
              <w:t>安全防范工程技术规范</w:t>
            </w:r>
          </w:p>
        </w:tc>
      </w:tr>
      <w:tr w14:paraId="09EE1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6" w:type="dxa"/>
            <w:vAlign w:val="center"/>
          </w:tcPr>
          <w:p w14:paraId="6E8D95D5">
            <w:pPr>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11</w:t>
            </w:r>
          </w:p>
        </w:tc>
        <w:tc>
          <w:tcPr>
            <w:tcW w:w="2584" w:type="dxa"/>
            <w:vAlign w:val="center"/>
          </w:tcPr>
          <w:p w14:paraId="48B9FE92">
            <w:pPr>
              <w:spacing w:line="360" w:lineRule="auto"/>
              <w:rPr>
                <w:rFonts w:asciiTheme="minorEastAsia" w:hAnsiTheme="minorEastAsia" w:eastAsiaTheme="minorEastAsia"/>
                <w:kern w:val="0"/>
                <w:szCs w:val="21"/>
              </w:rPr>
            </w:pPr>
            <w:r>
              <w:rPr>
                <w:rFonts w:asciiTheme="minorEastAsia" w:hAnsiTheme="minorEastAsia" w:eastAsiaTheme="minorEastAsia"/>
                <w:szCs w:val="21"/>
              </w:rPr>
              <w:t>Q_CSG1210050-2020</w:t>
            </w:r>
          </w:p>
        </w:tc>
        <w:tc>
          <w:tcPr>
            <w:tcW w:w="5200" w:type="dxa"/>
            <w:vAlign w:val="center"/>
          </w:tcPr>
          <w:p w14:paraId="2267F9FD">
            <w:pPr>
              <w:spacing w:line="360" w:lineRule="auto"/>
              <w:rPr>
                <w:rFonts w:asciiTheme="minorEastAsia" w:hAnsiTheme="minorEastAsia" w:eastAsiaTheme="minorEastAsia"/>
                <w:kern w:val="0"/>
                <w:szCs w:val="21"/>
              </w:rPr>
            </w:pPr>
            <w:r>
              <w:rPr>
                <w:rFonts w:asciiTheme="minorEastAsia" w:hAnsiTheme="minorEastAsia" w:eastAsiaTheme="minorEastAsia"/>
                <w:kern w:val="0"/>
                <w:szCs w:val="21"/>
              </w:rPr>
              <w:t>南方电网电力全域物联网平台接入技术规范</w:t>
            </w:r>
          </w:p>
        </w:tc>
      </w:tr>
      <w:tr w14:paraId="4D77F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6" w:type="dxa"/>
            <w:vAlign w:val="center"/>
          </w:tcPr>
          <w:p w14:paraId="0DB44C99">
            <w:pPr>
              <w:spacing w:line="360" w:lineRule="auto"/>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12</w:t>
            </w:r>
          </w:p>
        </w:tc>
        <w:tc>
          <w:tcPr>
            <w:tcW w:w="2584" w:type="dxa"/>
            <w:vAlign w:val="center"/>
          </w:tcPr>
          <w:p w14:paraId="58EB3557">
            <w:pPr>
              <w:spacing w:line="360" w:lineRule="auto"/>
              <w:rPr>
                <w:rFonts w:asciiTheme="minorEastAsia" w:hAnsiTheme="minorEastAsia" w:eastAsiaTheme="minorEastAsia"/>
                <w:kern w:val="0"/>
                <w:szCs w:val="21"/>
              </w:rPr>
            </w:pPr>
            <w:r>
              <w:rPr>
                <w:rFonts w:asciiTheme="minorEastAsia" w:hAnsiTheme="minorEastAsia" w:eastAsiaTheme="minorEastAsia"/>
                <w:kern w:val="0"/>
                <w:szCs w:val="21"/>
              </w:rPr>
              <w:t>Q/CSG 1204009-2015</w:t>
            </w:r>
          </w:p>
        </w:tc>
        <w:tc>
          <w:tcPr>
            <w:tcW w:w="5200" w:type="dxa"/>
            <w:vAlign w:val="center"/>
          </w:tcPr>
          <w:p w14:paraId="526A2771">
            <w:pPr>
              <w:spacing w:line="360" w:lineRule="auto"/>
              <w:rPr>
                <w:rFonts w:asciiTheme="minorEastAsia" w:hAnsiTheme="minorEastAsia" w:eastAsiaTheme="minorEastAsia"/>
                <w:kern w:val="0"/>
                <w:szCs w:val="21"/>
              </w:rPr>
            </w:pPr>
            <w:r>
              <w:rPr>
                <w:rFonts w:asciiTheme="minorEastAsia" w:hAnsiTheme="minorEastAsia" w:eastAsiaTheme="minorEastAsia"/>
                <w:kern w:val="0"/>
                <w:szCs w:val="21"/>
              </w:rPr>
              <w:t>中国南方电网电力监控系统安全防护技术规范</w:t>
            </w:r>
          </w:p>
        </w:tc>
      </w:tr>
      <w:tr w14:paraId="23D9D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6" w:type="dxa"/>
            <w:vAlign w:val="center"/>
          </w:tcPr>
          <w:p w14:paraId="0E21E003">
            <w:pPr>
              <w:spacing w:line="360" w:lineRule="auto"/>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13</w:t>
            </w:r>
          </w:p>
        </w:tc>
        <w:tc>
          <w:tcPr>
            <w:tcW w:w="2584" w:type="dxa"/>
            <w:vAlign w:val="center"/>
          </w:tcPr>
          <w:p w14:paraId="449B89F0">
            <w:pPr>
              <w:spacing w:line="360" w:lineRule="auto"/>
              <w:rPr>
                <w:rFonts w:asciiTheme="minorEastAsia" w:hAnsiTheme="minorEastAsia" w:eastAsiaTheme="minorEastAsia"/>
                <w:kern w:val="0"/>
                <w:szCs w:val="21"/>
              </w:rPr>
            </w:pPr>
          </w:p>
        </w:tc>
        <w:tc>
          <w:tcPr>
            <w:tcW w:w="5200" w:type="dxa"/>
            <w:vAlign w:val="center"/>
          </w:tcPr>
          <w:p w14:paraId="1E079488">
            <w:pPr>
              <w:spacing w:line="360" w:lineRule="auto"/>
              <w:rPr>
                <w:rFonts w:asciiTheme="minorEastAsia" w:hAnsiTheme="minorEastAsia" w:eastAsiaTheme="minorEastAsia"/>
                <w:kern w:val="0"/>
                <w:szCs w:val="21"/>
              </w:rPr>
            </w:pPr>
            <w:r>
              <w:rPr>
                <w:rFonts w:asciiTheme="minorEastAsia" w:hAnsiTheme="minorEastAsia" w:eastAsiaTheme="minorEastAsia"/>
                <w:kern w:val="0"/>
                <w:szCs w:val="21"/>
                <w:lang w:eastAsia="zh-Hans"/>
              </w:rPr>
              <w:t>数字变电站典型配置要求 （试行）</w:t>
            </w:r>
          </w:p>
        </w:tc>
      </w:tr>
      <w:tr w14:paraId="5453C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16" w:type="dxa"/>
            <w:vAlign w:val="center"/>
          </w:tcPr>
          <w:p w14:paraId="78453D8E">
            <w:pPr>
              <w:spacing w:line="360" w:lineRule="auto"/>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14</w:t>
            </w:r>
          </w:p>
        </w:tc>
        <w:tc>
          <w:tcPr>
            <w:tcW w:w="2584" w:type="dxa"/>
            <w:vAlign w:val="center"/>
          </w:tcPr>
          <w:p w14:paraId="13575DAF">
            <w:pPr>
              <w:spacing w:line="360" w:lineRule="auto"/>
              <w:rPr>
                <w:rFonts w:asciiTheme="minorEastAsia" w:hAnsiTheme="minorEastAsia" w:eastAsiaTheme="minorEastAsia"/>
                <w:kern w:val="0"/>
                <w:szCs w:val="21"/>
              </w:rPr>
            </w:pPr>
          </w:p>
        </w:tc>
        <w:tc>
          <w:tcPr>
            <w:tcW w:w="5200" w:type="dxa"/>
            <w:vAlign w:val="center"/>
          </w:tcPr>
          <w:p w14:paraId="19B1C809">
            <w:pPr>
              <w:spacing w:line="360" w:lineRule="auto"/>
              <w:rPr>
                <w:rFonts w:asciiTheme="minorEastAsia" w:hAnsiTheme="minorEastAsia" w:eastAsiaTheme="minorEastAsia"/>
                <w:kern w:val="0"/>
                <w:szCs w:val="21"/>
              </w:rPr>
            </w:pPr>
            <w:r>
              <w:rPr>
                <w:rFonts w:asciiTheme="minorEastAsia" w:hAnsiTheme="minorEastAsia" w:eastAsiaTheme="minorEastAsia"/>
                <w:kern w:val="0"/>
                <w:szCs w:val="21"/>
                <w:lang w:eastAsia="zh-Hans"/>
              </w:rPr>
              <w:t>数字变电站装备技术要求（一次部分）（试行）</w:t>
            </w:r>
          </w:p>
        </w:tc>
      </w:tr>
      <w:tr w14:paraId="1247C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6" w:type="dxa"/>
            <w:vAlign w:val="center"/>
          </w:tcPr>
          <w:p w14:paraId="2C7A5BD7">
            <w:pPr>
              <w:spacing w:line="360" w:lineRule="auto"/>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15</w:t>
            </w:r>
          </w:p>
        </w:tc>
        <w:tc>
          <w:tcPr>
            <w:tcW w:w="2584" w:type="dxa"/>
            <w:vAlign w:val="center"/>
          </w:tcPr>
          <w:p w14:paraId="6D222284">
            <w:pPr>
              <w:spacing w:line="360" w:lineRule="auto"/>
              <w:rPr>
                <w:rFonts w:asciiTheme="minorEastAsia" w:hAnsiTheme="minorEastAsia" w:eastAsiaTheme="minorEastAsia"/>
                <w:kern w:val="0"/>
                <w:szCs w:val="21"/>
              </w:rPr>
            </w:pPr>
          </w:p>
        </w:tc>
        <w:tc>
          <w:tcPr>
            <w:tcW w:w="5200" w:type="dxa"/>
            <w:vAlign w:val="center"/>
          </w:tcPr>
          <w:p w14:paraId="519312DF">
            <w:pPr>
              <w:spacing w:line="360" w:lineRule="auto"/>
              <w:rPr>
                <w:rFonts w:asciiTheme="minorEastAsia" w:hAnsiTheme="minorEastAsia" w:eastAsiaTheme="minorEastAsia"/>
                <w:kern w:val="0"/>
                <w:szCs w:val="21"/>
              </w:rPr>
            </w:pPr>
            <w:r>
              <w:rPr>
                <w:rFonts w:asciiTheme="minorEastAsia" w:hAnsiTheme="minorEastAsia" w:eastAsiaTheme="minorEastAsia"/>
                <w:kern w:val="0"/>
                <w:szCs w:val="21"/>
              </w:rPr>
              <w:t>数字变电站装备技术导则（二次部分）（试行）</w:t>
            </w:r>
          </w:p>
        </w:tc>
      </w:tr>
      <w:tr w14:paraId="23FB7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6" w:type="dxa"/>
            <w:vAlign w:val="center"/>
          </w:tcPr>
          <w:p w14:paraId="66506474">
            <w:pPr>
              <w:spacing w:line="360" w:lineRule="auto"/>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16</w:t>
            </w:r>
          </w:p>
        </w:tc>
        <w:tc>
          <w:tcPr>
            <w:tcW w:w="2584" w:type="dxa"/>
            <w:vAlign w:val="center"/>
          </w:tcPr>
          <w:p w14:paraId="352AA6E9">
            <w:pPr>
              <w:spacing w:line="360" w:lineRule="auto"/>
              <w:rPr>
                <w:rFonts w:asciiTheme="minorEastAsia" w:hAnsiTheme="minorEastAsia" w:eastAsiaTheme="minorEastAsia"/>
                <w:kern w:val="0"/>
                <w:szCs w:val="21"/>
              </w:rPr>
            </w:pPr>
          </w:p>
        </w:tc>
        <w:tc>
          <w:tcPr>
            <w:tcW w:w="5200" w:type="dxa"/>
            <w:vAlign w:val="center"/>
          </w:tcPr>
          <w:p w14:paraId="4051FA48">
            <w:pPr>
              <w:spacing w:line="360" w:lineRule="auto"/>
              <w:rPr>
                <w:rFonts w:asciiTheme="minorEastAsia" w:hAnsiTheme="minorEastAsia" w:eastAsiaTheme="minorEastAsia"/>
                <w:kern w:val="0"/>
                <w:szCs w:val="21"/>
              </w:rPr>
            </w:pPr>
            <w:r>
              <w:rPr>
                <w:rFonts w:asciiTheme="minorEastAsia" w:hAnsiTheme="minorEastAsia" w:eastAsiaTheme="minorEastAsia"/>
                <w:kern w:val="0"/>
                <w:szCs w:val="21"/>
                <w:lang w:eastAsia="zh-Hans"/>
              </w:rPr>
              <w:t>南方电网</w:t>
            </w:r>
            <w:r>
              <w:rPr>
                <w:rFonts w:asciiTheme="minorEastAsia" w:hAnsiTheme="minorEastAsia" w:eastAsiaTheme="minorEastAsia"/>
                <w:kern w:val="0"/>
                <w:szCs w:val="21"/>
              </w:rPr>
              <w:t>公司生产运行支持系统建设工作方案（2022年版）</w:t>
            </w:r>
          </w:p>
        </w:tc>
      </w:tr>
      <w:tr w14:paraId="622BC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6" w:type="dxa"/>
            <w:vAlign w:val="center"/>
          </w:tcPr>
          <w:p w14:paraId="0197018E">
            <w:pPr>
              <w:spacing w:line="360" w:lineRule="auto"/>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17</w:t>
            </w:r>
          </w:p>
        </w:tc>
        <w:tc>
          <w:tcPr>
            <w:tcW w:w="2584" w:type="dxa"/>
            <w:vAlign w:val="center"/>
          </w:tcPr>
          <w:p w14:paraId="19234688">
            <w:pPr>
              <w:spacing w:line="360" w:lineRule="auto"/>
              <w:rPr>
                <w:rFonts w:asciiTheme="minorEastAsia" w:hAnsiTheme="minorEastAsia" w:eastAsiaTheme="minorEastAsia"/>
                <w:kern w:val="0"/>
                <w:szCs w:val="21"/>
              </w:rPr>
            </w:pPr>
          </w:p>
        </w:tc>
        <w:tc>
          <w:tcPr>
            <w:tcW w:w="5200" w:type="dxa"/>
            <w:vAlign w:val="center"/>
          </w:tcPr>
          <w:p w14:paraId="79558DBF">
            <w:pPr>
              <w:spacing w:line="360" w:lineRule="auto"/>
              <w:rPr>
                <w:rFonts w:asciiTheme="minorEastAsia" w:hAnsiTheme="minorEastAsia" w:eastAsiaTheme="minorEastAsia"/>
                <w:kern w:val="0"/>
                <w:szCs w:val="21"/>
              </w:rPr>
            </w:pPr>
            <w:r>
              <w:rPr>
                <w:rFonts w:asciiTheme="minorEastAsia" w:hAnsiTheme="minorEastAsia" w:eastAsiaTheme="minorEastAsia"/>
                <w:kern w:val="0"/>
                <w:szCs w:val="21"/>
                <w:lang w:eastAsia="zh-Hans"/>
              </w:rPr>
              <w:t>南方电网</w:t>
            </w:r>
            <w:r>
              <w:rPr>
                <w:rFonts w:asciiTheme="minorEastAsia" w:hAnsiTheme="minorEastAsia" w:eastAsiaTheme="minorEastAsia"/>
                <w:kern w:val="0"/>
                <w:szCs w:val="21"/>
              </w:rPr>
              <w:t>公司</w:t>
            </w:r>
            <w:r>
              <w:rPr>
                <w:rFonts w:asciiTheme="minorEastAsia" w:hAnsiTheme="minorEastAsia" w:eastAsiaTheme="minorEastAsia"/>
                <w:kern w:val="0"/>
                <w:szCs w:val="21"/>
                <w:lang w:eastAsia="zh-Hans"/>
              </w:rPr>
              <w:t>生产运行支持系统（变电）总体架构</w:t>
            </w:r>
            <w:r>
              <w:rPr>
                <w:rFonts w:asciiTheme="minorEastAsia" w:hAnsiTheme="minorEastAsia" w:eastAsiaTheme="minorEastAsia"/>
                <w:kern w:val="0"/>
                <w:szCs w:val="21"/>
              </w:rPr>
              <w:t>技术要求（试行）</w:t>
            </w:r>
          </w:p>
        </w:tc>
      </w:tr>
      <w:tr w14:paraId="158F9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6" w:type="dxa"/>
            <w:vAlign w:val="center"/>
          </w:tcPr>
          <w:p w14:paraId="43D260BA">
            <w:pPr>
              <w:spacing w:line="360" w:lineRule="auto"/>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18</w:t>
            </w:r>
          </w:p>
        </w:tc>
        <w:tc>
          <w:tcPr>
            <w:tcW w:w="2584" w:type="dxa"/>
            <w:vAlign w:val="center"/>
          </w:tcPr>
          <w:p w14:paraId="78D5956F">
            <w:pPr>
              <w:spacing w:line="360" w:lineRule="auto"/>
              <w:rPr>
                <w:rFonts w:asciiTheme="minorEastAsia" w:hAnsiTheme="minorEastAsia" w:eastAsiaTheme="minorEastAsia"/>
                <w:kern w:val="0"/>
                <w:szCs w:val="21"/>
              </w:rPr>
            </w:pPr>
          </w:p>
        </w:tc>
        <w:tc>
          <w:tcPr>
            <w:tcW w:w="5200" w:type="dxa"/>
            <w:vAlign w:val="center"/>
          </w:tcPr>
          <w:p w14:paraId="34D2C9AC">
            <w:pPr>
              <w:spacing w:line="360" w:lineRule="auto"/>
              <w:rPr>
                <w:rFonts w:asciiTheme="minorEastAsia" w:hAnsiTheme="minorEastAsia" w:eastAsiaTheme="minorEastAsia"/>
                <w:kern w:val="0"/>
                <w:szCs w:val="21"/>
              </w:rPr>
            </w:pPr>
            <w:r>
              <w:rPr>
                <w:rFonts w:asciiTheme="minorEastAsia" w:hAnsiTheme="minorEastAsia" w:eastAsiaTheme="minorEastAsia"/>
                <w:kern w:val="0"/>
                <w:szCs w:val="21"/>
                <w:lang w:eastAsia="zh-Hans"/>
              </w:rPr>
              <w:t>南方电网</w:t>
            </w:r>
            <w:r>
              <w:rPr>
                <w:rFonts w:asciiTheme="minorEastAsia" w:hAnsiTheme="minorEastAsia" w:eastAsiaTheme="minorEastAsia"/>
                <w:kern w:val="0"/>
                <w:szCs w:val="21"/>
              </w:rPr>
              <w:t>公司</w:t>
            </w:r>
            <w:r>
              <w:rPr>
                <w:rFonts w:asciiTheme="minorEastAsia" w:hAnsiTheme="minorEastAsia" w:eastAsiaTheme="minorEastAsia"/>
                <w:kern w:val="0"/>
                <w:szCs w:val="21"/>
                <w:lang w:eastAsia="zh-Hans"/>
              </w:rPr>
              <w:t>生产运行支持系统（变电）厂站</w:t>
            </w:r>
            <w:r>
              <w:rPr>
                <w:rFonts w:asciiTheme="minorEastAsia" w:hAnsiTheme="minorEastAsia" w:eastAsiaTheme="minorEastAsia"/>
                <w:kern w:val="0"/>
                <w:szCs w:val="21"/>
              </w:rPr>
              <w:t>侧系统</w:t>
            </w:r>
            <w:r>
              <w:rPr>
                <w:rFonts w:asciiTheme="minorEastAsia" w:hAnsiTheme="minorEastAsia" w:eastAsiaTheme="minorEastAsia"/>
                <w:kern w:val="0"/>
                <w:szCs w:val="21"/>
                <w:lang w:eastAsia="zh-Hans"/>
              </w:rPr>
              <w:t>架构</w:t>
            </w:r>
            <w:r>
              <w:rPr>
                <w:rFonts w:asciiTheme="minorEastAsia" w:hAnsiTheme="minorEastAsia" w:eastAsiaTheme="minorEastAsia"/>
                <w:kern w:val="0"/>
                <w:szCs w:val="21"/>
              </w:rPr>
              <w:t>技术要求（试行）</w:t>
            </w:r>
          </w:p>
        </w:tc>
      </w:tr>
      <w:tr w14:paraId="70366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6" w:type="dxa"/>
            <w:vAlign w:val="center"/>
          </w:tcPr>
          <w:p w14:paraId="40F487C6">
            <w:pPr>
              <w:spacing w:line="360" w:lineRule="auto"/>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19</w:t>
            </w:r>
          </w:p>
        </w:tc>
        <w:tc>
          <w:tcPr>
            <w:tcW w:w="2584" w:type="dxa"/>
            <w:vAlign w:val="center"/>
          </w:tcPr>
          <w:p w14:paraId="00099FC2">
            <w:pPr>
              <w:spacing w:line="360" w:lineRule="auto"/>
              <w:rPr>
                <w:rFonts w:asciiTheme="minorEastAsia" w:hAnsiTheme="minorEastAsia" w:eastAsiaTheme="minorEastAsia"/>
                <w:kern w:val="0"/>
                <w:szCs w:val="21"/>
              </w:rPr>
            </w:pPr>
          </w:p>
        </w:tc>
        <w:tc>
          <w:tcPr>
            <w:tcW w:w="5200" w:type="dxa"/>
            <w:vAlign w:val="center"/>
          </w:tcPr>
          <w:p w14:paraId="0C428D60">
            <w:pPr>
              <w:spacing w:line="360" w:lineRule="auto"/>
              <w:rPr>
                <w:rFonts w:asciiTheme="minorEastAsia" w:hAnsiTheme="minorEastAsia" w:eastAsiaTheme="minorEastAsia"/>
                <w:kern w:val="0"/>
                <w:szCs w:val="21"/>
              </w:rPr>
            </w:pPr>
            <w:r>
              <w:rPr>
                <w:rFonts w:asciiTheme="minorEastAsia" w:hAnsiTheme="minorEastAsia" w:eastAsiaTheme="minorEastAsia"/>
                <w:kern w:val="0"/>
                <w:szCs w:val="21"/>
                <w:lang w:eastAsia="zh-Hans"/>
              </w:rPr>
              <w:t>南方电网</w:t>
            </w:r>
            <w:r>
              <w:rPr>
                <w:rFonts w:asciiTheme="minorEastAsia" w:hAnsiTheme="minorEastAsia" w:eastAsiaTheme="minorEastAsia"/>
                <w:kern w:val="0"/>
                <w:szCs w:val="21"/>
              </w:rPr>
              <w:t>推进数字电网统一物联标准化工作方案</w:t>
            </w:r>
          </w:p>
        </w:tc>
      </w:tr>
      <w:tr w14:paraId="18BD2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6" w:type="dxa"/>
            <w:vAlign w:val="center"/>
          </w:tcPr>
          <w:p w14:paraId="7174ADA7">
            <w:pPr>
              <w:spacing w:line="360" w:lineRule="auto"/>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20</w:t>
            </w:r>
          </w:p>
        </w:tc>
        <w:tc>
          <w:tcPr>
            <w:tcW w:w="2584" w:type="dxa"/>
            <w:vAlign w:val="center"/>
          </w:tcPr>
          <w:p w14:paraId="2436E4D1">
            <w:pPr>
              <w:spacing w:line="360" w:lineRule="auto"/>
              <w:rPr>
                <w:rFonts w:asciiTheme="minorEastAsia" w:hAnsiTheme="minorEastAsia" w:eastAsiaTheme="minorEastAsia"/>
                <w:kern w:val="0"/>
                <w:szCs w:val="21"/>
              </w:rPr>
            </w:pPr>
          </w:p>
        </w:tc>
        <w:tc>
          <w:tcPr>
            <w:tcW w:w="5200" w:type="dxa"/>
            <w:vAlign w:val="center"/>
          </w:tcPr>
          <w:p w14:paraId="68F4F739">
            <w:pPr>
              <w:spacing w:line="360" w:lineRule="auto"/>
              <w:rPr>
                <w:rFonts w:asciiTheme="minorEastAsia" w:hAnsiTheme="minorEastAsia" w:eastAsiaTheme="minorEastAsia"/>
                <w:kern w:val="0"/>
                <w:szCs w:val="21"/>
              </w:rPr>
            </w:pPr>
          </w:p>
        </w:tc>
      </w:tr>
    </w:tbl>
    <w:p w14:paraId="3D25B0C7">
      <w:pPr>
        <w:pStyle w:val="49"/>
        <w:adjustRightInd w:val="0"/>
        <w:snapToGrid w:val="0"/>
        <w:spacing w:line="360" w:lineRule="auto"/>
        <w:ind w:firstLine="0" w:firstLineChars="0"/>
        <w:rPr>
          <w:rFonts w:eastAsia="宋体" w:cs="Times New Roman"/>
          <w:szCs w:val="21"/>
        </w:rPr>
      </w:pPr>
    </w:p>
    <w:p w14:paraId="69FBA33F">
      <w:pPr>
        <w:pStyle w:val="4"/>
      </w:pPr>
      <w:bookmarkStart w:id="37" w:name="_Toc226110471"/>
      <w:bookmarkStart w:id="38" w:name="_Toc84839226"/>
      <w:r>
        <w:rPr>
          <w:rFonts w:hint="eastAsia"/>
        </w:rPr>
        <w:t>使用条件</w:t>
      </w:r>
      <w:bookmarkEnd w:id="37"/>
      <w:bookmarkEnd w:id="38"/>
    </w:p>
    <w:p w14:paraId="75B2A9BC">
      <w:pPr>
        <w:pStyle w:val="49"/>
        <w:adjustRightInd w:val="0"/>
        <w:snapToGrid w:val="0"/>
        <w:spacing w:line="360" w:lineRule="auto"/>
        <w:rPr>
          <w:rFonts w:eastAsia="宋体" w:cs="Times New Roman"/>
          <w:szCs w:val="21"/>
        </w:rPr>
      </w:pPr>
      <w:r>
        <w:rPr>
          <w:rFonts w:eastAsia="宋体" w:cs="Times New Roman"/>
          <w:szCs w:val="21"/>
        </w:rPr>
        <w:t>本标书采购的</w:t>
      </w:r>
      <w:r>
        <w:rPr>
          <w:rFonts w:hint="eastAsia" w:eastAsia="宋体" w:cs="Times New Roman"/>
          <w:szCs w:val="21"/>
        </w:rPr>
        <w:t>相关软硬件设备</w:t>
      </w:r>
      <w:r>
        <w:rPr>
          <w:rFonts w:eastAsia="宋体" w:cs="Times New Roman"/>
          <w:szCs w:val="21"/>
        </w:rPr>
        <w:t>，投标方应对所提供的设备绝缘水平、温升等相关性能参数在工程实际外部条件下进行校验、核对，使所供设备满足实际外部条件要求及全工况运行要求。</w:t>
      </w:r>
    </w:p>
    <w:p w14:paraId="6226892E">
      <w:pPr>
        <w:adjustRightInd w:val="0"/>
        <w:snapToGrid w:val="0"/>
        <w:spacing w:line="360" w:lineRule="auto"/>
        <w:outlineLvl w:val="1"/>
        <w:rPr>
          <w:rFonts w:eastAsia="黑体"/>
        </w:rPr>
      </w:pPr>
      <w:bookmarkStart w:id="39" w:name="_Toc83649548"/>
      <w:bookmarkStart w:id="40" w:name="_Toc226110472"/>
      <w:bookmarkStart w:id="41" w:name="_Toc84839227"/>
      <w:r>
        <w:rPr>
          <w:rFonts w:eastAsia="黑体"/>
        </w:rPr>
        <w:t xml:space="preserve">4.1 </w:t>
      </w:r>
      <w:r>
        <w:rPr>
          <w:rFonts w:hint="eastAsia" w:eastAsia="黑体"/>
        </w:rPr>
        <w:t>正常</w:t>
      </w:r>
      <w:r>
        <w:rPr>
          <w:rFonts w:eastAsia="黑体"/>
        </w:rPr>
        <w:t>条件</w:t>
      </w:r>
      <w:bookmarkEnd w:id="39"/>
      <w:bookmarkEnd w:id="40"/>
      <w:bookmarkEnd w:id="41"/>
    </w:p>
    <w:p w14:paraId="167A5DC8">
      <w:pPr>
        <w:pStyle w:val="49"/>
        <w:adjustRightInd w:val="0"/>
        <w:snapToGrid w:val="0"/>
        <w:spacing w:line="360" w:lineRule="auto"/>
        <w:ind w:firstLine="0" w:firstLineChars="0"/>
        <w:rPr>
          <w:rFonts w:eastAsia="宋体" w:cs="Times New Roman"/>
          <w:szCs w:val="21"/>
        </w:rPr>
      </w:pPr>
      <w:r>
        <w:rPr>
          <w:rFonts w:eastAsia="宋体" w:cs="Times New Roman"/>
          <w:szCs w:val="21"/>
        </w:rPr>
        <w:t xml:space="preserve">4.1.1 </w:t>
      </w:r>
      <w:r>
        <w:rPr>
          <w:rFonts w:hint="eastAsia" w:eastAsia="宋体" w:cs="Times New Roman"/>
          <w:szCs w:val="21"/>
        </w:rPr>
        <w:t>周围空气温度</w:t>
      </w:r>
    </w:p>
    <w:p w14:paraId="6F6C6E50">
      <w:pPr>
        <w:pStyle w:val="49"/>
        <w:adjustRightInd w:val="0"/>
        <w:snapToGrid w:val="0"/>
        <w:spacing w:line="360" w:lineRule="auto"/>
        <w:rPr>
          <w:rFonts w:cs="Times New Roman"/>
          <w:szCs w:val="21"/>
        </w:rPr>
      </w:pPr>
      <w:r>
        <w:rPr>
          <w:rFonts w:hint="eastAsia" w:eastAsia="宋体" w:cs="Times New Roman"/>
          <w:szCs w:val="21"/>
        </w:rPr>
        <w:t>最高</w:t>
      </w:r>
      <w:r>
        <w:rPr>
          <w:rFonts w:eastAsia="宋体" w:cs="Times New Roman"/>
          <w:szCs w:val="21"/>
        </w:rPr>
        <w:t>40</w:t>
      </w:r>
      <w:r>
        <w:rPr>
          <w:rFonts w:hint="eastAsia" w:eastAsia="宋体" w:cs="Times New Roman"/>
          <w:szCs w:val="21"/>
        </w:rPr>
        <w:t>℃（</w:t>
      </w:r>
      <w:r>
        <w:rPr>
          <w:rFonts w:eastAsia="宋体" w:cs="Times New Roman"/>
          <w:szCs w:val="21"/>
        </w:rPr>
        <w:t xml:space="preserve">24h </w:t>
      </w:r>
      <w:r>
        <w:rPr>
          <w:rFonts w:hint="eastAsia" w:eastAsia="宋体" w:cs="Times New Roman"/>
          <w:szCs w:val="21"/>
        </w:rPr>
        <w:t>内测得的平均温度不超过</w:t>
      </w:r>
      <w:r>
        <w:rPr>
          <w:rFonts w:eastAsia="宋体" w:cs="Times New Roman"/>
          <w:szCs w:val="21"/>
        </w:rPr>
        <w:t>35</w:t>
      </w:r>
      <w:r>
        <w:rPr>
          <w:rFonts w:hint="eastAsia" w:eastAsia="宋体" w:cs="Times New Roman"/>
          <w:szCs w:val="21"/>
        </w:rPr>
        <w:t>℃）。</w:t>
      </w:r>
    </w:p>
    <w:p w14:paraId="2DD0D6CB">
      <w:pPr>
        <w:pStyle w:val="49"/>
        <w:adjustRightInd w:val="0"/>
        <w:snapToGrid w:val="0"/>
        <w:spacing w:line="360" w:lineRule="auto"/>
        <w:rPr>
          <w:rFonts w:cs="Times New Roman"/>
          <w:szCs w:val="21"/>
        </w:rPr>
      </w:pPr>
      <w:r>
        <w:rPr>
          <w:rFonts w:hint="eastAsia" w:eastAsia="宋体" w:cs="Times New Roman"/>
          <w:szCs w:val="21"/>
        </w:rPr>
        <w:t>最低</w:t>
      </w:r>
      <w:r>
        <w:rPr>
          <w:rFonts w:eastAsia="宋体" w:cs="Times New Roman"/>
          <w:szCs w:val="21"/>
        </w:rPr>
        <w:t>-10</w:t>
      </w:r>
      <w:r>
        <w:rPr>
          <w:rFonts w:hint="eastAsia" w:eastAsia="宋体" w:cs="Times New Roman"/>
          <w:szCs w:val="21"/>
        </w:rPr>
        <w:t>℃。</w:t>
      </w:r>
    </w:p>
    <w:p w14:paraId="3FCCFA98">
      <w:pPr>
        <w:pStyle w:val="49"/>
        <w:adjustRightInd w:val="0"/>
        <w:snapToGrid w:val="0"/>
        <w:spacing w:line="360" w:lineRule="auto"/>
        <w:rPr>
          <w:rFonts w:cs="Times New Roman"/>
          <w:szCs w:val="21"/>
        </w:rPr>
      </w:pPr>
      <w:r>
        <w:rPr>
          <w:rFonts w:hint="eastAsia" w:eastAsia="宋体" w:cs="Times New Roman"/>
          <w:szCs w:val="21"/>
        </w:rPr>
        <w:t>日温差</w:t>
      </w:r>
      <w:r>
        <w:rPr>
          <w:rFonts w:eastAsia="宋体" w:cs="Times New Roman"/>
          <w:szCs w:val="21"/>
        </w:rPr>
        <w:t>25K</w:t>
      </w:r>
      <w:r>
        <w:rPr>
          <w:rFonts w:hint="eastAsia" w:eastAsia="宋体" w:cs="Times New Roman"/>
          <w:szCs w:val="21"/>
        </w:rPr>
        <w:t>。</w:t>
      </w:r>
    </w:p>
    <w:p w14:paraId="35B672AF">
      <w:pPr>
        <w:pStyle w:val="49"/>
        <w:adjustRightInd w:val="0"/>
        <w:snapToGrid w:val="0"/>
        <w:spacing w:line="360" w:lineRule="auto"/>
        <w:rPr>
          <w:rFonts w:cs="Times New Roman"/>
          <w:szCs w:val="21"/>
        </w:rPr>
      </w:pPr>
      <w:r>
        <w:rPr>
          <w:rFonts w:hint="eastAsia" w:eastAsia="宋体" w:cs="Times New Roman"/>
          <w:szCs w:val="21"/>
        </w:rPr>
        <w:t>应考虑阳光辐射的影响，辐射强度</w:t>
      </w:r>
      <w:r>
        <w:rPr>
          <w:rFonts w:eastAsia="宋体" w:cs="Times New Roman"/>
          <w:szCs w:val="21"/>
        </w:rPr>
        <w:t>1000W/m2</w:t>
      </w:r>
      <w:r>
        <w:rPr>
          <w:rFonts w:hint="eastAsia" w:eastAsia="宋体" w:cs="Times New Roman"/>
          <w:szCs w:val="21"/>
        </w:rPr>
        <w:t>（仅适用于户外部分）。</w:t>
      </w:r>
    </w:p>
    <w:p w14:paraId="335A78C5">
      <w:pPr>
        <w:pStyle w:val="49"/>
        <w:adjustRightInd w:val="0"/>
        <w:snapToGrid w:val="0"/>
        <w:spacing w:line="360" w:lineRule="auto"/>
        <w:ind w:firstLine="0" w:firstLineChars="0"/>
        <w:rPr>
          <w:rFonts w:eastAsia="宋体" w:cs="Times New Roman"/>
          <w:szCs w:val="21"/>
        </w:rPr>
      </w:pPr>
      <w:r>
        <w:rPr>
          <w:rFonts w:eastAsia="宋体" w:cs="Times New Roman"/>
          <w:szCs w:val="21"/>
        </w:rPr>
        <w:t xml:space="preserve">4.1.2 </w:t>
      </w:r>
      <w:r>
        <w:rPr>
          <w:rFonts w:hint="eastAsia" w:eastAsia="宋体" w:cs="Times New Roman"/>
          <w:szCs w:val="21"/>
        </w:rPr>
        <w:t>海拔高度</w:t>
      </w:r>
    </w:p>
    <w:p w14:paraId="30D7E533">
      <w:pPr>
        <w:pStyle w:val="49"/>
        <w:adjustRightInd w:val="0"/>
        <w:snapToGrid w:val="0"/>
        <w:spacing w:line="360" w:lineRule="auto"/>
        <w:rPr>
          <w:rFonts w:cs="Times New Roman"/>
          <w:szCs w:val="21"/>
        </w:rPr>
      </w:pPr>
      <w:r>
        <w:rPr>
          <w:rFonts w:hint="eastAsia" w:eastAsia="宋体" w:cs="Times New Roman"/>
          <w:szCs w:val="21"/>
        </w:rPr>
        <w:t>不超过</w:t>
      </w:r>
      <w:r>
        <w:rPr>
          <w:rFonts w:eastAsia="宋体" w:cs="Times New Roman"/>
          <w:szCs w:val="21"/>
        </w:rPr>
        <w:t>1000m</w:t>
      </w:r>
      <w:r>
        <w:rPr>
          <w:rFonts w:hint="eastAsia" w:eastAsia="宋体" w:cs="Times New Roman"/>
          <w:szCs w:val="21"/>
        </w:rPr>
        <w:t>。</w:t>
      </w:r>
    </w:p>
    <w:p w14:paraId="75DFC7C1">
      <w:pPr>
        <w:pStyle w:val="49"/>
        <w:adjustRightInd w:val="0"/>
        <w:snapToGrid w:val="0"/>
        <w:spacing w:line="360" w:lineRule="auto"/>
        <w:ind w:firstLine="0" w:firstLineChars="0"/>
        <w:rPr>
          <w:rFonts w:eastAsia="宋体" w:cs="Times New Roman"/>
          <w:szCs w:val="21"/>
        </w:rPr>
      </w:pPr>
      <w:r>
        <w:rPr>
          <w:rFonts w:eastAsia="宋体" w:cs="Times New Roman"/>
          <w:szCs w:val="21"/>
        </w:rPr>
        <w:t xml:space="preserve">4.1.3 </w:t>
      </w:r>
      <w:r>
        <w:rPr>
          <w:rFonts w:hint="eastAsia" w:eastAsia="宋体" w:cs="Times New Roman"/>
          <w:szCs w:val="21"/>
        </w:rPr>
        <w:t>抗震水平</w:t>
      </w:r>
    </w:p>
    <w:p w14:paraId="24FF3179">
      <w:pPr>
        <w:pStyle w:val="49"/>
        <w:adjustRightInd w:val="0"/>
        <w:snapToGrid w:val="0"/>
        <w:spacing w:line="360" w:lineRule="auto"/>
        <w:rPr>
          <w:rFonts w:cs="Times New Roman"/>
          <w:szCs w:val="21"/>
        </w:rPr>
      </w:pPr>
      <w:r>
        <w:rPr>
          <w:rFonts w:eastAsia="宋体" w:cs="Times New Roman"/>
          <w:szCs w:val="21"/>
        </w:rPr>
        <w:t>AG3</w:t>
      </w:r>
      <w:r>
        <w:rPr>
          <w:rFonts w:hint="eastAsia" w:eastAsia="宋体" w:cs="Times New Roman"/>
          <w:szCs w:val="21"/>
        </w:rPr>
        <w:t>。</w:t>
      </w:r>
    </w:p>
    <w:p w14:paraId="6D19BA42">
      <w:pPr>
        <w:pStyle w:val="49"/>
        <w:adjustRightInd w:val="0"/>
        <w:snapToGrid w:val="0"/>
        <w:spacing w:line="360" w:lineRule="auto"/>
        <w:ind w:firstLine="0" w:firstLineChars="0"/>
        <w:rPr>
          <w:rFonts w:eastAsia="宋体" w:cs="Times New Roman"/>
          <w:szCs w:val="21"/>
        </w:rPr>
      </w:pPr>
      <w:r>
        <w:rPr>
          <w:rFonts w:eastAsia="宋体" w:cs="Times New Roman"/>
          <w:szCs w:val="21"/>
        </w:rPr>
        <w:t xml:space="preserve">4.1.6 </w:t>
      </w:r>
      <w:r>
        <w:rPr>
          <w:rFonts w:hint="eastAsia" w:eastAsia="宋体" w:cs="Times New Roman"/>
          <w:szCs w:val="21"/>
        </w:rPr>
        <w:t>风速</w:t>
      </w:r>
    </w:p>
    <w:p w14:paraId="0F0B64E0">
      <w:pPr>
        <w:pStyle w:val="49"/>
        <w:adjustRightInd w:val="0"/>
        <w:snapToGrid w:val="0"/>
        <w:spacing w:line="360" w:lineRule="auto"/>
        <w:rPr>
          <w:rFonts w:cs="Times New Roman"/>
          <w:szCs w:val="21"/>
        </w:rPr>
      </w:pPr>
      <w:r>
        <w:rPr>
          <w:rFonts w:eastAsia="宋体" w:cs="Times New Roman"/>
          <w:szCs w:val="21"/>
        </w:rPr>
        <w:t>35m/s</w:t>
      </w:r>
      <w:r>
        <w:rPr>
          <w:rFonts w:hint="eastAsia" w:eastAsia="宋体" w:cs="Times New Roman"/>
          <w:szCs w:val="21"/>
        </w:rPr>
        <w:t>（仅适用于户外部分）。</w:t>
      </w:r>
    </w:p>
    <w:p w14:paraId="43299242">
      <w:pPr>
        <w:pStyle w:val="49"/>
        <w:adjustRightInd w:val="0"/>
        <w:snapToGrid w:val="0"/>
        <w:spacing w:line="360" w:lineRule="auto"/>
        <w:ind w:firstLine="0" w:firstLineChars="0"/>
        <w:rPr>
          <w:rFonts w:eastAsia="宋体" w:cs="Times New Roman"/>
          <w:szCs w:val="21"/>
        </w:rPr>
      </w:pPr>
      <w:r>
        <w:rPr>
          <w:rFonts w:eastAsia="宋体" w:cs="Times New Roman"/>
          <w:szCs w:val="21"/>
        </w:rPr>
        <w:t xml:space="preserve">4.1.7 </w:t>
      </w:r>
      <w:r>
        <w:rPr>
          <w:rFonts w:hint="eastAsia" w:eastAsia="宋体" w:cs="Times New Roman"/>
          <w:szCs w:val="21"/>
        </w:rPr>
        <w:t>降雨</w:t>
      </w:r>
    </w:p>
    <w:p w14:paraId="2CDCC040">
      <w:pPr>
        <w:pStyle w:val="49"/>
        <w:adjustRightInd w:val="0"/>
        <w:snapToGrid w:val="0"/>
        <w:spacing w:line="360" w:lineRule="auto"/>
        <w:rPr>
          <w:rFonts w:cs="Times New Roman"/>
          <w:szCs w:val="21"/>
        </w:rPr>
      </w:pPr>
      <w:r>
        <w:rPr>
          <w:rFonts w:hint="eastAsia" w:eastAsia="宋体" w:cs="Times New Roman"/>
          <w:szCs w:val="21"/>
        </w:rPr>
        <w:t>降雨强度为</w:t>
      </w:r>
      <w:r>
        <w:rPr>
          <w:rFonts w:eastAsia="宋体" w:cs="Times New Roman"/>
          <w:szCs w:val="21"/>
        </w:rPr>
        <w:t>10mm/min</w:t>
      </w:r>
      <w:r>
        <w:rPr>
          <w:rFonts w:hint="eastAsia" w:eastAsia="宋体" w:cs="Times New Roman"/>
          <w:szCs w:val="21"/>
        </w:rPr>
        <w:t>（仅适用于户外部分）。</w:t>
      </w:r>
    </w:p>
    <w:p w14:paraId="07C10274">
      <w:pPr>
        <w:rPr>
          <w:rFonts w:ascii="宋体" w:hAnsi="宋体"/>
          <w:szCs w:val="21"/>
        </w:rPr>
      </w:pPr>
    </w:p>
    <w:p w14:paraId="57E88D01">
      <w:pPr>
        <w:pStyle w:val="49"/>
        <w:adjustRightInd w:val="0"/>
        <w:snapToGrid w:val="0"/>
        <w:spacing w:line="360" w:lineRule="auto"/>
        <w:ind w:firstLine="0" w:firstLineChars="0"/>
        <w:rPr>
          <w:rFonts w:eastAsia="宋体" w:cs="Times New Roman"/>
          <w:b/>
          <w:bCs/>
          <w:szCs w:val="21"/>
        </w:rPr>
      </w:pPr>
    </w:p>
    <w:p w14:paraId="0F76512F">
      <w:pPr>
        <w:adjustRightInd w:val="0"/>
        <w:snapToGrid w:val="0"/>
        <w:spacing w:line="360" w:lineRule="auto"/>
        <w:outlineLvl w:val="1"/>
        <w:rPr>
          <w:rFonts w:eastAsia="黑体"/>
        </w:rPr>
      </w:pPr>
      <w:bookmarkStart w:id="42" w:name="_Toc226110473"/>
      <w:bookmarkStart w:id="43" w:name="_Toc83649549"/>
      <w:bookmarkStart w:id="44" w:name="_Toc84839228"/>
      <w:r>
        <w:rPr>
          <w:rFonts w:eastAsia="黑体"/>
        </w:rPr>
        <w:t>4.2 特殊使用条件</w:t>
      </w:r>
      <w:bookmarkEnd w:id="42"/>
      <w:bookmarkEnd w:id="43"/>
      <w:bookmarkEnd w:id="44"/>
    </w:p>
    <w:p w14:paraId="4915282E">
      <w:pPr>
        <w:adjustRightInd w:val="0"/>
        <w:snapToGrid w:val="0"/>
        <w:spacing w:line="360" w:lineRule="auto"/>
        <w:ind w:firstLine="420" w:firstLineChars="200"/>
      </w:pPr>
      <w:bookmarkStart w:id="45" w:name="_Toc277597169"/>
      <w:r>
        <w:t xml:space="preserve">凡不满足4.1条正常使用条件之外的特殊条件，如环境温度、海拔、污秽等级等条件项目单位应在4.1中明确，且应在招标书的相应技术条款及表11 </w:t>
      </w:r>
      <w:r>
        <w:rPr>
          <w:rFonts w:hint="eastAsia"/>
        </w:rPr>
        <w:t>和表1</w:t>
      </w:r>
      <w:r>
        <w:t>2中对有关技术参数及要求加以修正、说明，并在提交需求计划及招标书时向物资部门特别明确。</w:t>
      </w:r>
    </w:p>
    <w:p w14:paraId="7C4A9288">
      <w:pPr>
        <w:adjustRightInd w:val="0"/>
        <w:snapToGrid w:val="0"/>
        <w:spacing w:line="360" w:lineRule="auto"/>
        <w:outlineLvl w:val="2"/>
      </w:pPr>
      <w:r>
        <w:t xml:space="preserve">4.2.1 </w:t>
      </w:r>
      <w:r>
        <w:rPr>
          <w:rFonts w:hint="eastAsia"/>
        </w:rPr>
        <w:t>周围空气温度</w:t>
      </w:r>
    </w:p>
    <w:p w14:paraId="53E47653">
      <w:pPr>
        <w:adjustRightInd w:val="0"/>
        <w:snapToGrid w:val="0"/>
        <w:spacing w:line="360" w:lineRule="auto"/>
        <w:ind w:firstLine="420" w:firstLineChars="200"/>
      </w:pPr>
      <w:r>
        <w:rPr>
          <w:rFonts w:hint="eastAsia"/>
        </w:rPr>
        <w:t>最高温度为</w:t>
      </w:r>
      <w:r>
        <w:t>+50</w:t>
      </w:r>
      <w:r>
        <w:rPr>
          <w:rFonts w:hint="eastAsia"/>
        </w:rPr>
        <w:t>℃；</w:t>
      </w:r>
    </w:p>
    <w:p w14:paraId="3D73ED4C">
      <w:pPr>
        <w:adjustRightInd w:val="0"/>
        <w:snapToGrid w:val="0"/>
        <w:spacing w:line="360" w:lineRule="auto"/>
        <w:ind w:firstLine="420" w:firstLineChars="200"/>
      </w:pPr>
      <w:r>
        <w:rPr>
          <w:rFonts w:hint="eastAsia"/>
        </w:rPr>
        <w:t>最低温度为</w:t>
      </w:r>
      <w:r>
        <w:t>-15</w:t>
      </w:r>
      <w:r>
        <w:rPr>
          <w:rFonts w:hint="eastAsia"/>
        </w:rPr>
        <w:t>℃、</w:t>
      </w:r>
      <w:r>
        <w:t>-25</w:t>
      </w:r>
      <w:r>
        <w:rPr>
          <w:rFonts w:hint="eastAsia"/>
        </w:rPr>
        <w:t>℃。</w:t>
      </w:r>
    </w:p>
    <w:bookmarkEnd w:id="45"/>
    <w:p w14:paraId="4BB337B7">
      <w:pPr>
        <w:adjustRightInd w:val="0"/>
        <w:snapToGrid w:val="0"/>
        <w:spacing w:line="360" w:lineRule="auto"/>
        <w:ind w:firstLine="420" w:firstLineChars="200"/>
      </w:pPr>
    </w:p>
    <w:p w14:paraId="356D3A81">
      <w:pPr>
        <w:adjustRightInd w:val="0"/>
        <w:snapToGrid w:val="0"/>
        <w:spacing w:line="360" w:lineRule="auto"/>
        <w:outlineLvl w:val="2"/>
      </w:pPr>
      <w:r>
        <w:rPr>
          <w:rFonts w:hint="eastAsia"/>
        </w:rPr>
        <w:t>4</w:t>
      </w:r>
      <w:r>
        <w:t xml:space="preserve">.2.2 海拔高度 </w:t>
      </w:r>
    </w:p>
    <w:p w14:paraId="3A6A243B">
      <w:pPr>
        <w:ind w:firstLine="425"/>
      </w:pPr>
      <w:r>
        <w:t>海拔高度的规定、外绝缘和温升在高海拔环境下的修正、污秽等级按如下规定。海拔高度高于1000m时，按可参照下列要求确定：</w:t>
      </w:r>
    </w:p>
    <w:p w14:paraId="14FCBC36">
      <w:pPr>
        <w:adjustRightInd w:val="0"/>
        <w:snapToGrid w:val="0"/>
        <w:spacing w:line="360" w:lineRule="auto"/>
        <w:ind w:left="840"/>
      </w:pPr>
      <w:r>
        <w:t>海拔在1000-2000m范围，设备外绝缘水平按2000m海拔修正；</w:t>
      </w:r>
    </w:p>
    <w:p w14:paraId="3ECD0FC0">
      <w:pPr>
        <w:adjustRightInd w:val="0"/>
        <w:snapToGrid w:val="0"/>
        <w:spacing w:line="360" w:lineRule="auto"/>
        <w:ind w:left="840"/>
      </w:pPr>
      <w:r>
        <w:t>海拔在2000-2500m范围，设备外绝缘水平按2500m海拔修正；</w:t>
      </w:r>
    </w:p>
    <w:p w14:paraId="5BE21210">
      <w:pPr>
        <w:adjustRightInd w:val="0"/>
        <w:snapToGrid w:val="0"/>
        <w:spacing w:line="360" w:lineRule="auto"/>
        <w:ind w:left="840"/>
      </w:pPr>
      <w:r>
        <w:t>海拔在2500-3000m范围，设备外绝缘水平按3000m海拔修正；</w:t>
      </w:r>
    </w:p>
    <w:p w14:paraId="0ADBDD70">
      <w:pPr>
        <w:adjustRightInd w:val="0"/>
        <w:snapToGrid w:val="0"/>
        <w:spacing w:line="360" w:lineRule="auto"/>
        <w:ind w:left="840"/>
      </w:pPr>
      <w:r>
        <w:t>海拔高于3000m，应考虑实际运行地点的环境，经专题研究后确定。</w:t>
      </w:r>
    </w:p>
    <w:p w14:paraId="0F322676">
      <w:pPr>
        <w:adjustRightInd w:val="0"/>
        <w:snapToGrid w:val="0"/>
        <w:spacing w:line="360" w:lineRule="auto"/>
        <w:outlineLvl w:val="2"/>
      </w:pPr>
      <w:r>
        <w:t xml:space="preserve">4.2.3 </w:t>
      </w:r>
      <w:r>
        <w:rPr>
          <w:rFonts w:hint="eastAsia"/>
        </w:rPr>
        <w:t>污秽</w:t>
      </w:r>
    </w:p>
    <w:p w14:paraId="11FA2EEC">
      <w:pPr>
        <w:adjustRightInd w:val="0"/>
        <w:snapToGrid w:val="0"/>
        <w:spacing w:line="360" w:lineRule="auto"/>
        <w:ind w:firstLine="425"/>
      </w:pPr>
      <w:r>
        <w:t xml:space="preserve">d </w:t>
      </w:r>
      <w:r>
        <w:rPr>
          <w:rFonts w:hint="eastAsia"/>
        </w:rPr>
        <w:t>级及以上污秽等级的地区统一按</w:t>
      </w:r>
      <w:r>
        <w:t xml:space="preserve">e </w:t>
      </w:r>
      <w:r>
        <w:rPr>
          <w:rFonts w:hint="eastAsia"/>
        </w:rPr>
        <w:t>级防污选取设备的爬电距离，</w:t>
      </w:r>
      <w:r>
        <w:t xml:space="preserve">e </w:t>
      </w:r>
      <w:r>
        <w:rPr>
          <w:rFonts w:hint="eastAsia"/>
        </w:rPr>
        <w:t>级外绝缘统一爬电</w:t>
      </w:r>
    </w:p>
    <w:p w14:paraId="45E6D419">
      <w:pPr>
        <w:adjustRightInd w:val="0"/>
        <w:snapToGrid w:val="0"/>
        <w:spacing w:line="360" w:lineRule="auto"/>
      </w:pPr>
      <w:r>
        <w:rPr>
          <w:rFonts w:hint="eastAsia"/>
        </w:rPr>
        <w:t>比距按不小于</w:t>
      </w:r>
      <w:r>
        <w:t>53.7mm/kV</w:t>
      </w:r>
      <w:r>
        <w:rPr>
          <w:rFonts w:hint="eastAsia"/>
        </w:rPr>
        <w:t>。</w:t>
      </w:r>
    </w:p>
    <w:p w14:paraId="70193287">
      <w:pPr>
        <w:adjustRightInd w:val="0"/>
        <w:snapToGrid w:val="0"/>
        <w:spacing w:line="360" w:lineRule="auto"/>
        <w:outlineLvl w:val="2"/>
      </w:pPr>
      <w:r>
        <w:t xml:space="preserve">4.2.4 </w:t>
      </w:r>
      <w:r>
        <w:rPr>
          <w:rFonts w:hint="eastAsia"/>
        </w:rPr>
        <w:t>抗震水平</w:t>
      </w:r>
    </w:p>
    <w:p w14:paraId="11B45F41">
      <w:pPr>
        <w:adjustRightInd w:val="0"/>
        <w:snapToGrid w:val="0"/>
        <w:spacing w:line="360" w:lineRule="auto"/>
        <w:ind w:firstLine="425"/>
      </w:pPr>
      <w:r>
        <w:rPr>
          <w:rFonts w:hint="eastAsia"/>
        </w:rPr>
        <w:t>按</w:t>
      </w:r>
      <w:r>
        <w:t xml:space="preserve">AG5 </w:t>
      </w:r>
      <w:r>
        <w:rPr>
          <w:rFonts w:hint="eastAsia"/>
        </w:rPr>
        <w:t>考虑。</w:t>
      </w:r>
    </w:p>
    <w:p w14:paraId="09FAC481">
      <w:pPr>
        <w:pStyle w:val="4"/>
      </w:pPr>
      <w:bookmarkStart w:id="46" w:name="_Toc226110474"/>
      <w:bookmarkStart w:id="47" w:name="_Toc84839229"/>
      <w:r>
        <w:rPr>
          <w:rFonts w:hint="eastAsia"/>
        </w:rPr>
        <w:t>技术要求</w:t>
      </w:r>
      <w:bookmarkEnd w:id="46"/>
      <w:bookmarkEnd w:id="47"/>
    </w:p>
    <w:p w14:paraId="74512DBA">
      <w:pPr>
        <w:pStyle w:val="5"/>
      </w:pPr>
      <w:bookmarkStart w:id="48" w:name="_Toc226110475"/>
      <w:bookmarkStart w:id="49" w:name="_Toc84839230"/>
      <w:r>
        <w:rPr>
          <w:rFonts w:hint="eastAsia"/>
        </w:rPr>
        <w:t>平台概述</w:t>
      </w:r>
      <w:bookmarkEnd w:id="48"/>
      <w:bookmarkEnd w:id="49"/>
    </w:p>
    <w:p w14:paraId="6954207E">
      <w:pPr>
        <w:spacing w:line="360" w:lineRule="auto"/>
        <w:ind w:firstLine="480"/>
      </w:pPr>
      <w:r>
        <w:rPr>
          <w:rFonts w:hint="eastAsia"/>
        </w:rPr>
        <w:t>天河棠下</w:t>
      </w:r>
      <w:r>
        <w:t>220kV</w:t>
      </w:r>
      <w:r>
        <w:rPr>
          <w:rFonts w:hint="eastAsia"/>
        </w:rPr>
        <w:t>换流站是立足解决广州电网核心区域发展不均衡不充分、220kV电网互济能力不足、核心片区电网运行风险突出等实际问题。工程结合新一带智能运维体系建设与工程运维需求，在换流站建设智能运维系统的基础上，深度结合国家重大科研专项研究成果，进一步深化建设数智化换流站应用；结合本换流站工程的设备技术特点及设备布置，基于换流站透明化运维研究专题、广州局智能运维设计标准，针对性设计、部署、调试相关摄像头、传感器等感知设备，全面感知智能运维所需要的环境监测及设备状态信息；在提升运维全面监视的空间体验同时，提高运维效率并减低运维成本，开展多维数据的深度挖掘，提高棠下换流站运维的智能化水平。</w:t>
      </w:r>
    </w:p>
    <w:p w14:paraId="5B6F7F94">
      <w:pPr>
        <w:pStyle w:val="5"/>
      </w:pPr>
      <w:bookmarkStart w:id="50" w:name="_Toc84839231"/>
      <w:bookmarkStart w:id="51" w:name="_Toc226110476"/>
      <w:r>
        <w:rPr>
          <w:rFonts w:hint="eastAsia"/>
        </w:rPr>
        <w:t>平台架构设计要求</w:t>
      </w:r>
      <w:bookmarkEnd w:id="50"/>
      <w:bookmarkEnd w:id="51"/>
    </w:p>
    <w:p w14:paraId="5F7E29A1">
      <w:pPr>
        <w:spacing w:line="360" w:lineRule="auto"/>
        <w:ind w:firstLine="480"/>
      </w:pPr>
      <w:r>
        <w:rPr>
          <w:rFonts w:hint="eastAsia"/>
        </w:rPr>
        <w:t>调研棠下换流站现场工程现状，提出换流站工程实施方案，方案需满足以下要求：</w:t>
      </w:r>
    </w:p>
    <w:p w14:paraId="060FEFAA">
      <w:pPr>
        <w:spacing w:line="360" w:lineRule="auto"/>
        <w:ind w:firstLine="480"/>
      </w:pPr>
      <w:r>
        <w:rPr>
          <w:rFonts w:hint="eastAsia"/>
        </w:rPr>
        <w:t>1）结合巡检需求及设备选择分析，提供详细</w:t>
      </w:r>
      <w:r>
        <w:t>的</w:t>
      </w:r>
      <w:r>
        <w:rPr>
          <w:rFonts w:hint="eastAsia"/>
        </w:rPr>
        <w:t>设备配置</w:t>
      </w:r>
      <w:r>
        <w:t>及</w:t>
      </w:r>
      <w:r>
        <w:rPr>
          <w:rFonts w:hint="eastAsia"/>
        </w:rPr>
        <w:t>选型方案，</w:t>
      </w:r>
      <w:r>
        <w:t>包括设备</w:t>
      </w:r>
      <w:r>
        <w:rPr>
          <w:rFonts w:hint="eastAsia"/>
        </w:rPr>
        <w:t>型号</w:t>
      </w:r>
      <w:r>
        <w:t>、参数和数量</w:t>
      </w:r>
      <w:r>
        <w:rPr>
          <w:rFonts w:hint="eastAsia"/>
        </w:rPr>
        <w:t>。应结合本站的业务应用需求，梳理感知层的监测参量及其技术要求，结合一次设备的结构外形</w:t>
      </w:r>
      <w:r>
        <w:t>、</w:t>
      </w:r>
      <w:r>
        <w:rPr>
          <w:rFonts w:hint="eastAsia"/>
        </w:rPr>
        <w:t>运行</w:t>
      </w:r>
      <w:r>
        <w:t>工况</w:t>
      </w:r>
      <w:r>
        <w:rPr>
          <w:rFonts w:hint="eastAsia"/>
        </w:rPr>
        <w:t>和布置形式，在站内已有布置感知层设备的基础上，提出适用于本项目的感知层设备配置方案。感知层设备配置及选型方案应能</w:t>
      </w:r>
      <w:r>
        <w:t>实现站内设备的外观状态监视、红外测温、设备本体表计监视、设备分合闸位置识别</w:t>
      </w:r>
      <w:r>
        <w:rPr>
          <w:rFonts w:hint="eastAsia"/>
        </w:rPr>
        <w:t>、关键</w:t>
      </w:r>
      <w:r>
        <w:t>部位监视</w:t>
      </w:r>
      <w:r>
        <w:rPr>
          <w:rFonts w:hint="eastAsia"/>
        </w:rPr>
        <w:t>或关键运行</w:t>
      </w:r>
      <w:r>
        <w:t>指标</w:t>
      </w:r>
      <w:r>
        <w:rPr>
          <w:rFonts w:hint="eastAsia"/>
        </w:rPr>
        <w:t>监视</w:t>
      </w:r>
      <w:r>
        <w:t>等巡视功能，</w:t>
      </w:r>
      <w:r>
        <w:rPr>
          <w:rFonts w:hint="eastAsia"/>
        </w:rPr>
        <w:t>满足智能巡视需求，支持三维视野管理、巡视任务管理、巡视可视化管控等功能。</w:t>
      </w:r>
    </w:p>
    <w:p w14:paraId="2C6A0EFF">
      <w:pPr>
        <w:spacing w:line="360" w:lineRule="auto"/>
        <w:ind w:firstLine="480"/>
      </w:pPr>
      <w:r>
        <w:rPr>
          <w:rFonts w:hint="eastAsia"/>
        </w:rPr>
        <w:t>2）结合工程现有设备布置及线缆走线，提供详细施工设计图纸，包括详细的感知层</w:t>
      </w:r>
      <w:r>
        <w:t>设备系统结构、</w:t>
      </w:r>
      <w:r>
        <w:rPr>
          <w:rFonts w:hint="eastAsia"/>
        </w:rPr>
        <w:t>感知层设备布点、电源</w:t>
      </w:r>
      <w:r>
        <w:t>回路、</w:t>
      </w:r>
      <w:r>
        <w:rPr>
          <w:rFonts w:hint="eastAsia"/>
        </w:rPr>
        <w:t>设备安装走线布置、安装</w:t>
      </w:r>
      <w:r>
        <w:t>大样、</w:t>
      </w:r>
      <w:r>
        <w:rPr>
          <w:rFonts w:hint="eastAsia"/>
        </w:rPr>
        <w:t>箱体接地</w:t>
      </w:r>
      <w:r>
        <w:t>、</w:t>
      </w:r>
      <w:r>
        <w:rPr>
          <w:rFonts w:hint="eastAsia"/>
        </w:rPr>
        <w:t>设计说明书、</w:t>
      </w:r>
      <w:r>
        <w:t>材料清册</w:t>
      </w:r>
      <w:r>
        <w:rPr>
          <w:rFonts w:hint="eastAsia"/>
        </w:rPr>
        <w:t>等。其中，电源回路、感知布点应能考虑全站摄像头、门禁、传感器等感知层设备供电与布置。在施工图设计时需对工程电缆沟、槽盒、开孔等情况进行详细勘察，在不影响站内建筑结构、电气主设备安装及电缆沟布置等前提下，对感知层设备的安装布置和走线路径进行设计。</w:t>
      </w:r>
    </w:p>
    <w:p w14:paraId="7BCE15FD">
      <w:pPr>
        <w:spacing w:line="360" w:lineRule="auto"/>
        <w:ind w:firstLine="480"/>
        <w:rPr>
          <w:highlight w:val="none"/>
        </w:rPr>
      </w:pPr>
      <w:r>
        <w:t>3</w:t>
      </w:r>
      <w:r>
        <w:rPr>
          <w:rFonts w:hint="eastAsia"/>
        </w:rPr>
        <w:t>）结合工程建设现状与系统架构，提供详细的智能系统架构图、网络接线图、信息流图等施工图，架构、网络图设计应能考虑覆盖全站的监控系统、感知设备。本期施工图设计时需对现有的主辅类监控系统进行详细勘察，在不影响站内现有系统架构及功能等前提下，对智能运维提供系统架构及网络架构及系统硬件</w:t>
      </w:r>
      <w:r>
        <w:rPr>
          <w:rFonts w:hint="eastAsia"/>
          <w:highlight w:val="none"/>
        </w:rPr>
        <w:t>配置等进行设计。</w:t>
      </w:r>
    </w:p>
    <w:p w14:paraId="2C2E8472">
      <w:pPr>
        <w:spacing w:line="360" w:lineRule="auto"/>
        <w:ind w:firstLine="480"/>
      </w:pPr>
      <w:r>
        <w:rPr>
          <w:rFonts w:hint="eastAsia"/>
          <w:highlight w:val="none"/>
        </w:rPr>
        <w:t>4）结合系统软件应用方案与工程方案，提供</w:t>
      </w:r>
      <w:r>
        <w:rPr>
          <w:rFonts w:hint="eastAsia"/>
          <w:highlight w:val="none"/>
          <w:lang w:eastAsia="zh-CN"/>
        </w:rPr>
        <w:t>广东电网220kV天河棠下柔直背靠背工程数字孪生应用及智能运维系统工程设计施工总承包</w:t>
      </w:r>
      <w:r>
        <w:rPr>
          <w:rFonts w:hint="eastAsia"/>
          <w:highlight w:val="none"/>
        </w:rPr>
        <w:t>方案说明，内容包括但不限于：数据架构、技术架构、软件功能及算法说明、软件集成部署方案等</w:t>
      </w:r>
      <w:r>
        <w:rPr>
          <w:rFonts w:hint="eastAsia"/>
        </w:rPr>
        <w:t>内容，满足与站内智能运维系统的功能集成、数据传输与业务场景设计配合。</w:t>
      </w:r>
    </w:p>
    <w:p w14:paraId="0F9BD4DF">
      <w:pPr>
        <w:pStyle w:val="5"/>
      </w:pPr>
      <w:bookmarkStart w:id="52" w:name="_Toc83726247"/>
      <w:bookmarkStart w:id="53" w:name="_Toc84839232"/>
      <w:bookmarkStart w:id="54" w:name="_Toc226110477"/>
      <w:r>
        <w:rPr>
          <w:rFonts w:hint="eastAsia"/>
        </w:rPr>
        <w:t>硬件设备配置要求</w:t>
      </w:r>
      <w:bookmarkEnd w:id="52"/>
      <w:bookmarkEnd w:id="53"/>
      <w:bookmarkEnd w:id="54"/>
    </w:p>
    <w:p w14:paraId="68421F1D">
      <w:pPr>
        <w:pStyle w:val="7"/>
        <w:ind w:left="425" w:hanging="425"/>
      </w:pPr>
      <w:bookmarkStart w:id="55" w:name="_Toc84839233"/>
      <w:bookmarkStart w:id="56" w:name="_Toc83726248"/>
      <w:bookmarkStart w:id="57" w:name="_Toc226110478"/>
      <w:r>
        <w:rPr>
          <w:rFonts w:hint="eastAsia"/>
        </w:rPr>
        <w:t>智能巡视设备</w:t>
      </w:r>
      <w:r>
        <w:t>配置</w:t>
      </w:r>
      <w:bookmarkEnd w:id="55"/>
      <w:bookmarkEnd w:id="56"/>
      <w:bookmarkEnd w:id="57"/>
    </w:p>
    <w:p w14:paraId="4BB08CE7">
      <w:pPr>
        <w:pStyle w:val="6"/>
        <w:spacing w:line="360" w:lineRule="auto"/>
      </w:pPr>
      <w:r>
        <w:rPr>
          <w:rFonts w:hint="eastAsia"/>
        </w:rPr>
        <w:t>1、阀厅区域监控设备要求</w:t>
      </w:r>
    </w:p>
    <w:p w14:paraId="4F1A4CF0">
      <w:pPr>
        <w:pStyle w:val="6"/>
        <w:spacing w:line="360" w:lineRule="auto"/>
      </w:pPr>
      <w:r>
        <w:rPr>
          <w:rFonts w:hint="eastAsia"/>
        </w:rPr>
        <w:t>全站共4个阀厅，配置固定式图像采集终端（卡片机）、白光一体化云台、双光谱红外热成像球机、360度全景摄像机等设备，实现阀厅内设备分合闸位置识别、设备表计数据读取、积水情况监视、阀厅内一次设备的外观监视、红外测温、裂纹情况识别、区域环境监视和进出口人员监管等功能等功能。</w:t>
      </w:r>
    </w:p>
    <w:p w14:paraId="3F0676EB">
      <w:pPr>
        <w:pStyle w:val="6"/>
        <w:spacing w:line="360" w:lineRule="auto"/>
      </w:pPr>
      <w:r>
        <w:rPr>
          <w:rFonts w:hint="eastAsia"/>
        </w:rPr>
        <w:t>其中阀厅内设备</w:t>
      </w:r>
      <w:r>
        <w:t>必须满足在强电磁场干扰环境下使用的要求。</w:t>
      </w:r>
      <w:r>
        <w:rPr>
          <w:rFonts w:hint="eastAsia"/>
        </w:rPr>
        <w:t>设备需通过G</w:t>
      </w:r>
      <w:r>
        <w:t>B/T17626</w:t>
      </w:r>
      <w:r>
        <w:rPr>
          <w:rFonts w:hint="eastAsia"/>
        </w:rPr>
        <w:t>中严酷等级为4级的电磁兼容性检验：</w:t>
      </w:r>
      <w:r>
        <w:t>静电放电抗扰度试验</w:t>
      </w:r>
      <w:r>
        <w:rPr>
          <w:rFonts w:hint="eastAsia"/>
        </w:rPr>
        <w:t>、</w:t>
      </w:r>
      <w:r>
        <w:t>射频电磁场辐射抗扰度试验</w:t>
      </w:r>
      <w:r>
        <w:rPr>
          <w:rFonts w:hint="eastAsia"/>
        </w:rPr>
        <w:t>、</w:t>
      </w:r>
      <w:r>
        <w:t>电快速瞬变脉冲群抗扰度试验</w:t>
      </w:r>
      <w:r>
        <w:rPr>
          <w:rFonts w:hint="eastAsia"/>
        </w:rPr>
        <w:t>、</w:t>
      </w:r>
      <w:r>
        <w:t>浪涌（冲击）抗扰度试验</w:t>
      </w:r>
      <w:r>
        <w:rPr>
          <w:rFonts w:hint="eastAsia"/>
        </w:rPr>
        <w:t>、</w:t>
      </w:r>
      <w:r>
        <w:t>射频场感应的传导骚扰抗扰度</w:t>
      </w:r>
      <w:r>
        <w:rPr>
          <w:rFonts w:hint="eastAsia"/>
        </w:rPr>
        <w:t>、</w:t>
      </w:r>
      <w:r>
        <w:t>工频磁场的抗扰度试验</w:t>
      </w:r>
      <w:r>
        <w:rPr>
          <w:rFonts w:hint="eastAsia"/>
        </w:rPr>
        <w:t>。</w:t>
      </w:r>
    </w:p>
    <w:p w14:paraId="760CE624">
      <w:pPr>
        <w:pStyle w:val="6"/>
        <w:spacing w:line="360" w:lineRule="auto"/>
      </w:pPr>
      <w:r>
        <w:rPr>
          <w:rFonts w:hint="eastAsia"/>
        </w:rPr>
        <w:t>2、柔直变区域监控设备要求</w:t>
      </w:r>
    </w:p>
    <w:p w14:paraId="67E5EBEF">
      <w:pPr>
        <w:pStyle w:val="6"/>
        <w:spacing w:line="360" w:lineRule="auto"/>
      </w:pPr>
      <w:r>
        <w:rPr>
          <w:rFonts w:hint="eastAsia"/>
        </w:rPr>
        <w:t>全站共4组柔直变区域，配置白光一体化云台、双光谱红外热成像云台等设备，实现柔直变区域的一次设备的外观监视、红外测温、设备表计数据读取、区域环境监视及进出口人员监管等功能。</w:t>
      </w:r>
    </w:p>
    <w:p w14:paraId="7A992F93">
      <w:pPr>
        <w:pStyle w:val="6"/>
        <w:spacing w:line="360" w:lineRule="auto"/>
      </w:pPr>
      <w:r>
        <w:t>3</w:t>
      </w:r>
      <w:r>
        <w:rPr>
          <w:rFonts w:hint="eastAsia"/>
        </w:rPr>
        <w:t>、2</w:t>
      </w:r>
      <w:r>
        <w:t>20</w:t>
      </w:r>
      <w:r>
        <w:rPr>
          <w:rFonts w:hint="eastAsia"/>
        </w:rPr>
        <w:t>k</w:t>
      </w:r>
      <w:r>
        <w:t>V</w:t>
      </w:r>
      <w:r>
        <w:rPr>
          <w:rFonts w:hint="eastAsia"/>
        </w:rPr>
        <w:t>站用变区域监控设备要求</w:t>
      </w:r>
    </w:p>
    <w:p w14:paraId="61C30EFD">
      <w:pPr>
        <w:pStyle w:val="6"/>
        <w:spacing w:line="360" w:lineRule="auto"/>
      </w:pPr>
      <w:r>
        <w:rPr>
          <w:rFonts w:hint="eastAsia"/>
        </w:rPr>
        <w:t>全站共</w:t>
      </w:r>
      <w:r>
        <w:t>2</w:t>
      </w:r>
      <w:r>
        <w:rPr>
          <w:rFonts w:hint="eastAsia"/>
        </w:rPr>
        <w:t>组2</w:t>
      </w:r>
      <w:r>
        <w:t>20</w:t>
      </w:r>
      <w:r>
        <w:rPr>
          <w:rFonts w:hint="eastAsia"/>
        </w:rPr>
        <w:t>k</w:t>
      </w:r>
      <w:r>
        <w:t>V</w:t>
      </w:r>
      <w:r>
        <w:rPr>
          <w:rFonts w:hint="eastAsia"/>
        </w:rPr>
        <w:t>站用变区域，配置白光一体化云台、双光谱红外热成像云台设备，实现2</w:t>
      </w:r>
      <w:r>
        <w:t>20</w:t>
      </w:r>
      <w:r>
        <w:rPr>
          <w:rFonts w:hint="eastAsia"/>
        </w:rPr>
        <w:t>k</w:t>
      </w:r>
      <w:r>
        <w:t>V</w:t>
      </w:r>
      <w:r>
        <w:rPr>
          <w:rFonts w:hint="eastAsia"/>
        </w:rPr>
        <w:t>站用变区域的一次设备的外观监视、红外测温、设备表计数据读取、区域环境监视及进出口人员监管等功能。</w:t>
      </w:r>
    </w:p>
    <w:p w14:paraId="1322F207">
      <w:pPr>
        <w:pStyle w:val="6"/>
        <w:spacing w:line="360" w:lineRule="auto"/>
      </w:pPr>
      <w:r>
        <w:t>4</w:t>
      </w:r>
      <w:r>
        <w:rPr>
          <w:rFonts w:hint="eastAsia"/>
        </w:rPr>
        <w:t>、35kV站用变区域监控设备要求</w:t>
      </w:r>
    </w:p>
    <w:p w14:paraId="3EABC285">
      <w:pPr>
        <w:spacing w:line="360" w:lineRule="auto"/>
        <w:ind w:firstLine="420" w:firstLineChars="200"/>
      </w:pPr>
      <w:r>
        <w:rPr>
          <w:rFonts w:hint="eastAsia"/>
        </w:rPr>
        <w:t>本项目配置固定式图像采集终端（高清固定摄像头），用于设备外观监视和设备表计数据读取。</w:t>
      </w:r>
    </w:p>
    <w:p w14:paraId="5E524932">
      <w:pPr>
        <w:pStyle w:val="6"/>
        <w:spacing w:line="360" w:lineRule="auto"/>
      </w:pPr>
      <w:r>
        <w:t>5</w:t>
      </w:r>
      <w:r>
        <w:rPr>
          <w:rFonts w:hint="eastAsia"/>
        </w:rPr>
        <w:t>、启动回路区域监控设备要求</w:t>
      </w:r>
    </w:p>
    <w:p w14:paraId="15CEFE0D">
      <w:pPr>
        <w:pStyle w:val="6"/>
        <w:spacing w:line="360" w:lineRule="auto"/>
      </w:pPr>
      <w:r>
        <w:rPr>
          <w:rFonts w:hint="eastAsia"/>
        </w:rPr>
        <w:t>全站共4个换流站单元启动回路，配置红外网络球机、双光谱红外热成像球机等设备，实现设备分合闸位置识别、红外测温、设备表计数据读取、区域环境监视及进出口人员监管等功能。</w:t>
      </w:r>
    </w:p>
    <w:p w14:paraId="40F4E801">
      <w:pPr>
        <w:pStyle w:val="6"/>
        <w:spacing w:line="360" w:lineRule="auto"/>
      </w:pPr>
      <w:r>
        <w:t>6</w:t>
      </w:r>
      <w:r>
        <w:rPr>
          <w:rFonts w:hint="eastAsia"/>
        </w:rPr>
        <w:t>、桥臂电抗器区域监控设备要求</w:t>
      </w:r>
    </w:p>
    <w:p w14:paraId="0E753972">
      <w:pPr>
        <w:pStyle w:val="6"/>
        <w:spacing w:line="360" w:lineRule="auto"/>
      </w:pPr>
      <w:r>
        <w:rPr>
          <w:rFonts w:hint="eastAsia"/>
        </w:rPr>
        <w:t>全站共4组桥臂电抗器，配置红外网络球机、双光谱红外热成像球机等设备，实现设备分合闸位置识别、红外测温、设备表计数据读取、区域环境监视及进出口人员监管等功能。</w:t>
      </w:r>
    </w:p>
    <w:p w14:paraId="42297E0A">
      <w:pPr>
        <w:pStyle w:val="6"/>
        <w:spacing w:line="360" w:lineRule="auto"/>
      </w:pPr>
      <w:r>
        <w:t>7</w:t>
      </w:r>
      <w:r>
        <w:rPr>
          <w:rFonts w:hint="eastAsia"/>
        </w:rPr>
        <w:t>、水处理设备间、水冷设备间</w:t>
      </w:r>
    </w:p>
    <w:p w14:paraId="4CD5253E">
      <w:pPr>
        <w:pStyle w:val="6"/>
        <w:spacing w:line="360" w:lineRule="auto"/>
      </w:pPr>
      <w:r>
        <w:rPr>
          <w:rFonts w:hint="eastAsia"/>
        </w:rPr>
        <w:t>本项目配置红外网络球机、双光谱红外热成像球机等设备，用设备外观监视及红外测温和设备表计数据读取。</w:t>
      </w:r>
    </w:p>
    <w:p w14:paraId="28028CAC">
      <w:pPr>
        <w:pStyle w:val="6"/>
        <w:spacing w:line="360" w:lineRule="auto"/>
      </w:pPr>
      <w:r>
        <w:t>8</w:t>
      </w:r>
      <w:r>
        <w:rPr>
          <w:rFonts w:hint="eastAsia"/>
        </w:rPr>
        <w:t>、阀控二次设备室、阀备品备件库、一次备品备件库、二次备品备件库、消防气瓶间、隔直室等设备间</w:t>
      </w:r>
    </w:p>
    <w:p w14:paraId="04DB7176">
      <w:pPr>
        <w:pStyle w:val="6"/>
        <w:spacing w:line="360" w:lineRule="auto"/>
      </w:pPr>
      <w:r>
        <w:rPr>
          <w:rFonts w:hint="eastAsia"/>
        </w:rPr>
        <w:t>本项目配置固定式图像采集终端（高清固定摄像头）、红外网络球机，用于设备外观监视和设备表计数据读取。</w:t>
      </w:r>
    </w:p>
    <w:p w14:paraId="719C8093">
      <w:pPr>
        <w:pStyle w:val="6"/>
        <w:spacing w:line="360" w:lineRule="auto"/>
      </w:pPr>
      <w:r>
        <w:t>9</w:t>
      </w:r>
      <w:r>
        <w:rPr>
          <w:rFonts w:hint="eastAsia"/>
        </w:rPr>
        <w:t>、换流单元二次设备间、公用二次设备间等设备间</w:t>
      </w:r>
    </w:p>
    <w:p w14:paraId="1BFD76E6">
      <w:pPr>
        <w:pStyle w:val="6"/>
        <w:spacing w:line="360" w:lineRule="auto"/>
      </w:pPr>
      <w:r>
        <w:rPr>
          <w:rFonts w:hint="eastAsia"/>
        </w:rPr>
        <w:t>本项目配置固定式图像采集终端（高清固定摄像头）、红外网络球机，用于环境、人员监控。</w:t>
      </w:r>
    </w:p>
    <w:p w14:paraId="65C713D1">
      <w:pPr>
        <w:pStyle w:val="7"/>
        <w:ind w:left="425" w:hanging="425"/>
      </w:pPr>
      <w:bookmarkStart w:id="58" w:name="_Toc226110479"/>
      <w:r>
        <w:rPr>
          <w:rFonts w:hint="eastAsia"/>
        </w:rPr>
        <w:t>智能监视设备</w:t>
      </w:r>
      <w:r>
        <w:t>配置</w:t>
      </w:r>
      <w:bookmarkEnd w:id="58"/>
    </w:p>
    <w:p w14:paraId="215036F5">
      <w:pPr>
        <w:pStyle w:val="6"/>
        <w:spacing w:line="360" w:lineRule="auto"/>
      </w:pPr>
      <w:r>
        <w:rPr>
          <w:rFonts w:hint="eastAsia"/>
        </w:rPr>
        <w:t>1、环境监测设备</w:t>
      </w:r>
    </w:p>
    <w:p w14:paraId="1D591C6A">
      <w:pPr>
        <w:pStyle w:val="6"/>
        <w:spacing w:line="360" w:lineRule="auto"/>
      </w:pPr>
      <w:r>
        <w:rPr>
          <w:rFonts w:hint="eastAsia"/>
        </w:rPr>
        <w:t>本项目配置六要素微气象传感器、温湿度传感器、水浸、门禁、风机、水泵远方控制模块等，满足全站环境监视需求。</w:t>
      </w:r>
    </w:p>
    <w:p w14:paraId="7EA3C5F4">
      <w:pPr>
        <w:pStyle w:val="6"/>
        <w:spacing w:line="360" w:lineRule="auto"/>
      </w:pPr>
      <w:r>
        <w:rPr>
          <w:rFonts w:hint="eastAsia"/>
        </w:rPr>
        <w:t>2、安全监控设备</w:t>
      </w:r>
    </w:p>
    <w:p w14:paraId="6BEE0B5D">
      <w:pPr>
        <w:pStyle w:val="6"/>
        <w:spacing w:line="360" w:lineRule="auto"/>
      </w:pPr>
      <w:r>
        <w:rPr>
          <w:rFonts w:hint="eastAsia"/>
        </w:rPr>
        <w:t>本项目配置电子巡查装置，满足站内三级反恐要求。</w:t>
      </w:r>
    </w:p>
    <w:p w14:paraId="2636D404">
      <w:pPr>
        <w:pStyle w:val="6"/>
        <w:spacing w:line="360" w:lineRule="auto"/>
      </w:pPr>
      <w:r>
        <w:rPr>
          <w:rFonts w:hint="eastAsia"/>
        </w:rPr>
        <w:t>3、安全监测设备</w:t>
      </w:r>
    </w:p>
    <w:p w14:paraId="20706037">
      <w:pPr>
        <w:pStyle w:val="6"/>
        <w:spacing w:line="360" w:lineRule="auto"/>
      </w:pPr>
      <w:r>
        <w:rPr>
          <w:rFonts w:hint="eastAsia"/>
        </w:rPr>
        <w:t>本项目配置P</w:t>
      </w:r>
      <w:r>
        <w:t>TN600</w:t>
      </w:r>
      <w:r>
        <w:rPr>
          <w:rFonts w:hint="eastAsia"/>
        </w:rPr>
        <w:t>监测装置1套，用于柔直变压器及2</w:t>
      </w:r>
      <w:r>
        <w:t>20</w:t>
      </w:r>
      <w:r>
        <w:rPr>
          <w:rFonts w:hint="eastAsia"/>
        </w:rPr>
        <w:t>k</w:t>
      </w:r>
      <w:r>
        <w:t>V</w:t>
      </w:r>
      <w:r>
        <w:rPr>
          <w:rFonts w:hint="eastAsia"/>
        </w:rPr>
        <w:t>站用变的铁芯夹件泄露电流、接地电流，以及全站一点接地电流监测。</w:t>
      </w:r>
    </w:p>
    <w:p w14:paraId="1227F1C1">
      <w:pPr>
        <w:pStyle w:val="7"/>
        <w:ind w:left="425" w:hanging="425"/>
      </w:pPr>
      <w:bookmarkStart w:id="59" w:name="_Toc226110480"/>
      <w:r>
        <w:rPr>
          <w:rFonts w:hint="eastAsia"/>
        </w:rPr>
        <w:t>后端及服务器设备</w:t>
      </w:r>
      <w:r>
        <w:t>配置</w:t>
      </w:r>
      <w:bookmarkEnd w:id="59"/>
    </w:p>
    <w:p w14:paraId="21722F70">
      <w:pPr>
        <w:pStyle w:val="6"/>
        <w:spacing w:line="360" w:lineRule="auto"/>
      </w:pPr>
      <w:r>
        <w:rPr>
          <w:rFonts w:hint="eastAsia"/>
        </w:rPr>
        <w:t>1、数据集成设备</w:t>
      </w:r>
    </w:p>
    <w:p w14:paraId="3492A99D">
      <w:pPr>
        <w:pStyle w:val="6"/>
        <w:spacing w:line="360" w:lineRule="auto"/>
      </w:pPr>
      <w:r>
        <w:rPr>
          <w:rFonts w:hint="eastAsia"/>
        </w:rPr>
        <w:t>本项目配置环境数据综合处理单元、视频汇聚箱、电/光口交换机、N</w:t>
      </w:r>
      <w:r>
        <w:t>VR</w:t>
      </w:r>
      <w:r>
        <w:rPr>
          <w:rFonts w:hint="eastAsia"/>
        </w:rPr>
        <w:t>及硬盘等设备，满足全站视频监控设备、环境监测设备、人脸门禁、人闸车闸等I</w:t>
      </w:r>
      <w:r>
        <w:t>II</w:t>
      </w:r>
      <w:r>
        <w:rPr>
          <w:rFonts w:hint="eastAsia"/>
        </w:rPr>
        <w:t>区辅控及安防设备数据的集成上送。</w:t>
      </w:r>
    </w:p>
    <w:p w14:paraId="7981C246">
      <w:pPr>
        <w:pStyle w:val="6"/>
        <w:spacing w:line="360" w:lineRule="auto"/>
      </w:pPr>
      <w:r>
        <w:rPr>
          <w:rFonts w:hint="eastAsia"/>
        </w:rPr>
        <w:t>2、智能运维网关及服务器设备</w:t>
      </w:r>
    </w:p>
    <w:p w14:paraId="0206FA42">
      <w:pPr>
        <w:pStyle w:val="6"/>
        <w:spacing w:line="360" w:lineRule="auto"/>
      </w:pPr>
      <w:r>
        <w:rPr>
          <w:rFonts w:hint="eastAsia"/>
        </w:rPr>
        <w:t>本项目配置I区数据单向采集装置、I</w:t>
      </w:r>
      <w:r>
        <w:t>I/III</w:t>
      </w:r>
      <w:r>
        <w:rPr>
          <w:rFonts w:hint="eastAsia"/>
        </w:rPr>
        <w:t>区智能网关、三维引擎服务器、应用服务器、防火墙、正/反向隔离装置等，满足基于三维模型的智能运维系统的站端部署、全站I</w:t>
      </w:r>
      <w:r>
        <w:t>/II/III</w:t>
      </w:r>
      <w:r>
        <w:rPr>
          <w:rFonts w:hint="eastAsia"/>
        </w:rPr>
        <w:t>区数据的集成，满足边侧系统上送要求及网络安全要求。</w:t>
      </w:r>
    </w:p>
    <w:p w14:paraId="60BB6F25">
      <w:pPr>
        <w:pStyle w:val="6"/>
        <w:spacing w:line="360" w:lineRule="auto"/>
      </w:pPr>
      <w:r>
        <w:t>3</w:t>
      </w:r>
      <w:r>
        <w:rPr>
          <w:rFonts w:hint="eastAsia"/>
        </w:rPr>
        <w:t>、数字孪生应用服务器设备</w:t>
      </w:r>
    </w:p>
    <w:p w14:paraId="11A3CEFD">
      <w:pPr>
        <w:pStyle w:val="6"/>
        <w:spacing w:line="360" w:lineRule="auto"/>
      </w:pPr>
      <w:r>
        <w:rPr>
          <w:rFonts w:hint="eastAsia"/>
        </w:rPr>
        <w:t>本项目配置GPU计算服务器、高性能仿真服务器、三维应用及展示主机，满足本项目、柔直换流站智能运维系统及透明化应用方案研究项目的软件应用部署。</w:t>
      </w:r>
    </w:p>
    <w:p w14:paraId="544883A5">
      <w:pPr>
        <w:pStyle w:val="5"/>
      </w:pPr>
      <w:bookmarkStart w:id="60" w:name="_Toc84839243"/>
      <w:bookmarkStart w:id="61" w:name="_Toc226110481"/>
      <w:r>
        <w:rPr>
          <w:rFonts w:hint="eastAsia"/>
        </w:rPr>
        <w:t>软件系统开发与应用要求</w:t>
      </w:r>
      <w:bookmarkEnd w:id="60"/>
      <w:bookmarkEnd w:id="61"/>
    </w:p>
    <w:p w14:paraId="7CEF3292">
      <w:pPr>
        <w:pStyle w:val="7"/>
      </w:pPr>
      <w:bookmarkStart w:id="62" w:name="_Toc226110482"/>
      <w:bookmarkStart w:id="63" w:name="_Toc84839244"/>
      <w:r>
        <w:rPr>
          <w:rFonts w:hint="eastAsia" w:cs="Arial"/>
          <w:sz w:val="20"/>
          <w:szCs w:val="20"/>
        </w:rPr>
        <w:t>动态知识图谱</w:t>
      </w:r>
      <w:bookmarkEnd w:id="62"/>
      <w:bookmarkEnd w:id="63"/>
    </w:p>
    <w:p w14:paraId="1F27F001">
      <w:pPr>
        <w:pStyle w:val="6"/>
        <w:spacing w:line="360" w:lineRule="auto"/>
      </w:pPr>
      <w:bookmarkStart w:id="64" w:name="_Hlk226036971"/>
      <w:r>
        <w:rPr>
          <w:rFonts w:hint="eastAsia"/>
        </w:rPr>
        <w:t>1、大语言模型部署</w:t>
      </w:r>
    </w:p>
    <w:p w14:paraId="5A2F1783">
      <w:pPr>
        <w:pStyle w:val="6"/>
        <w:spacing w:line="360" w:lineRule="auto"/>
      </w:pPr>
      <w:r>
        <w:rPr>
          <w:rFonts w:hint="eastAsia"/>
        </w:rPr>
        <w:t>本地化部署大语言模型模块。基于通义千问等开源大语言模型，采用完全本地部署方案，无需依赖外部API接口，确保数据安全性和系统独立性。功能包括文本生成与补全、文本摘要提取、问答与对话。</w:t>
      </w:r>
    </w:p>
    <w:p w14:paraId="5BA5E72D">
      <w:pPr>
        <w:pStyle w:val="6"/>
        <w:spacing w:line="360" w:lineRule="auto"/>
      </w:pPr>
      <w:r>
        <w:rPr>
          <w:rFonts w:hint="eastAsia"/>
        </w:rPr>
        <w:t>2、向量化数据库底座</w:t>
      </w:r>
    </w:p>
    <w:p w14:paraId="06A27EC5">
      <w:pPr>
        <w:pStyle w:val="6"/>
        <w:spacing w:line="360" w:lineRule="auto"/>
      </w:pPr>
      <w:r>
        <w:rPr>
          <w:rFonts w:hint="eastAsia"/>
        </w:rPr>
        <w:t>构建高度优化的换流站知识图谱的向量化数据库。数据库包含换流站电气知识、设备检修知识等，实现高效存储和检索，且能够与大语言模型的语义理解能力无缝对接。功能包括知识图谱数据导入与结构化、知识表示与向量化等。</w:t>
      </w:r>
    </w:p>
    <w:p w14:paraId="22E601BE">
      <w:pPr>
        <w:pStyle w:val="6"/>
        <w:spacing w:line="360" w:lineRule="auto"/>
      </w:pPr>
      <w:r>
        <w:rPr>
          <w:rFonts w:hint="eastAsia"/>
        </w:rPr>
        <w:t>3、多轮对话助手</w:t>
      </w:r>
    </w:p>
    <w:p w14:paraId="5CD4C4C8">
      <w:pPr>
        <w:pStyle w:val="6"/>
        <w:spacing w:line="360" w:lineRule="auto"/>
      </w:pPr>
      <w:r>
        <w:rPr>
          <w:rFonts w:hint="eastAsia"/>
        </w:rPr>
        <w:t>本地化部署基于知识库接入的多轮对话智能问答系统。主要功能包括：智能知识融合、上下文感知对话管理、专业术语理解与转换、知识自动更新机制及个性化技术支持。</w:t>
      </w:r>
    </w:p>
    <w:bookmarkEnd w:id="64"/>
    <w:p w14:paraId="698E04FF">
      <w:pPr>
        <w:pStyle w:val="6"/>
        <w:spacing w:line="360" w:lineRule="auto"/>
      </w:pPr>
      <w:r>
        <w:rPr>
          <w:rFonts w:hint="eastAsia"/>
        </w:rPr>
        <w:t>4、前端开发与应用集成</w:t>
      </w:r>
    </w:p>
    <w:p w14:paraId="08628A66">
      <w:pPr>
        <w:pStyle w:val="6"/>
        <w:spacing w:line="360" w:lineRule="auto"/>
      </w:pPr>
      <w:r>
        <w:rPr>
          <w:rFonts w:hint="eastAsia"/>
        </w:rPr>
        <w:t>应用设计及前端页面开发，要求与站内已有智能运维系统保持一致，通过微服务等技术路线，实现在站内智能运维系统子功能模块的无感集成，并通过开放A</w:t>
      </w:r>
      <w:r>
        <w:t>PI</w:t>
      </w:r>
      <w:r>
        <w:rPr>
          <w:rFonts w:hint="eastAsia"/>
        </w:rPr>
        <w:t>等接口方式，满足基于业务场景的联动功能开发。</w:t>
      </w:r>
    </w:p>
    <w:p w14:paraId="476423C6">
      <w:pPr>
        <w:pStyle w:val="6"/>
        <w:spacing w:line="360" w:lineRule="auto"/>
      </w:pPr>
      <w:r>
        <w:rPr>
          <w:rFonts w:hint="eastAsia"/>
        </w:rPr>
        <w:t>本应用技术路线应与《智能电网国家科技重大专项-城市柔直换流站小型化、数智化技术》（2</w:t>
      </w:r>
      <w:r>
        <w:t>024ZD0802604</w:t>
      </w:r>
      <w:r>
        <w:rPr>
          <w:rFonts w:hint="eastAsia"/>
        </w:rPr>
        <w:t>）》保持一致。相关前后端设计开发、应用集成、站内智能运维系统新增接口、页面开发、功能开发、数据对接等工作产生的费用等本项目投标单位承担。</w:t>
      </w:r>
    </w:p>
    <w:p w14:paraId="67BD5006">
      <w:pPr>
        <w:pStyle w:val="7"/>
        <w:rPr>
          <w:szCs w:val="21"/>
        </w:rPr>
      </w:pPr>
      <w:bookmarkStart w:id="65" w:name="_Toc226110483"/>
      <w:r>
        <w:rPr>
          <w:rFonts w:hint="eastAsia" w:cs="Arial"/>
          <w:szCs w:val="21"/>
        </w:rPr>
        <w:t>换流站运行状态智能分析</w:t>
      </w:r>
      <w:bookmarkEnd w:id="65"/>
    </w:p>
    <w:p w14:paraId="260564F0">
      <w:pPr>
        <w:pStyle w:val="6"/>
        <w:spacing w:line="360" w:lineRule="auto"/>
      </w:pPr>
      <w:bookmarkStart w:id="66" w:name="_Hlk226036945"/>
      <w:r>
        <w:rPr>
          <w:rFonts w:hint="eastAsia"/>
        </w:rPr>
        <w:t>1、换流站系统运行风险评估</w:t>
      </w:r>
    </w:p>
    <w:p w14:paraId="37FE22A1">
      <w:pPr>
        <w:pStyle w:val="6"/>
        <w:spacing w:line="360" w:lineRule="auto"/>
      </w:pPr>
      <w:r>
        <w:rPr>
          <w:rFonts w:hint="eastAsia"/>
        </w:rPr>
        <w:t>（1）系统建模与仿真</w:t>
      </w:r>
    </w:p>
    <w:p w14:paraId="2B83535B">
      <w:pPr>
        <w:pStyle w:val="6"/>
        <w:spacing w:line="360" w:lineRule="auto"/>
      </w:pPr>
      <w:r>
        <w:rPr>
          <w:rFonts w:hint="eastAsia"/>
        </w:rPr>
        <w:t>构建换流站直流近区母线一二次系统数字化模型，可开展典型场景下换流站系统的运行模拟，分析系统在典型工况下的响应。主要功能包括：1）关键交流母线一次系统建模：基于换流站一次设备的详细技术参数，构建一次设备的电磁暂态模型。2）关键交流母线二次系统建模：针对关键交流母线二次控制保护系统，通过白盒或黑盒多种建模方式建模。3）典型场景构建：提供故障注入功能，支持单一故障、复合故障、连锁故障等多种故障类型的设置。故障类型涵盖设备故障、通信故障等各种情况。4、对仿真模型关联挂接设备、二次黑盒模型、接口通信协议进行增加、删除、修改。</w:t>
      </w:r>
    </w:p>
    <w:p w14:paraId="68218DDE">
      <w:pPr>
        <w:pStyle w:val="6"/>
        <w:spacing w:line="360" w:lineRule="auto"/>
      </w:pPr>
      <w:r>
        <w:rPr>
          <w:rFonts w:hint="eastAsia"/>
        </w:rPr>
        <w:t>（2）系统事件转移图概率模型与风险模式分析</w:t>
      </w:r>
    </w:p>
    <w:p w14:paraId="6A4C663F">
      <w:pPr>
        <w:pStyle w:val="6"/>
        <w:spacing w:line="360" w:lineRule="auto"/>
      </w:pPr>
      <w:r>
        <w:rPr>
          <w:rFonts w:hint="eastAsia"/>
        </w:rPr>
        <w:t>构建换流站系统事件转移图概率模型，分析故障场景告警演化模式，支撑运行风险的量化评估和预测，主要功能包括：1）事件转移图概率模型构建：基于历史日志事件序列数据，构建换流站系统事件转移图概率模型，刻画事件序列的产生和演变机制。2、事件序列风险评估：分析事件序列异常水平的动态变化。3、风险演化模式分析：识别典型故障演化模式，筛选告警序列，分析不同告警序列模式的危险程度。4、对风险场景事件、概率权重、二次系统告警事件条目参考进行增加、删除、修改。</w:t>
      </w:r>
    </w:p>
    <w:p w14:paraId="0FFB6E9C">
      <w:pPr>
        <w:pStyle w:val="6"/>
        <w:spacing w:line="360" w:lineRule="auto"/>
      </w:pPr>
      <w:r>
        <w:rPr>
          <w:rFonts w:hint="eastAsia"/>
        </w:rPr>
        <w:t>（</w:t>
      </w:r>
      <w:r>
        <w:t>3</w:t>
      </w:r>
      <w:r>
        <w:rPr>
          <w:rFonts w:hint="eastAsia"/>
        </w:rPr>
        <w:t>）运行风险评估与风险原因回溯</w:t>
      </w:r>
    </w:p>
    <w:p w14:paraId="0C738DCF">
      <w:pPr>
        <w:pStyle w:val="6"/>
        <w:spacing w:line="360" w:lineRule="auto"/>
      </w:pPr>
      <w:r>
        <w:rPr>
          <w:rFonts w:hint="eastAsia"/>
        </w:rPr>
        <w:t>结合历史数据分析模块构建的概率模型，动态计算换流站的运行风险量化指标，分析历史数据中的因果关系，揭示风险事件的发生机制与传播路径。1、实时告警数据处理：建立高性能数据接入管道，实现告警数据的实时清洗。2、动态风险量化计算：基于历史数据结合当前告警序列，计算风险等级、趋势及潜在影响范围。3、模型在线更新机制：当发生新的故障事件时，自动收集相关数据并增量更新状态转移概率模型，确保模型适应系统运行变化。</w:t>
      </w:r>
      <w:r>
        <w:t>4</w:t>
      </w:r>
      <w:r>
        <w:rPr>
          <w:rFonts w:hint="eastAsia"/>
        </w:rPr>
        <w:t>、对告警事件集、风险评估权重及阈值进行增加、删除、修改。</w:t>
      </w:r>
      <w:bookmarkEnd w:id="66"/>
    </w:p>
    <w:p w14:paraId="4813E65C">
      <w:pPr>
        <w:pStyle w:val="6"/>
        <w:spacing w:line="360" w:lineRule="auto"/>
      </w:pPr>
      <w:r>
        <w:t>2</w:t>
      </w:r>
      <w:r>
        <w:rPr>
          <w:rFonts w:hint="eastAsia"/>
        </w:rPr>
        <w:t>、换流站设备运行智能分析算法</w:t>
      </w:r>
    </w:p>
    <w:p w14:paraId="3E793F0C">
      <w:pPr>
        <w:pStyle w:val="6"/>
        <w:spacing w:line="360" w:lineRule="auto"/>
      </w:pPr>
      <w:bookmarkStart w:id="67" w:name="_Hlk226037225"/>
      <w:r>
        <w:rPr>
          <w:rFonts w:hint="eastAsia"/>
        </w:rPr>
        <w:t>为换流站提供部署关键直流一次设备（G</w:t>
      </w:r>
      <w:r>
        <w:t>IS</w:t>
      </w:r>
      <w:r>
        <w:rPr>
          <w:rFonts w:hint="eastAsia"/>
        </w:rPr>
        <w:t>、柔直变、阀）的多维度状态感知、预警与故障诊断相关的智能分析算法模型。主要包括：</w:t>
      </w:r>
    </w:p>
    <w:p w14:paraId="4C749137">
      <w:pPr>
        <w:pStyle w:val="6"/>
        <w:spacing w:line="360" w:lineRule="auto"/>
      </w:pPr>
      <w:r>
        <w:rPr>
          <w:rFonts w:hint="eastAsia"/>
        </w:rPr>
        <w:t>G</w:t>
      </w:r>
      <w:r>
        <w:t>IS</w:t>
      </w:r>
    </w:p>
    <w:p w14:paraId="2EF3CD5D">
      <w:pPr>
        <w:pStyle w:val="6"/>
        <w:spacing w:line="360" w:lineRule="auto"/>
      </w:pPr>
      <w:r>
        <w:rPr>
          <w:rFonts w:hint="eastAsia"/>
        </w:rPr>
        <w:t>1）套管/PT/C</w:t>
      </w:r>
      <w:r>
        <w:t>T/</w:t>
      </w:r>
      <w:r>
        <w:rPr>
          <w:rFonts w:hint="eastAsia"/>
        </w:rPr>
        <w:t>开关SF6压力预警：基于LSTM时间序列等预测模型短时预测，支持查询预测结果，实现分级预警与检修建议。</w:t>
      </w:r>
    </w:p>
    <w:p w14:paraId="5A1A2F37">
      <w:pPr>
        <w:pStyle w:val="6"/>
        <w:spacing w:line="360" w:lineRule="auto"/>
      </w:pPr>
      <w:r>
        <w:t>2</w:t>
      </w:r>
      <w:r>
        <w:rPr>
          <w:rFonts w:hint="eastAsia"/>
        </w:rPr>
        <w:t>）避雷器劣化预警：基于避雷器的泄漏电流、动作次数等多源参数特征向量提取，判断避雷器绝缘性能是否劣化，提前发出预警。</w:t>
      </w:r>
    </w:p>
    <w:p w14:paraId="3992474B">
      <w:pPr>
        <w:pStyle w:val="6"/>
        <w:spacing w:line="360" w:lineRule="auto"/>
      </w:pPr>
      <w:r>
        <w:t>3</w:t>
      </w:r>
      <w:r>
        <w:rPr>
          <w:rFonts w:hint="eastAsia"/>
        </w:rPr>
        <w:t>）局放识别：基于GIS局放数据与PRPD图谱，对数据进行分析，实现GIS的绝缘状态检测。</w:t>
      </w:r>
    </w:p>
    <w:p w14:paraId="3BC5DAD1">
      <w:pPr>
        <w:pStyle w:val="6"/>
        <w:spacing w:line="360" w:lineRule="auto"/>
      </w:pPr>
      <w:r>
        <w:rPr>
          <w:rFonts w:hint="eastAsia"/>
        </w:rPr>
        <w:t>4）开关漏气预警：对历史数据进行无监督学习，基于卡尔曼滤波+滑动窗口回归等算法，实时估算SF6压力下降速率，识别微漏与突发泄漏模式。</w:t>
      </w:r>
    </w:p>
    <w:p w14:paraId="30686436">
      <w:pPr>
        <w:pStyle w:val="6"/>
        <w:spacing w:line="360" w:lineRule="auto"/>
      </w:pPr>
      <w:r>
        <w:rPr>
          <w:rFonts w:hint="eastAsia"/>
        </w:rPr>
        <w:t>5）超温预警：基于红外热成像和CNN对GIS表面温度分布进行实时分析，识别热点区域并提取温度梯度；建模温度在时间与空间上的传播特性，预测未来30分钟内的温升风险。</w:t>
      </w:r>
    </w:p>
    <w:p w14:paraId="2FD92EC1">
      <w:pPr>
        <w:pStyle w:val="6"/>
        <w:spacing w:line="360" w:lineRule="auto"/>
      </w:pPr>
      <w:r>
        <w:rPr>
          <w:rFonts w:hint="eastAsia"/>
        </w:rPr>
        <w:t>（2） 柔直变</w:t>
      </w:r>
    </w:p>
    <w:p w14:paraId="39E3725D">
      <w:pPr>
        <w:pStyle w:val="6"/>
        <w:spacing w:line="360" w:lineRule="auto"/>
      </w:pPr>
      <w:r>
        <w:rPr>
          <w:rFonts w:hint="eastAsia"/>
        </w:rPr>
        <w:t>1）机械类故障诊断：基于振动、电流等多源数据，采用基于振动特征频段的SVM分类模型，结合经验模态分解提取振动模态，识别机械故障。</w:t>
      </w:r>
    </w:p>
    <w:p w14:paraId="65A721DD">
      <w:pPr>
        <w:pStyle w:val="6"/>
        <w:spacing w:line="360" w:lineRule="auto"/>
      </w:pPr>
      <w:r>
        <w:t>2</w:t>
      </w:r>
      <w:r>
        <w:rPr>
          <w:rFonts w:hint="eastAsia"/>
        </w:rPr>
        <w:t>）油位预警：基于油位计读数、油温、环境温度、密封件膨胀系数。建立温度-油位换算函数（修正油膨胀误差）；结合油箱模型计算理论油位与实测油位偏差。</w:t>
      </w:r>
    </w:p>
    <w:p w14:paraId="57CB1172">
      <w:pPr>
        <w:pStyle w:val="6"/>
        <w:spacing w:line="360" w:lineRule="auto"/>
      </w:pPr>
      <w:r>
        <w:rPr>
          <w:rFonts w:hint="eastAsia"/>
        </w:rPr>
        <w:t>3）局部放电类型识别：通过对PRPD图谱、脉冲频率分布及放电幅值等局放信号的采集与分析，结合卷积神经网络与聚类算法对典型放电模式进行分类识别。</w:t>
      </w:r>
    </w:p>
    <w:p w14:paraId="24692D6A">
      <w:pPr>
        <w:pStyle w:val="6"/>
        <w:spacing w:line="360" w:lineRule="auto"/>
      </w:pPr>
      <w:r>
        <w:rPr>
          <w:rFonts w:hint="eastAsia"/>
        </w:rPr>
        <w:t>4）过热故障诊断：采集绕组热点温度、油顶层温度、冷却器进出油温与风扇运行状态等关键参数，结合热-负载模型与LSTM时间序列预测算法，识别变压器过热故障机制。</w:t>
      </w:r>
    </w:p>
    <w:p w14:paraId="71FFFDAB">
      <w:pPr>
        <w:pStyle w:val="6"/>
        <w:spacing w:line="360" w:lineRule="auto"/>
      </w:pPr>
      <w:r>
        <w:rPr>
          <w:rFonts w:hint="eastAsia"/>
        </w:rPr>
        <w:t>5）铁芯、夹件电流异常分析：基于接地电流等数据，采用算法模型判定电流状态偏离模式，实现对磁结构非正常导通路径的智能识别。</w:t>
      </w:r>
    </w:p>
    <w:p w14:paraId="04B371E0">
      <w:pPr>
        <w:pStyle w:val="6"/>
        <w:spacing w:line="360" w:lineRule="auto"/>
      </w:pPr>
      <w:r>
        <w:t>6</w:t>
      </w:r>
      <w:r>
        <w:rPr>
          <w:rFonts w:hint="eastAsia"/>
        </w:rPr>
        <w:t>）油色谱气体含量预警：利用油中溶解气体在线监测装置获取的多组分气体浓度数据，结合主成分分析进行特征降维，并引入基于LSTM的序列模型对气体演化趋势进行建模，构建多维融合的智能预警框架，识别多类型电热复合故障过程。</w:t>
      </w:r>
    </w:p>
    <w:p w14:paraId="73244F73">
      <w:pPr>
        <w:pStyle w:val="6"/>
        <w:spacing w:line="360" w:lineRule="auto"/>
      </w:pPr>
      <w:r>
        <w:rPr>
          <w:rFonts w:hint="eastAsia"/>
        </w:rPr>
        <w:t>7）绕组温度变化趋势分析：通过采集绕组热点温度、油温、环境温度及冷却器运行状态，构建多变量时间序列模型，并结合LSTM或指数滑动平均算法预测温度变化趋势。</w:t>
      </w:r>
      <w:bookmarkEnd w:id="67"/>
    </w:p>
    <w:p w14:paraId="4248F54E">
      <w:pPr>
        <w:pStyle w:val="6"/>
        <w:spacing w:line="360" w:lineRule="auto"/>
      </w:pPr>
      <w:bookmarkStart w:id="68" w:name="_Toc84839246"/>
      <w:bookmarkStart w:id="69" w:name="_Hlk226041127"/>
      <w:r>
        <w:t>3</w:t>
      </w:r>
      <w:r>
        <w:rPr>
          <w:rFonts w:hint="eastAsia"/>
        </w:rPr>
        <w:t>、智能分析数据库服务</w:t>
      </w:r>
    </w:p>
    <w:bookmarkEnd w:id="68"/>
    <w:p w14:paraId="03F786C2">
      <w:pPr>
        <w:pStyle w:val="6"/>
        <w:spacing w:line="360" w:lineRule="auto"/>
      </w:pPr>
      <w:r>
        <w:rPr>
          <w:rFonts w:hint="eastAsia"/>
        </w:rPr>
        <w:t>提供部署适配换流站运行状态智能分析应用的具备高效响应能力与数据存储结构的数据库服务。能力主要包括：</w:t>
      </w:r>
    </w:p>
    <w:p w14:paraId="49F976A6">
      <w:pPr>
        <w:pStyle w:val="6"/>
        <w:spacing w:line="360" w:lineRule="auto"/>
      </w:pPr>
      <w:r>
        <w:rPr>
          <w:rFonts w:hint="eastAsia"/>
        </w:rPr>
        <w:t>采集管理与状态监控：包含数据采集全流程化管理、集群状态监控与告警、采集链路监控及告警、超高速数据总线；</w:t>
      </w:r>
    </w:p>
    <w:p w14:paraId="0249A4A9">
      <w:pPr>
        <w:pStyle w:val="6"/>
        <w:spacing w:line="360" w:lineRule="auto"/>
      </w:pPr>
      <w:r>
        <w:rPr>
          <w:rFonts w:hint="eastAsia"/>
        </w:rPr>
        <w:t>数据引擎服务：包含实时/历史数据高效存储、高性能缓存、KV键值引擎、向量数据引擎；</w:t>
      </w:r>
    </w:p>
    <w:p w14:paraId="5E3E9F84">
      <w:pPr>
        <w:pStyle w:val="6"/>
        <w:spacing w:line="360" w:lineRule="auto"/>
      </w:pPr>
      <w:r>
        <w:rPr>
          <w:rFonts w:hint="eastAsia"/>
        </w:rPr>
        <w:t>代码工具服务：包含零代码与低代码开发平台与工具集；</w:t>
      </w:r>
    </w:p>
    <w:p w14:paraId="237A66AB">
      <w:pPr>
        <w:pStyle w:val="6"/>
        <w:spacing w:line="360" w:lineRule="auto"/>
      </w:pPr>
      <w:r>
        <w:rPr>
          <w:rFonts w:hint="eastAsia"/>
        </w:rPr>
        <w:t>数据处理服务：包含趋势分析工具、数据源管理、API数据转发服务</w:t>
      </w:r>
    </w:p>
    <w:p w14:paraId="29C18530">
      <w:pPr>
        <w:pStyle w:val="6"/>
        <w:spacing w:line="360" w:lineRule="auto"/>
      </w:pPr>
      <w:r>
        <w:rPr>
          <w:rFonts w:hint="eastAsia"/>
        </w:rPr>
        <w:t>数据测点配置：对智能分析算法所需感知终端、对应监测点进行结构化录入、配置、存储，构建感知终端、测点、对应的设备的关联关系映射数据库存储策略。</w:t>
      </w:r>
      <w:bookmarkEnd w:id="69"/>
    </w:p>
    <w:p w14:paraId="001F5ED4">
      <w:pPr>
        <w:pStyle w:val="6"/>
        <w:spacing w:line="360" w:lineRule="auto"/>
      </w:pPr>
      <w:r>
        <w:rPr>
          <w:rFonts w:hint="eastAsia"/>
        </w:rPr>
        <w:t>本应用技术路线应与《智能电网国家科技重大专项-城市柔直换流站小型化、数智化技术》（2</w:t>
      </w:r>
      <w:r>
        <w:t>024ZD0802604</w:t>
      </w:r>
      <w:r>
        <w:rPr>
          <w:rFonts w:hint="eastAsia"/>
        </w:rPr>
        <w:t>）》保持一致。相关前后端设计开发、应用集成、站内智能运维系统新增接口、页面开发、功能开发、数据对接等工作产生的费用等本项目投标单位承担。数据库部署应能与站内智能运维系统进行适配或在其基础上做优化。</w:t>
      </w:r>
    </w:p>
    <w:p w14:paraId="4E859D11">
      <w:pPr>
        <w:pStyle w:val="7"/>
      </w:pPr>
      <w:bookmarkStart w:id="70" w:name="_Toc226110484"/>
      <w:bookmarkStart w:id="71" w:name="_Toc84839247"/>
      <w:r>
        <w:rPr>
          <w:rFonts w:hint="eastAsia" w:cs="Arial"/>
          <w:szCs w:val="21"/>
        </w:rPr>
        <w:t>集成部署</w:t>
      </w:r>
      <w:bookmarkEnd w:id="70"/>
      <w:bookmarkEnd w:id="71"/>
    </w:p>
    <w:p w14:paraId="76E77BE7">
      <w:pPr>
        <w:pStyle w:val="6"/>
        <w:spacing w:line="360" w:lineRule="auto"/>
      </w:pPr>
      <w:r>
        <w:rPr>
          <w:rFonts w:hint="eastAsia"/>
        </w:rPr>
        <w:t>本项目投标方需要基于站内智能运维系统，通过二次开发等方式，将站内各III区数字孪生相关应用子系统进行数据对接、应用集成，形成全站统一界面的智能运维及数字孪生应用系统。集成应用的包括但不限于：</w:t>
      </w:r>
    </w:p>
    <w:p w14:paraId="29893645">
      <w:pPr>
        <w:pStyle w:val="6"/>
        <w:numPr>
          <w:ilvl w:val="0"/>
          <w:numId w:val="5"/>
        </w:numPr>
        <w:spacing w:line="360" w:lineRule="auto"/>
      </w:pPr>
      <w:r>
        <w:rPr>
          <w:rFonts w:hint="eastAsia"/>
        </w:rPr>
        <w:t>主设备数字孪生系统</w:t>
      </w:r>
    </w:p>
    <w:p w14:paraId="0FF3B788">
      <w:pPr>
        <w:pStyle w:val="6"/>
        <w:numPr>
          <w:ilvl w:val="255"/>
          <w:numId w:val="0"/>
        </w:numPr>
        <w:spacing w:line="360" w:lineRule="auto"/>
        <w:ind w:firstLine="425"/>
      </w:pPr>
      <w:r>
        <w:rPr>
          <w:rFonts w:hint="eastAsia"/>
        </w:rPr>
        <w:t>包括将站内柔直变、阀的设备数字孪生仿真应用，通过页面集成、应用融合等方式集成在智能运维系统中，实现功能联动与应用界面、运行结果、参数情况等无缝切换、调用、展示。</w:t>
      </w:r>
    </w:p>
    <w:p w14:paraId="13D4944E">
      <w:pPr>
        <w:pStyle w:val="6"/>
        <w:numPr>
          <w:ilvl w:val="255"/>
          <w:numId w:val="0"/>
        </w:numPr>
        <w:spacing w:line="360" w:lineRule="auto"/>
        <w:ind w:firstLine="425"/>
      </w:pPr>
      <w:r>
        <w:rPr>
          <w:rFonts w:hint="eastAsia"/>
        </w:rPr>
        <w:t>配合《柔直换流站透明化关键技术研究专题研究》相关软件在本项目提供的服务器硬件中进行部署、运行、展示。</w:t>
      </w:r>
    </w:p>
    <w:p w14:paraId="5D4A3B24">
      <w:pPr>
        <w:pStyle w:val="6"/>
        <w:numPr>
          <w:ilvl w:val="0"/>
          <w:numId w:val="5"/>
        </w:numPr>
        <w:spacing w:line="360" w:lineRule="auto"/>
      </w:pPr>
      <w:r>
        <w:rPr>
          <w:rFonts w:hint="eastAsia"/>
        </w:rPr>
        <w:t>动态知识图谱系统</w:t>
      </w:r>
    </w:p>
    <w:p w14:paraId="03CBC6DF">
      <w:pPr>
        <w:pStyle w:val="6"/>
        <w:numPr>
          <w:ilvl w:val="255"/>
          <w:numId w:val="0"/>
        </w:numPr>
        <w:spacing w:line="360" w:lineRule="auto"/>
        <w:ind w:firstLine="425"/>
      </w:pPr>
      <w:r>
        <w:rPr>
          <w:rFonts w:hint="eastAsia"/>
        </w:rPr>
        <w:t>包括将站内动态知识图谱应用，通过页面集成、应用融合等方式集成在智能运维系统中，实现功能联动与应用界面、运行结果、参数情况等无缝切换、调用、展示。</w:t>
      </w:r>
    </w:p>
    <w:p w14:paraId="3B9916FA">
      <w:pPr>
        <w:pStyle w:val="6"/>
        <w:numPr>
          <w:ilvl w:val="0"/>
          <w:numId w:val="5"/>
        </w:numPr>
        <w:spacing w:line="360" w:lineRule="auto"/>
      </w:pPr>
      <w:r>
        <w:rPr>
          <w:rFonts w:hint="eastAsia"/>
        </w:rPr>
        <w:t>换流站运行状态智能分析系统</w:t>
      </w:r>
    </w:p>
    <w:p w14:paraId="02667348">
      <w:pPr>
        <w:pStyle w:val="6"/>
        <w:numPr>
          <w:ilvl w:val="255"/>
          <w:numId w:val="0"/>
        </w:numPr>
        <w:spacing w:line="360" w:lineRule="auto"/>
        <w:ind w:firstLine="425"/>
      </w:pPr>
      <w:r>
        <w:rPr>
          <w:rFonts w:hint="eastAsia"/>
        </w:rPr>
        <w:t>包括将站内换流站运行状态智能分析系统应用，通过页面集成、应用融合等方式集成在智能运维系统中，实现功能联动与应用界面、运行结果、参数情况等无缝切换、调用、展示。</w:t>
      </w:r>
    </w:p>
    <w:p w14:paraId="2F615185">
      <w:pPr>
        <w:pStyle w:val="5"/>
      </w:pPr>
      <w:bookmarkStart w:id="72" w:name="_Toc84839252"/>
      <w:bookmarkStart w:id="73" w:name="_Toc226110485"/>
      <w:bookmarkStart w:id="74" w:name="_Toc276492417"/>
      <w:bookmarkStart w:id="75" w:name="_Toc83649560"/>
      <w:bookmarkStart w:id="76" w:name="_Toc276490905"/>
      <w:bookmarkStart w:id="77" w:name="_Toc271281212"/>
      <w:r>
        <w:rPr>
          <w:rFonts w:hint="eastAsia"/>
        </w:rPr>
        <w:t>系统数据接口开发与应用要求</w:t>
      </w:r>
      <w:bookmarkEnd w:id="72"/>
      <w:bookmarkEnd w:id="73"/>
    </w:p>
    <w:p w14:paraId="43813648">
      <w:pPr>
        <w:pStyle w:val="7"/>
      </w:pPr>
      <w:bookmarkStart w:id="78" w:name="_Toc226110486"/>
      <w:r>
        <w:rPr>
          <w:rFonts w:hint="eastAsia"/>
        </w:rPr>
        <w:t>全站I/II/III区运行监控数据</w:t>
      </w:r>
      <w:bookmarkEnd w:id="78"/>
    </w:p>
    <w:p w14:paraId="4F0C4644">
      <w:pPr>
        <w:pStyle w:val="6"/>
        <w:spacing w:line="360" w:lineRule="auto"/>
      </w:pPr>
      <w:bookmarkStart w:id="79" w:name="_Hlk226040763"/>
      <w:r>
        <w:rPr>
          <w:rFonts w:hint="eastAsia"/>
        </w:rPr>
        <w:t>全站I/II/III区运行监控数据，投标方应负责在各生产大区内部汇聚所有相关子系统数据，包含但不限于各系统数据点表的对接及整理、数据接口及相关数据协议的开发、数据链路测试与传输链路搭建、配合调试I/II/III区防火墙或隔离装置的数据链路，保证数据畅通，最终实现在智能运维系统中的集成与调用。各生产大区数据汇集工作要求，包含但不限于：</w:t>
      </w:r>
    </w:p>
    <w:p w14:paraId="24F07DF0">
      <w:pPr>
        <w:pStyle w:val="6"/>
        <w:spacing w:line="360" w:lineRule="auto"/>
      </w:pPr>
      <w:r>
        <w:rPr>
          <w:rFonts w:hint="eastAsia"/>
        </w:rPr>
        <w:t>1、</w:t>
      </w:r>
      <w:r>
        <w:rPr>
          <w:lang w:bidi="ar"/>
        </w:rPr>
        <w:t>I</w:t>
      </w:r>
      <w:r>
        <w:rPr>
          <w:rFonts w:hint="eastAsia"/>
          <w:lang w:bidi="ar"/>
        </w:rPr>
        <w:t>区主设备监控系统（</w:t>
      </w:r>
      <w:r>
        <w:rPr>
          <w:lang w:bidi="ar"/>
        </w:rPr>
        <w:t>SCADA</w:t>
      </w:r>
      <w:r>
        <w:rPr>
          <w:rFonts w:hint="eastAsia"/>
          <w:lang w:bidi="ar"/>
        </w:rPr>
        <w:t>）遥信、遥测、遥调信息经</w:t>
      </w:r>
      <w:r>
        <w:rPr>
          <w:lang w:bidi="ar"/>
        </w:rPr>
        <w:t>I</w:t>
      </w:r>
      <w:r>
        <w:rPr>
          <w:rFonts w:hint="eastAsia"/>
          <w:lang w:bidi="ar"/>
        </w:rPr>
        <w:t>区数据转发服务器转换为文件通过防火墙传输到Ⅱ区核心交换机，并经Ⅱ区网关将数据通过单向隔离装置传至</w:t>
      </w:r>
      <w:r>
        <w:rPr>
          <w:lang w:bidi="ar"/>
        </w:rPr>
        <w:t>III</w:t>
      </w:r>
      <w:r>
        <w:rPr>
          <w:rFonts w:hint="eastAsia"/>
          <w:lang w:bidi="ar"/>
        </w:rPr>
        <w:t>区，实现将站端主设备监控系统中电流、电压的实时监测数据、告警数据、操作信号等单向发送至智能运维系统系统，实现全站监控系统数据接入与融合。智能运维系统形成的</w:t>
      </w:r>
      <w:r>
        <w:rPr>
          <w:lang w:bidi="ar"/>
        </w:rPr>
        <w:t>III</w:t>
      </w:r>
      <w:r>
        <w:rPr>
          <w:rFonts w:hint="eastAsia"/>
          <w:lang w:bidi="ar"/>
        </w:rPr>
        <w:t>区开关视频辅助判据信息在</w:t>
      </w:r>
      <w:r>
        <w:rPr>
          <w:lang w:bidi="ar"/>
        </w:rPr>
        <w:t>III</w:t>
      </w:r>
      <w:r>
        <w:rPr>
          <w:rFonts w:hint="eastAsia"/>
          <w:lang w:bidi="ar"/>
        </w:rPr>
        <w:t>区处理数据后转换为文件通过单向隔离装置传至Ⅱ区网关，再通过防火墙传到</w:t>
      </w:r>
      <w:r>
        <w:rPr>
          <w:lang w:bidi="ar"/>
        </w:rPr>
        <w:t>I</w:t>
      </w:r>
      <w:r>
        <w:rPr>
          <w:rFonts w:hint="eastAsia"/>
          <w:lang w:bidi="ar"/>
        </w:rPr>
        <w:t>区核心交换机，并经</w:t>
      </w:r>
      <w:r>
        <w:rPr>
          <w:lang w:bidi="ar"/>
        </w:rPr>
        <w:t>I</w:t>
      </w:r>
      <w:r>
        <w:rPr>
          <w:rFonts w:hint="eastAsia"/>
          <w:lang w:bidi="ar"/>
        </w:rPr>
        <w:t>区数据转发服务器转发至</w:t>
      </w:r>
      <w:r>
        <w:rPr>
          <w:lang w:bidi="ar"/>
        </w:rPr>
        <w:t>I</w:t>
      </w:r>
      <w:r>
        <w:rPr>
          <w:rFonts w:hint="eastAsia"/>
          <w:lang w:bidi="ar"/>
        </w:rPr>
        <w:t>区主设备监控系统，实现智能操作开关与刀闸位置辅助判据确认。</w:t>
      </w:r>
    </w:p>
    <w:p w14:paraId="391C34DB">
      <w:pPr>
        <w:pStyle w:val="6"/>
        <w:spacing w:line="360" w:lineRule="auto"/>
        <w:rPr>
          <w:lang w:bidi="ar"/>
        </w:rPr>
      </w:pPr>
      <w:r>
        <w:rPr>
          <w:rFonts w:hint="eastAsia"/>
        </w:rPr>
        <w:t>2、</w:t>
      </w:r>
      <w:r>
        <w:rPr>
          <w:rFonts w:hint="eastAsia"/>
          <w:lang w:bidi="ar"/>
        </w:rPr>
        <w:t>全站在线监测数据集中到Ⅱ区智能网关后传输到Ⅱ区核心交换机，经Ⅱ区数据转发服务器处理数据后，数据从Ⅱ区核心交换机通过单向隔离装置传至</w:t>
      </w:r>
      <w:r>
        <w:rPr>
          <w:lang w:bidi="ar"/>
        </w:rPr>
        <w:t>III</w:t>
      </w:r>
      <w:r>
        <w:rPr>
          <w:rFonts w:hint="eastAsia"/>
          <w:lang w:bidi="ar"/>
        </w:rPr>
        <w:t>区，并经</w:t>
      </w:r>
      <w:r>
        <w:rPr>
          <w:lang w:bidi="ar"/>
        </w:rPr>
        <w:t>III</w:t>
      </w:r>
      <w:r>
        <w:rPr>
          <w:rFonts w:hint="eastAsia"/>
          <w:lang w:bidi="ar"/>
        </w:rPr>
        <w:t>区服务器将在线监测子系统的实时监测数据、告警数据发送至智能运维系统，实现全站在线监测数据接入与融合。</w:t>
      </w:r>
    </w:p>
    <w:p w14:paraId="0A249924">
      <w:pPr>
        <w:pStyle w:val="6"/>
        <w:spacing w:line="360" w:lineRule="auto"/>
        <w:rPr>
          <w:lang w:bidi="ar"/>
        </w:rPr>
      </w:pPr>
      <w:r>
        <w:rPr>
          <w:rFonts w:hint="eastAsia"/>
          <w:lang w:bidi="ar"/>
        </w:rPr>
        <w:t>同时依据广州供电局与广州电科院对在线监测的管理分工，应能将需要在线监测数据依据电科院监控需求，由II区智能网关通过II区网络，对接上送至电科院主站平台。上送在线监测数据内容包含但不限于：油色谱监测、局放监测、交流区域避雷器监测、电能质量采集、谐波监测等，具体清单在工程调试阶段由招标方明确。</w:t>
      </w:r>
    </w:p>
    <w:p w14:paraId="3913BCEA">
      <w:pPr>
        <w:pStyle w:val="6"/>
        <w:spacing w:line="360" w:lineRule="auto"/>
      </w:pPr>
      <w:r>
        <w:rPr>
          <w:rFonts w:hint="eastAsia"/>
        </w:rPr>
        <w:t>本项目中软件系统相关所需数据，数据链路统一由智能运维系统提供转发服务，应由投标方设计并向智能运维系统厂家提供合理的数据需求清单、数据传输方案、数据接口方案、应用联动策略，同时应能协调智能运维系统厂家对所需数据接口进行扩容、开发等工作。</w:t>
      </w:r>
    </w:p>
    <w:p w14:paraId="454337BF">
      <w:pPr>
        <w:pStyle w:val="6"/>
        <w:numPr>
          <w:ilvl w:val="0"/>
          <w:numId w:val="5"/>
        </w:numPr>
        <w:spacing w:line="360" w:lineRule="auto"/>
      </w:pPr>
      <w:r>
        <w:rPr>
          <w:lang w:bidi="ar"/>
        </w:rPr>
        <w:t>III</w:t>
      </w:r>
      <w:r>
        <w:rPr>
          <w:rFonts w:hint="eastAsia"/>
          <w:lang w:bidi="ar"/>
        </w:rPr>
        <w:t>区站端系统数据接口包括视频监控系统数据接口、环境监测系统数据接口等所有III区辅控子系统数据。各业务接口与站端</w:t>
      </w:r>
      <w:r>
        <w:rPr>
          <w:lang w:bidi="ar"/>
        </w:rPr>
        <w:t>III</w:t>
      </w:r>
      <w:r>
        <w:rPr>
          <w:rFonts w:hint="eastAsia"/>
          <w:lang w:bidi="ar"/>
        </w:rPr>
        <w:t>区智能网关之间组建</w:t>
      </w:r>
      <w:r>
        <w:rPr>
          <w:lang w:bidi="ar"/>
        </w:rPr>
        <w:t>IP</w:t>
      </w:r>
      <w:r>
        <w:rPr>
          <w:rFonts w:hint="eastAsia"/>
          <w:lang w:bidi="ar"/>
        </w:rPr>
        <w:t>网络，将数据集中接至站端</w:t>
      </w:r>
      <w:r>
        <w:rPr>
          <w:lang w:bidi="ar"/>
        </w:rPr>
        <w:t>III</w:t>
      </w:r>
      <w:r>
        <w:rPr>
          <w:rFonts w:hint="eastAsia"/>
          <w:lang w:bidi="ar"/>
        </w:rPr>
        <w:t>区智能网关，通过</w:t>
      </w:r>
      <w:r>
        <w:rPr>
          <w:lang w:bidi="ar"/>
        </w:rPr>
        <w:t>IP</w:t>
      </w:r>
      <w:r>
        <w:rPr>
          <w:rFonts w:hint="eastAsia"/>
          <w:lang w:bidi="ar"/>
        </w:rPr>
        <w:t>网络连接，将各业务子系统数据送至智能运维系统，实现全站III区辅控系统的数据接入与融合。</w:t>
      </w:r>
    </w:p>
    <w:p w14:paraId="3EBE72F4">
      <w:pPr>
        <w:pStyle w:val="6"/>
        <w:spacing w:line="360" w:lineRule="auto"/>
      </w:pPr>
      <w:r>
        <w:rPr>
          <w:rFonts w:hint="eastAsia"/>
        </w:rPr>
        <w:t>其中全站III区辅控系统数据接入包括但不限于：（1）本招标范围采购的摄像头、温湿度传感器等感知终端、监测系统；（2）由本站设计单位及施工单位设计、安装的摄像头、门禁、传感器等终端的接入，双方工作界面位于本项目所安装的汇聚箱中的交换机及电源接口处，由对应设备的安装单位配合设备相关点表、I</w:t>
      </w:r>
      <w:r>
        <w:t>P</w:t>
      </w:r>
      <w:r>
        <w:rPr>
          <w:rFonts w:hint="eastAsia"/>
        </w:rPr>
        <w:t>地址、命名格式等的调试接入，由本项目投标方负责所有设备按照站内智能运维系统的相关数据要求完成接入；（3）由本站设计与施工单位在施工图阶段设计、安装的其他I</w:t>
      </w:r>
      <w:r>
        <w:t>II</w:t>
      </w:r>
      <w:r>
        <w:rPr>
          <w:rFonts w:hint="eastAsia"/>
        </w:rPr>
        <w:t>区监测系统，相关对接所需必要线缆由投标方提供。</w:t>
      </w:r>
    </w:p>
    <w:p w14:paraId="2B4CC8F1">
      <w:pPr>
        <w:pStyle w:val="6"/>
        <w:spacing w:line="360" w:lineRule="auto"/>
        <w:rPr>
          <w:lang w:bidi="ar"/>
        </w:rPr>
      </w:pPr>
      <w:r>
        <w:rPr>
          <w:rFonts w:hint="eastAsia"/>
          <w:lang w:bidi="ar"/>
        </w:rPr>
        <w:t>同时依据</w:t>
      </w:r>
      <w:r>
        <w:rPr>
          <w:rFonts w:hint="eastAsia"/>
        </w:rPr>
        <w:t>广州局变电运行支持系统要求</w:t>
      </w:r>
      <w:r>
        <w:rPr>
          <w:rFonts w:hint="eastAsia"/>
          <w:lang w:bidi="ar"/>
        </w:rPr>
        <w:t>，应能配合完成将所需数据通过III区智能网关上送至主站平台，实现业务命令与结果数据的下发与上送，具体数据接口要求、数据上送要求由投标方与主站平台进行沟通，按照边侧系统相关数据格式、接口要求完成对接。</w:t>
      </w:r>
      <w:bookmarkEnd w:id="79"/>
    </w:p>
    <w:p w14:paraId="3BC59846">
      <w:pPr>
        <w:pStyle w:val="7"/>
      </w:pPr>
      <w:bookmarkStart w:id="80" w:name="_Toc226110487"/>
      <w:bookmarkStart w:id="81" w:name="_Hlk226041099"/>
      <w:r>
        <w:rPr>
          <w:rFonts w:hint="eastAsia"/>
        </w:rPr>
        <w:t>广州局主站平台数据</w:t>
      </w:r>
      <w:bookmarkEnd w:id="80"/>
    </w:p>
    <w:p w14:paraId="266F7D4A">
      <w:pPr>
        <w:pStyle w:val="6"/>
        <w:spacing w:line="360" w:lineRule="auto"/>
        <w:rPr>
          <w:lang w:bidi="ar"/>
        </w:rPr>
      </w:pPr>
      <w:r>
        <w:rPr>
          <w:rFonts w:hint="eastAsia"/>
          <w:lang w:bidi="ar"/>
        </w:rPr>
        <w:t>1、电网管理平台数据</w:t>
      </w:r>
    </w:p>
    <w:p w14:paraId="1E263AC7">
      <w:pPr>
        <w:pStyle w:val="6"/>
        <w:spacing w:line="360" w:lineRule="auto"/>
        <w:rPr>
          <w:lang w:bidi="ar"/>
        </w:rPr>
      </w:pPr>
      <w:r>
        <w:rPr>
          <w:rFonts w:hint="eastAsia"/>
        </w:rPr>
        <w:t>电网管理平台台账数据、两票数据等，投标方应能</w:t>
      </w:r>
      <w:r>
        <w:rPr>
          <w:rFonts w:hint="eastAsia"/>
          <w:lang w:bidi="ar"/>
        </w:rPr>
        <w:t xml:space="preserve">配合完成将所需数据通过III区智能网关送至站内智能运维系统， </w:t>
      </w:r>
    </w:p>
    <w:p w14:paraId="3BA9B54B">
      <w:pPr>
        <w:pStyle w:val="6"/>
        <w:spacing w:line="360" w:lineRule="auto"/>
      </w:pPr>
      <w:r>
        <w:rPr>
          <w:rFonts w:hint="eastAsia"/>
        </w:rPr>
        <w:t>2、广州局视频监控主站</w:t>
      </w:r>
    </w:p>
    <w:p w14:paraId="789CBF48">
      <w:pPr>
        <w:pStyle w:val="6"/>
        <w:spacing w:line="360" w:lineRule="auto"/>
      </w:pPr>
      <w:r>
        <w:rPr>
          <w:rFonts w:hint="eastAsia"/>
        </w:rPr>
        <w:t>投标方应能</w:t>
      </w:r>
      <w:r>
        <w:rPr>
          <w:rFonts w:hint="eastAsia"/>
          <w:lang w:bidi="ar"/>
        </w:rPr>
        <w:t>配合将站内视频监控数据按需上送至</w:t>
      </w:r>
      <w:r>
        <w:rPr>
          <w:rFonts w:hint="eastAsia"/>
        </w:rPr>
        <w:t>广州局输变配一体化视频监控等主站平台。</w:t>
      </w:r>
    </w:p>
    <w:p w14:paraId="30632079">
      <w:pPr>
        <w:pStyle w:val="7"/>
      </w:pPr>
      <w:bookmarkStart w:id="82" w:name="_Toc84839255"/>
      <w:bookmarkStart w:id="83" w:name="_Toc226110488"/>
      <w:r>
        <w:rPr>
          <w:rFonts w:hint="eastAsia"/>
        </w:rPr>
        <w:t>其他系统</w:t>
      </w:r>
      <w:bookmarkEnd w:id="82"/>
      <w:r>
        <w:rPr>
          <w:rFonts w:hint="eastAsia"/>
        </w:rPr>
        <w:t>及应用要求</w:t>
      </w:r>
      <w:bookmarkEnd w:id="83"/>
    </w:p>
    <w:p w14:paraId="65E18A69">
      <w:pPr>
        <w:pStyle w:val="6"/>
        <w:spacing w:line="360" w:lineRule="auto"/>
      </w:pPr>
      <w:r>
        <w:rPr>
          <w:rFonts w:hint="eastAsia"/>
        </w:rPr>
        <w:t>本项目提供的后端及服务器设备，应能满足全站高精度三维模型的部署与流畅应用、智能运维系统的部署与流畅应用、各系统之间的数据高速传输与系统调用。</w:t>
      </w:r>
    </w:p>
    <w:p w14:paraId="1887D0CA">
      <w:pPr>
        <w:pStyle w:val="6"/>
        <w:spacing w:line="360" w:lineRule="auto"/>
      </w:pPr>
      <w:r>
        <w:rPr>
          <w:rFonts w:hint="eastAsia"/>
        </w:rPr>
        <w:t>本项目提供的软件系统，应部署在棠下换流站安全III区，软件对硬件配置要求应能符合所供设备能力，同时投标方应能统筹考虑III区数字孪生相关应用系统、三维应用及智能运维系统的统筹部署位置与性能分配。</w:t>
      </w:r>
    </w:p>
    <w:p w14:paraId="2D61856A">
      <w:pPr>
        <w:pStyle w:val="7"/>
      </w:pPr>
      <w:bookmarkStart w:id="84" w:name="_Toc226110489"/>
      <w:bookmarkStart w:id="85" w:name="_Toc84839260"/>
      <w:r>
        <w:rPr>
          <w:rFonts w:hint="eastAsia"/>
        </w:rPr>
        <w:t>预留其他系统平台数据</w:t>
      </w:r>
      <w:bookmarkEnd w:id="84"/>
      <w:bookmarkEnd w:id="85"/>
    </w:p>
    <w:p w14:paraId="1147F78C">
      <w:pPr>
        <w:pStyle w:val="6"/>
        <w:spacing w:line="360" w:lineRule="auto"/>
      </w:pPr>
      <w:r>
        <w:rPr>
          <w:rFonts w:hint="eastAsia"/>
        </w:rPr>
        <w:t>应能针对广州局变电运行支持系统等主站系统进行接口开发，通过III区网关实现棠下换流站工作票、操作票等业务数据的下发与结果数据上送。相关主站所需配合接口开通工作，优先由招标方进行协调。</w:t>
      </w:r>
    </w:p>
    <w:bookmarkEnd w:id="81"/>
    <w:p w14:paraId="639EDB55">
      <w:pPr>
        <w:pStyle w:val="5"/>
      </w:pPr>
      <w:bookmarkStart w:id="86" w:name="_Toc84839262"/>
      <w:bookmarkStart w:id="87" w:name="_Toc226110490"/>
      <w:r>
        <w:rPr>
          <w:rFonts w:hint="eastAsia"/>
        </w:rPr>
        <w:t>服务器、通信及接口设备硬件要求</w:t>
      </w:r>
      <w:bookmarkEnd w:id="86"/>
      <w:bookmarkEnd w:id="87"/>
    </w:p>
    <w:p w14:paraId="6051330E">
      <w:pPr>
        <w:pStyle w:val="6"/>
        <w:spacing w:line="360" w:lineRule="auto"/>
        <w:ind w:firstLine="0" w:firstLineChars="0"/>
      </w:pPr>
    </w:p>
    <w:p w14:paraId="26207E7F">
      <w:pPr>
        <w:spacing w:line="360" w:lineRule="auto"/>
        <w:ind w:firstLine="420" w:firstLineChars="200"/>
      </w:pPr>
      <w:r>
        <w:rPr>
          <w:rFonts w:hint="eastAsia"/>
        </w:rPr>
        <w:t>应用服务器、三维引擎服务器主机满足三维数字化应用及智能运维系统应用需求。</w:t>
      </w:r>
    </w:p>
    <w:p w14:paraId="47A1A2E1">
      <w:pPr>
        <w:spacing w:line="360" w:lineRule="auto"/>
        <w:ind w:firstLine="420" w:firstLineChars="200"/>
      </w:pPr>
      <w:r>
        <w:rPr>
          <w:rFonts w:hint="eastAsia"/>
        </w:rPr>
        <w:t>视频存储设备满足全站所有摄像机视频存储，其中安防类摄像头90天，其余摄像头3</w:t>
      </w:r>
      <w:r>
        <w:t>0</w:t>
      </w:r>
      <w:r>
        <w:rPr>
          <w:rFonts w:hint="eastAsia"/>
        </w:rPr>
        <w:t>天的存储空间。</w:t>
      </w:r>
    </w:p>
    <w:p w14:paraId="1EF27C4A">
      <w:pPr>
        <w:spacing w:line="360" w:lineRule="auto"/>
        <w:ind w:firstLine="420" w:firstLineChars="200"/>
      </w:pPr>
      <w:r>
        <w:rPr>
          <w:rFonts w:hint="eastAsia"/>
        </w:rPr>
        <w:t>三维应用及展示主机、GPU计算服务器、高性能仿真服务器满足数字孪生应用、《柔直换流站透明化关键技术研究专题研究服务》应用的部署需求。</w:t>
      </w:r>
    </w:p>
    <w:p w14:paraId="5796E199">
      <w:pPr>
        <w:spacing w:line="360" w:lineRule="auto"/>
        <w:ind w:firstLine="420" w:firstLineChars="200"/>
      </w:pPr>
      <w:r>
        <w:rPr>
          <w:rFonts w:hint="eastAsia"/>
        </w:rPr>
        <w:t>配套通信接口设备如规约转换装置、信号传输单元、交换机、环境综合采集单元等满足现场感知硬件采集的需求。</w:t>
      </w:r>
    </w:p>
    <w:p w14:paraId="525985B2">
      <w:pPr>
        <w:spacing w:line="360" w:lineRule="auto"/>
        <w:ind w:firstLine="420" w:firstLineChars="200"/>
      </w:pPr>
      <w:r>
        <w:rPr>
          <w:rFonts w:hint="eastAsia"/>
        </w:rPr>
        <w:t>智能网关满足II区、Ⅲ区各子系统数据接入及上送主站平台与智能运维系统应用需求。</w:t>
      </w:r>
    </w:p>
    <w:p w14:paraId="4F6AD2B5">
      <w:pPr>
        <w:spacing w:line="360" w:lineRule="auto"/>
        <w:ind w:firstLine="420" w:firstLineChars="200"/>
      </w:pPr>
      <w:r>
        <w:rPr>
          <w:rFonts w:hint="eastAsia"/>
        </w:rPr>
        <w:t>正向隔离装置、反向隔离装置、防火墙设备满足Ⅲ区与Ⅰ区、Ⅱ区之间的通信需求。</w:t>
      </w:r>
    </w:p>
    <w:p w14:paraId="502249D0">
      <w:pPr>
        <w:spacing w:line="360" w:lineRule="auto"/>
        <w:ind w:firstLine="420" w:firstLineChars="200"/>
      </w:pPr>
      <w:r>
        <w:rPr>
          <w:rFonts w:hint="eastAsia"/>
        </w:rPr>
        <w:t>同时，投标方需提供能满足智能网关、服务器、数据存储等硬件网络设备、屏柜、辅材及配套的施工、安装及调试服务。</w:t>
      </w:r>
    </w:p>
    <w:p w14:paraId="4E768528">
      <w:pPr>
        <w:pStyle w:val="5"/>
      </w:pPr>
      <w:bookmarkStart w:id="88" w:name="_Toc84839264"/>
      <w:bookmarkStart w:id="89" w:name="_Toc84595247"/>
      <w:bookmarkStart w:id="90" w:name="_Toc226110491"/>
      <w:r>
        <w:rPr>
          <w:rFonts w:hint="eastAsia"/>
        </w:rPr>
        <w:t>网络</w:t>
      </w:r>
      <w:r>
        <w:t>安全</w:t>
      </w:r>
      <w:r>
        <w:rPr>
          <w:rFonts w:hint="eastAsia"/>
        </w:rPr>
        <w:t>要求</w:t>
      </w:r>
      <w:bookmarkEnd w:id="88"/>
      <w:bookmarkEnd w:id="89"/>
      <w:bookmarkEnd w:id="90"/>
    </w:p>
    <w:p w14:paraId="33DF2C25">
      <w:pPr>
        <w:pStyle w:val="7"/>
      </w:pPr>
      <w:bookmarkStart w:id="91" w:name="_Toc84839265"/>
      <w:bookmarkStart w:id="92" w:name="_Toc84595248"/>
      <w:bookmarkStart w:id="93" w:name="_Toc226110492"/>
      <w:r>
        <w:rPr>
          <w:rFonts w:hint="eastAsia"/>
        </w:rPr>
        <w:t>网络安全管理要求</w:t>
      </w:r>
      <w:bookmarkEnd w:id="91"/>
      <w:bookmarkEnd w:id="92"/>
      <w:bookmarkEnd w:id="93"/>
    </w:p>
    <w:p w14:paraId="13AD4E67">
      <w:pPr>
        <w:pStyle w:val="6"/>
        <w:spacing w:line="360" w:lineRule="auto"/>
      </w:pPr>
      <w:r>
        <w:rPr>
          <w:rFonts w:hint="eastAsia"/>
        </w:rPr>
        <w:t>在为招标方提供软硬件产品或技术服务过程中，按照有关法律法规和程序开展工作，严格执行国家的有关方针、政策，并遵守以下规定：</w:t>
      </w:r>
    </w:p>
    <w:p w14:paraId="7AA5796A">
      <w:pPr>
        <w:pStyle w:val="6"/>
        <w:spacing w:line="360" w:lineRule="auto"/>
      </w:pPr>
      <w:r>
        <w:rPr>
          <w:rFonts w:hint="eastAsia"/>
        </w:rPr>
        <w:t>（一）不利用招标方网络与信息系统从事危害国家安全、泄露国家秘密、侵犯公民、法人、招标方和其他组织的利益，或其它违法犯罪活动。</w:t>
      </w:r>
    </w:p>
    <w:p w14:paraId="392FD9F5">
      <w:pPr>
        <w:pStyle w:val="6"/>
        <w:spacing w:line="360" w:lineRule="auto"/>
      </w:pPr>
      <w:r>
        <w:rPr>
          <w:rFonts w:hint="eastAsia"/>
        </w:rPr>
        <w:t>（二）不利用项目工作便利获取和留存招标方业务数据，不利用招标方业务数据谋取利益或从事其他与项目无关工作。</w:t>
      </w:r>
    </w:p>
    <w:p w14:paraId="7BC96EFB">
      <w:pPr>
        <w:pStyle w:val="6"/>
        <w:spacing w:line="360" w:lineRule="auto"/>
      </w:pPr>
      <w:r>
        <w:rPr>
          <w:rFonts w:hint="eastAsia"/>
        </w:rPr>
        <w:t>（三）交付的软硬件产品须满足招标方安全策略要求，不得含有后门、木马、已知漏洞等安全隐患。在其产品投运前，投标方应将产品有关的功能服务台帐、特权账号等建设运维文档全部移交给招标方。</w:t>
      </w:r>
    </w:p>
    <w:p w14:paraId="79B3915C">
      <w:pPr>
        <w:pStyle w:val="6"/>
        <w:spacing w:line="360" w:lineRule="auto"/>
      </w:pPr>
      <w:r>
        <w:rPr>
          <w:rFonts w:hint="eastAsia"/>
        </w:rPr>
        <w:t>（四）遵循招标方软件开发规范、安全合规要求开展系统开发部署及运行维护工作，配合招标方开展源代码审计工作。</w:t>
      </w:r>
    </w:p>
    <w:p w14:paraId="78DC7220">
      <w:pPr>
        <w:pStyle w:val="6"/>
        <w:spacing w:line="360" w:lineRule="auto"/>
      </w:pPr>
      <w:r>
        <w:rPr>
          <w:rFonts w:hint="eastAsia"/>
        </w:rPr>
        <w:t>（五）因投标方产品设计、开发缺陷造成其交付的产品在运行中出现安全隐患时，投标方应按招标方要求开展整改，并配合招标方开展其它支撑平台的安全整改。</w:t>
      </w:r>
    </w:p>
    <w:p w14:paraId="3C1331A2">
      <w:pPr>
        <w:pStyle w:val="6"/>
        <w:spacing w:line="360" w:lineRule="auto"/>
      </w:pPr>
      <w:r>
        <w:rPr>
          <w:rFonts w:hint="eastAsia"/>
        </w:rPr>
        <w:t>（六）未经招标方许可，投标方不得将项目涉及的源代码、数据文件上传至互联网共享平台，或提供给其他组织和个人。</w:t>
      </w:r>
    </w:p>
    <w:p w14:paraId="4763DF01">
      <w:pPr>
        <w:pStyle w:val="6"/>
        <w:spacing w:line="360" w:lineRule="auto"/>
      </w:pPr>
      <w:r>
        <w:rPr>
          <w:rFonts w:hint="eastAsia"/>
        </w:rPr>
        <w:t>（七）投标方的开发测试环境中不得留存包含招标方企业名称、VI标识、真实业务数据等信息。未经招标方许可，投标方不得在互联网上搭建与项目有关的测试、演示系统，确因工作需要开展测试演示的，测试环境中不得包含招标方企业名称、VI标识、业务数据等信息，并在测试演示完成之后及时清理相关系统和数据。</w:t>
      </w:r>
    </w:p>
    <w:p w14:paraId="5D6F0A52">
      <w:pPr>
        <w:pStyle w:val="6"/>
        <w:spacing w:line="360" w:lineRule="auto"/>
      </w:pPr>
      <w:r>
        <w:rPr>
          <w:rFonts w:hint="eastAsia"/>
        </w:rPr>
        <w:t>（八）未通过招标方测试、备案的软件系统和设备不得私自上线运行。</w:t>
      </w:r>
    </w:p>
    <w:p w14:paraId="07EBC748">
      <w:pPr>
        <w:pStyle w:val="6"/>
        <w:spacing w:line="360" w:lineRule="auto"/>
      </w:pPr>
      <w:r>
        <w:rPr>
          <w:rFonts w:hint="eastAsia"/>
        </w:rPr>
        <w:t>（九）投标方在交付产品或服务质保期内，须根据《网络安全等级保护基本要求》、《</w:t>
      </w:r>
      <w:r>
        <w:t>南方电网公司网络安全合规库</w:t>
      </w:r>
      <w:r>
        <w:rPr>
          <w:rFonts w:hint="eastAsia"/>
        </w:rPr>
        <w:t>》以及招标方安全标准要求，完成安全加固配置、漏洞整改等工作。为招标方开展安全测试、安全加固等服务工作时，应及时清除服务过程产生的文件、服务、账号等信息，不得在招标方生产及测试环境留存病毒、木马文件及系统特权账号。</w:t>
      </w:r>
    </w:p>
    <w:p w14:paraId="7B48C050">
      <w:pPr>
        <w:pStyle w:val="6"/>
        <w:spacing w:line="360" w:lineRule="auto"/>
      </w:pPr>
      <w:r>
        <w:rPr>
          <w:rFonts w:hint="eastAsia"/>
        </w:rPr>
        <w:t>（十）投标方应对项目相关人员进行网络安全培训。项目实施人员上岗前须通过招标方组织的网络安全考试。</w:t>
      </w:r>
    </w:p>
    <w:p w14:paraId="3106AEE1">
      <w:pPr>
        <w:pStyle w:val="6"/>
        <w:spacing w:line="360" w:lineRule="auto"/>
      </w:pPr>
      <w:r>
        <w:rPr>
          <w:rFonts w:hint="eastAsia"/>
        </w:rPr>
        <w:t>（十一）</w:t>
      </w:r>
      <w:r>
        <w:t>投标方</w:t>
      </w:r>
      <w:r>
        <w:rPr>
          <w:rFonts w:hint="eastAsia"/>
        </w:rPr>
        <w:t>项目实施人员应满足招标方对网络安全背景的审查要求。</w:t>
      </w:r>
    </w:p>
    <w:p w14:paraId="686FC447">
      <w:pPr>
        <w:pStyle w:val="6"/>
        <w:spacing w:line="360" w:lineRule="auto"/>
      </w:pPr>
      <w:r>
        <w:rPr>
          <w:rFonts w:hint="eastAsia"/>
        </w:rPr>
        <w:t>（十二）投标方应落实网络安全责任，与招标方签订</w:t>
      </w:r>
      <w:r>
        <w:t>《网络安全协议书》</w:t>
      </w:r>
      <w:r>
        <w:rPr>
          <w:rFonts w:hint="eastAsia"/>
        </w:rPr>
        <w:t>（见附件）。安全</w:t>
      </w:r>
      <w:r>
        <w:t>协议</w:t>
      </w:r>
      <w:r>
        <w:rPr>
          <w:rFonts w:hint="eastAsia"/>
        </w:rPr>
        <w:t>书应包含</w:t>
      </w:r>
      <w:r>
        <w:t>对投标方提出有关系统开发测试、数据保密、安全培训教育、配合提供软件源代码等相关责任义务。</w:t>
      </w:r>
    </w:p>
    <w:p w14:paraId="22C9D021">
      <w:pPr>
        <w:pStyle w:val="7"/>
        <w:rPr>
          <w:rFonts w:ascii="宋体" w:hAnsi="宋体" w:eastAsia="宋体" w:cs="宋体"/>
          <w:bCs/>
          <w:color w:val="000000"/>
        </w:rPr>
      </w:pPr>
      <w:bookmarkStart w:id="94" w:name="_Toc226110493"/>
      <w:bookmarkStart w:id="95" w:name="_Toc84839266"/>
      <w:bookmarkStart w:id="96" w:name="_Toc84595249"/>
      <w:r>
        <w:rPr>
          <w:rFonts w:hint="eastAsia"/>
        </w:rPr>
        <w:t>系统建设安全要求</w:t>
      </w:r>
      <w:bookmarkEnd w:id="94"/>
      <w:bookmarkEnd w:id="95"/>
      <w:bookmarkEnd w:id="96"/>
    </w:p>
    <w:p w14:paraId="334250E4">
      <w:pPr>
        <w:pStyle w:val="6"/>
        <w:spacing w:line="360" w:lineRule="auto"/>
      </w:pPr>
      <w:r>
        <w:rPr>
          <w:rFonts w:hint="eastAsia"/>
        </w:rPr>
        <w:t>南方电网公司颁布了《信息安全保障体系》、《管理信息系统安全等级保护标准》等标准。其中《管理信息系统安全等级保护标准》将管理信息系统划分为 5 个安全等级，根据定级规范，本项目建设需要遵照南方电网信息安全标准中按照</w:t>
      </w:r>
      <w:r>
        <w:rPr>
          <w:rFonts w:hint="eastAsia"/>
          <w:b/>
        </w:rPr>
        <w:t>第二级系统</w:t>
      </w:r>
      <w:r>
        <w:rPr>
          <w:rFonts w:hint="eastAsia"/>
        </w:rPr>
        <w:t>的相关要求进行防护。</w:t>
      </w:r>
    </w:p>
    <w:p w14:paraId="1225F892">
      <w:pPr>
        <w:pStyle w:val="6"/>
        <w:spacing w:line="360" w:lineRule="auto"/>
      </w:pPr>
      <w:r>
        <w:rPr>
          <w:rFonts w:hint="eastAsia"/>
        </w:rPr>
        <w:t>投标方</w:t>
      </w:r>
      <w:r>
        <w:t>交付产品应通过出厂安全测试、入网安全测试、源代码审计等，安全测试发现的高中风险全部完成整改等。</w:t>
      </w:r>
    </w:p>
    <w:p w14:paraId="55BDC64A">
      <w:pPr>
        <w:pStyle w:val="6"/>
        <w:spacing w:line="360" w:lineRule="auto"/>
      </w:pPr>
      <w:r>
        <w:rPr>
          <w:rFonts w:hint="eastAsia"/>
        </w:rPr>
        <w:t>（一）网络平台安全</w:t>
      </w:r>
    </w:p>
    <w:p w14:paraId="6C6CE922">
      <w:pPr>
        <w:pStyle w:val="6"/>
        <w:spacing w:line="360" w:lineRule="auto"/>
      </w:pPr>
      <w:r>
        <w:rPr>
          <w:rFonts w:hint="eastAsia"/>
        </w:rPr>
        <w:t>物理安全策略。物理安全策略的目的是保护计算机系统、网络服务器等硬件实体和信链路免受自然灾害、人为破坏和搭线攻击；验证用户的身份和使用权限、防用户越权操作；确保计算机系统有一个良好的电磁兼容工作环境；建立完备的安全管理制度，防止非法进入计算机控制室和各种偷窃、破坏活动的发生。</w:t>
      </w:r>
    </w:p>
    <w:p w14:paraId="2938BEE8">
      <w:pPr>
        <w:pStyle w:val="6"/>
        <w:spacing w:line="360" w:lineRule="auto"/>
      </w:pPr>
      <w:r>
        <w:rPr>
          <w:rFonts w:hint="eastAsia"/>
        </w:rPr>
        <w:t>访问控制策略。访问控制是网络安全防范和保护的主要策略，它的主要任务是保证网络资源不被非法使用和非常访问。它也是维护网络系统安全、保护网络资源的重要手段。各种安全策略必须相互配合才能真正起到保护作用，但访问控制可以说是保证网络安全最重要的核心策略之一。</w:t>
      </w:r>
    </w:p>
    <w:p w14:paraId="01008002">
      <w:pPr>
        <w:pStyle w:val="6"/>
        <w:spacing w:line="360" w:lineRule="auto"/>
      </w:pPr>
      <w:r>
        <w:rPr>
          <w:rFonts w:hint="eastAsia"/>
        </w:rPr>
        <w:t>（二）信息系统安全</w:t>
      </w:r>
    </w:p>
    <w:p w14:paraId="0B3B8946">
      <w:pPr>
        <w:pStyle w:val="6"/>
        <w:spacing w:line="360" w:lineRule="auto"/>
      </w:pPr>
      <w:r>
        <w:rPr>
          <w:rFonts w:hint="eastAsia"/>
        </w:rPr>
        <w:t>包括内网信息系统和互联网信息系统，应从身份鉴别防护、访问控制防护、安全审计、通信完整性和保密性、系统交互安全、软件容错防护、资源控制、抗渗透能力要求等方面确保信息系统安全。</w:t>
      </w:r>
    </w:p>
    <w:p w14:paraId="060DECEB">
      <w:pPr>
        <w:pStyle w:val="6"/>
        <w:spacing w:line="360" w:lineRule="auto"/>
      </w:pPr>
      <w:r>
        <w:rPr>
          <w:rFonts w:hint="eastAsia"/>
        </w:rPr>
        <w:t>（三）用户安全</w:t>
      </w:r>
    </w:p>
    <w:p w14:paraId="5F46B1F9">
      <w:pPr>
        <w:pStyle w:val="6"/>
        <w:spacing w:line="360" w:lineRule="auto"/>
      </w:pPr>
      <w:r>
        <w:rPr>
          <w:rFonts w:hint="eastAsia"/>
        </w:rPr>
        <w:t>支持南方电网各级 PKI/CA 用户统一认证体系；</w:t>
      </w:r>
    </w:p>
    <w:p w14:paraId="3626814D">
      <w:pPr>
        <w:pStyle w:val="6"/>
        <w:spacing w:line="360" w:lineRule="auto"/>
      </w:pPr>
      <w:r>
        <w:rPr>
          <w:rFonts w:hint="eastAsia"/>
        </w:rPr>
        <w:t>支持系统范围内集中的用户账户管理，包括账户的创建、删除、修改、角色划分、权限授予等工作；</w:t>
      </w:r>
    </w:p>
    <w:p w14:paraId="7E3B2F0D">
      <w:pPr>
        <w:pStyle w:val="6"/>
        <w:spacing w:line="360" w:lineRule="auto"/>
      </w:pPr>
      <w:r>
        <w:rPr>
          <w:rFonts w:hint="eastAsia"/>
        </w:rPr>
        <w:t>对系统中出现的任何涉及安全的事件信息及时通报给指定管理员，并保存相关记录，供日后查询；</w:t>
      </w:r>
    </w:p>
    <w:p w14:paraId="3F88FBE3">
      <w:pPr>
        <w:pStyle w:val="6"/>
        <w:spacing w:line="360" w:lineRule="auto"/>
      </w:pPr>
      <w:r>
        <w:rPr>
          <w:rFonts w:hint="eastAsia"/>
        </w:rPr>
        <w:t>提供单点登录服务，允许用户只提供一个用户名和口令就可以访问系统中所有的被许可访问资源；</w:t>
      </w:r>
    </w:p>
    <w:p w14:paraId="0533F82E">
      <w:pPr>
        <w:pStyle w:val="6"/>
        <w:spacing w:line="360" w:lineRule="auto"/>
      </w:pPr>
      <w:r>
        <w:rPr>
          <w:rFonts w:hint="eastAsia"/>
        </w:rPr>
        <w:t>满足《4A 平台接入规范统一标准方案》。</w:t>
      </w:r>
    </w:p>
    <w:p w14:paraId="35C49F7B">
      <w:pPr>
        <w:pStyle w:val="6"/>
        <w:spacing w:line="360" w:lineRule="auto"/>
      </w:pPr>
      <w:r>
        <w:rPr>
          <w:rFonts w:hint="eastAsia"/>
        </w:rPr>
        <w:t>（四）数据安全</w:t>
      </w:r>
    </w:p>
    <w:p w14:paraId="5326EFF3">
      <w:pPr>
        <w:pStyle w:val="6"/>
        <w:spacing w:line="360" w:lineRule="auto"/>
      </w:pPr>
      <w:r>
        <w:rPr>
          <w:rFonts w:hint="eastAsia"/>
        </w:rPr>
        <w:t>保密性：为了保障系统数据保密性需求，保障数据库特定表中信息敏感字段的安全，系统采用对字段进行加密的方式进行存储。</w:t>
      </w:r>
    </w:p>
    <w:p w14:paraId="17D014F2">
      <w:pPr>
        <w:pStyle w:val="6"/>
        <w:spacing w:line="360" w:lineRule="auto"/>
      </w:pPr>
      <w:r>
        <w:rPr>
          <w:rFonts w:hint="eastAsia"/>
        </w:rPr>
        <w:t>数据的保密性设计，包括：访问限制、身份鉴别、数据采集的保密性、数据传输的保密性、数据使用的保密性、数据存储的保密性、数据删除的保密性。根据系统等保二级要求采用以下设计，针对机密数据在其保存在数据库之前就通过 RSA 算法进行加密，使得保存在数据库中的数据已经是不可读的方式，使用的时候再通过相关算法进行解密，防止数据库被黑客攻击导致系统机密泄漏。</w:t>
      </w:r>
    </w:p>
    <w:p w14:paraId="24C04F53">
      <w:pPr>
        <w:pStyle w:val="6"/>
        <w:spacing w:line="360" w:lineRule="auto"/>
      </w:pPr>
      <w:r>
        <w:rPr>
          <w:rFonts w:hint="eastAsia"/>
        </w:rPr>
        <w:t>完整性：为了保障系统数据完整性要求，对数据库采用多种方法来保证数据完整性，包括外键、约束、规则和触发器。并针对不同的具体情况用不同的方法进行，相互交叉使用，相补缺点。</w:t>
      </w:r>
    </w:p>
    <w:p w14:paraId="00AFDA9A">
      <w:pPr>
        <w:spacing w:line="360" w:lineRule="auto"/>
        <w:ind w:firstLine="420" w:firstLineChars="200"/>
      </w:pPr>
    </w:p>
    <w:p w14:paraId="7562094E">
      <w:pPr>
        <w:pStyle w:val="4"/>
        <w:adjustRightInd w:val="0"/>
        <w:spacing w:before="0"/>
      </w:pPr>
      <w:bookmarkStart w:id="97" w:name="_Toc84839267"/>
      <w:bookmarkStart w:id="98" w:name="_Toc226110494"/>
      <w:r>
        <w:t>试验</w:t>
      </w:r>
      <w:bookmarkEnd w:id="74"/>
      <w:bookmarkEnd w:id="75"/>
      <w:bookmarkEnd w:id="76"/>
      <w:bookmarkEnd w:id="77"/>
      <w:bookmarkEnd w:id="97"/>
      <w:bookmarkEnd w:id="98"/>
    </w:p>
    <w:p w14:paraId="4D0BDA7D">
      <w:pPr>
        <w:spacing w:line="360" w:lineRule="auto"/>
        <w:ind w:firstLine="420" w:firstLineChars="200"/>
      </w:pPr>
      <w:r>
        <w:rPr>
          <w:rFonts w:hint="eastAsia"/>
        </w:rPr>
        <w:t>对于系统的试验及检测，应按照相关标准及技术规范书进行。所有试验费用应由投标人承担。</w:t>
      </w:r>
    </w:p>
    <w:p w14:paraId="5AC9DB07">
      <w:pPr>
        <w:spacing w:line="360" w:lineRule="auto"/>
        <w:outlineLvl w:val="1"/>
        <w:rPr>
          <w:rFonts w:eastAsia="黑体"/>
        </w:rPr>
      </w:pPr>
      <w:bookmarkStart w:id="99" w:name="_Toc83649561"/>
      <w:bookmarkStart w:id="100" w:name="_Toc84839268"/>
      <w:bookmarkStart w:id="101" w:name="_Toc14451"/>
      <w:bookmarkStart w:id="102" w:name="_Toc226110495"/>
      <w:bookmarkStart w:id="103" w:name="_Toc1895"/>
      <w:bookmarkStart w:id="104" w:name="_Toc276490910"/>
      <w:bookmarkStart w:id="105" w:name="_Toc276492422"/>
      <w:r>
        <w:rPr>
          <w:rFonts w:eastAsia="黑体"/>
        </w:rPr>
        <w:t>6.1试验分类</w:t>
      </w:r>
      <w:bookmarkEnd w:id="99"/>
      <w:bookmarkEnd w:id="100"/>
      <w:bookmarkEnd w:id="101"/>
      <w:bookmarkEnd w:id="102"/>
      <w:bookmarkEnd w:id="103"/>
    </w:p>
    <w:p w14:paraId="0CE491C9">
      <w:pPr>
        <w:spacing w:line="360" w:lineRule="auto"/>
        <w:ind w:firstLine="420" w:firstLineChars="200"/>
      </w:pPr>
      <w:r>
        <w:t>试验标准参照国标及IEC相应标准进行。若智能辅助装置是第一次在国内同类变电站中采用，则投标方应按国内标准进行试验。</w:t>
      </w:r>
    </w:p>
    <w:p w14:paraId="37B97142">
      <w:pPr>
        <w:spacing w:line="360" w:lineRule="auto"/>
        <w:ind w:firstLine="420" w:firstLineChars="200"/>
      </w:pPr>
      <w:r>
        <w:t>合同设备的安装、调试由投标方负责。</w:t>
      </w:r>
    </w:p>
    <w:p w14:paraId="603AD561">
      <w:pPr>
        <w:spacing w:line="360" w:lineRule="auto"/>
        <w:ind w:firstLine="420" w:firstLineChars="200"/>
      </w:pPr>
      <w:r>
        <w:t>合同设备的性能试验、试运行和验收根据本技术规范书规定的标准、规程规范进行。</w:t>
      </w:r>
    </w:p>
    <w:p w14:paraId="4C18D35D">
      <w:pPr>
        <w:spacing w:line="360" w:lineRule="auto"/>
        <w:ind w:firstLine="420" w:firstLineChars="200"/>
      </w:pPr>
      <w:r>
        <w:t>完成合同设备安装后，招标方和投标方应检查和确认安装工作。</w:t>
      </w:r>
    </w:p>
    <w:p w14:paraId="6F716A8D">
      <w:pPr>
        <w:spacing w:line="360" w:lineRule="auto"/>
        <w:ind w:firstLine="420" w:firstLineChars="200"/>
      </w:pPr>
      <w:r>
        <w:t>设备安装、调试和性能试验合格后方可投入试运行。试运行后招、投标双方应签署合同设备的验收证明书（试运行时间按合同要求执行）。该证明书共两份，双方各执一份。</w:t>
      </w:r>
    </w:p>
    <w:p w14:paraId="6D11A645">
      <w:pPr>
        <w:spacing w:line="360" w:lineRule="auto"/>
        <w:ind w:firstLine="420" w:firstLineChars="200"/>
      </w:pPr>
      <w:r>
        <w:t>二次元件抗电气干扰试验应满足《电磁兼容试验和测量技术静电放电抗扰度试验》GB/T 17626.2-2006、《电磁兼容试验和测量技术射频电磁场辐射抗扰度试验》GB/T 17626.3-2006、《电磁兼容试验和测量技术工频磁场抗扰度试验》GB/T 17626.8-2006的相关要求。</w:t>
      </w:r>
    </w:p>
    <w:p w14:paraId="5924996E">
      <w:pPr>
        <w:spacing w:line="360" w:lineRule="auto"/>
        <w:outlineLvl w:val="1"/>
        <w:rPr>
          <w:rFonts w:eastAsia="黑体"/>
        </w:rPr>
      </w:pPr>
      <w:bookmarkStart w:id="106" w:name="_Toc2295"/>
      <w:bookmarkStart w:id="107" w:name="_Toc83649562"/>
      <w:bookmarkStart w:id="108" w:name="_Toc7455"/>
      <w:bookmarkStart w:id="109" w:name="_Toc226110496"/>
      <w:bookmarkStart w:id="110" w:name="_Toc84839269"/>
      <w:r>
        <w:rPr>
          <w:rFonts w:eastAsia="黑体"/>
        </w:rPr>
        <w:t>6.2型式试验</w:t>
      </w:r>
      <w:bookmarkEnd w:id="106"/>
      <w:bookmarkEnd w:id="107"/>
      <w:bookmarkEnd w:id="108"/>
      <w:bookmarkEnd w:id="109"/>
      <w:bookmarkEnd w:id="110"/>
    </w:p>
    <w:p w14:paraId="6C1EEE3F">
      <w:pPr>
        <w:spacing w:line="360" w:lineRule="auto"/>
        <w:outlineLvl w:val="2"/>
      </w:pPr>
      <w:r>
        <w:rPr>
          <w:bCs/>
        </w:rPr>
        <w:t>6.2.1</w:t>
      </w:r>
      <w:r>
        <w:t>绝缘性能：</w:t>
      </w:r>
    </w:p>
    <w:p w14:paraId="79A6C631">
      <w:pPr>
        <w:spacing w:line="360" w:lineRule="auto"/>
        <w:ind w:firstLine="420" w:firstLineChars="200"/>
      </w:pPr>
      <w:r>
        <w:t>1） 绝缘电阻</w:t>
      </w:r>
      <w:r>
        <w:rPr>
          <w:rFonts w:hint="eastAsia"/>
        </w:rPr>
        <w:t>。</w:t>
      </w:r>
    </w:p>
    <w:p w14:paraId="0E0E47CE">
      <w:pPr>
        <w:spacing w:line="360" w:lineRule="auto"/>
        <w:ind w:firstLine="420" w:firstLineChars="200"/>
      </w:pPr>
      <w:r>
        <w:t>2） 介质强度</w:t>
      </w:r>
      <w:r>
        <w:rPr>
          <w:rFonts w:hint="eastAsia"/>
        </w:rPr>
        <w:t>。</w:t>
      </w:r>
    </w:p>
    <w:p w14:paraId="54E56301">
      <w:pPr>
        <w:spacing w:line="360" w:lineRule="auto"/>
        <w:ind w:firstLine="420" w:firstLineChars="200"/>
      </w:pPr>
      <w:r>
        <w:t>3） 冲击电压</w:t>
      </w:r>
      <w:r>
        <w:rPr>
          <w:rFonts w:hint="eastAsia"/>
        </w:rPr>
        <w:t>。</w:t>
      </w:r>
    </w:p>
    <w:p w14:paraId="7F140DE7">
      <w:pPr>
        <w:spacing w:line="360" w:lineRule="auto"/>
        <w:outlineLvl w:val="2"/>
        <w:rPr>
          <w:bCs/>
        </w:rPr>
      </w:pPr>
      <w:r>
        <w:rPr>
          <w:bCs/>
        </w:rPr>
        <w:t>6.2.2耐湿热性能：</w:t>
      </w:r>
    </w:p>
    <w:p w14:paraId="3F665061">
      <w:pPr>
        <w:spacing w:line="360" w:lineRule="auto"/>
        <w:ind w:firstLine="420" w:firstLineChars="200"/>
        <w:rPr>
          <w:bCs/>
        </w:rPr>
      </w:pPr>
      <w:r>
        <w:rPr>
          <w:bCs/>
        </w:rPr>
        <w:t>根据试验条件和使用环境，在以下两种方法中选择其中一种。</w:t>
      </w:r>
    </w:p>
    <w:p w14:paraId="53265DA6">
      <w:pPr>
        <w:spacing w:line="360" w:lineRule="auto"/>
        <w:ind w:firstLine="420" w:firstLineChars="200"/>
        <w:rPr>
          <w:bCs/>
        </w:rPr>
      </w:pPr>
      <w:r>
        <w:rPr>
          <w:bCs/>
        </w:rPr>
        <w:t>1） 恒定湿热</w:t>
      </w:r>
      <w:r>
        <w:rPr>
          <w:rFonts w:hint="eastAsia"/>
          <w:bCs/>
        </w:rPr>
        <w:t>。</w:t>
      </w:r>
    </w:p>
    <w:p w14:paraId="01E37CEE">
      <w:pPr>
        <w:spacing w:line="360" w:lineRule="auto"/>
        <w:ind w:firstLine="420" w:firstLineChars="200"/>
        <w:rPr>
          <w:bCs/>
        </w:rPr>
      </w:pPr>
      <w:r>
        <w:rPr>
          <w:bCs/>
        </w:rPr>
        <w:t>2） 交变湿热</w:t>
      </w:r>
      <w:r>
        <w:rPr>
          <w:rFonts w:hint="eastAsia"/>
          <w:bCs/>
        </w:rPr>
        <w:t>。</w:t>
      </w:r>
    </w:p>
    <w:p w14:paraId="0F3C5EDA">
      <w:pPr>
        <w:spacing w:line="360" w:lineRule="auto"/>
        <w:outlineLvl w:val="2"/>
        <w:rPr>
          <w:bCs/>
        </w:rPr>
      </w:pPr>
      <w:r>
        <w:rPr>
          <w:bCs/>
        </w:rPr>
        <w:t>6.2.3抗电气干扰性能：</w:t>
      </w:r>
    </w:p>
    <w:p w14:paraId="1A0F8101">
      <w:pPr>
        <w:spacing w:line="360" w:lineRule="auto"/>
        <w:ind w:firstLine="420"/>
        <w:rPr>
          <w:bCs/>
        </w:rPr>
      </w:pPr>
      <w:r>
        <w:rPr>
          <w:rFonts w:hint="eastAsia"/>
          <w:bCs/>
        </w:rPr>
        <w:t>1）静电放电抗扰度</w:t>
      </w:r>
    </w:p>
    <w:p w14:paraId="5FD4C97F">
      <w:pPr>
        <w:spacing w:line="360" w:lineRule="auto"/>
        <w:ind w:firstLine="420"/>
        <w:rPr>
          <w:bCs/>
        </w:rPr>
      </w:pPr>
      <w:r>
        <w:rPr>
          <w:rFonts w:hint="eastAsia"/>
          <w:bCs/>
        </w:rPr>
        <w:t>定位系统硬件应能承受GB/T 17626.2 第5章规定的严酷等级为4级的静电放电抗扰度试验。</w:t>
      </w:r>
    </w:p>
    <w:p w14:paraId="0142E794">
      <w:pPr>
        <w:spacing w:line="360" w:lineRule="auto"/>
        <w:ind w:firstLine="420"/>
        <w:rPr>
          <w:bCs/>
        </w:rPr>
      </w:pPr>
      <w:r>
        <w:rPr>
          <w:rFonts w:hint="eastAsia"/>
          <w:bCs/>
        </w:rPr>
        <w:t>2）射频电磁场辐射抗扰度</w:t>
      </w:r>
    </w:p>
    <w:p w14:paraId="7EBAD574">
      <w:pPr>
        <w:spacing w:line="360" w:lineRule="auto"/>
        <w:ind w:firstLine="420"/>
        <w:rPr>
          <w:bCs/>
        </w:rPr>
      </w:pPr>
      <w:r>
        <w:rPr>
          <w:rFonts w:hint="eastAsia"/>
          <w:bCs/>
        </w:rPr>
        <w:t>定位系统硬件应能承受GB/T 17626.3 第5章规定的严酷等级为3级的射频电磁场辐射抗扰度试验。</w:t>
      </w:r>
    </w:p>
    <w:p w14:paraId="609BC84A">
      <w:pPr>
        <w:spacing w:line="360" w:lineRule="auto"/>
        <w:ind w:firstLine="420"/>
        <w:rPr>
          <w:bCs/>
        </w:rPr>
      </w:pPr>
      <w:r>
        <w:rPr>
          <w:rFonts w:hint="eastAsia"/>
          <w:bCs/>
        </w:rPr>
        <w:t>3）电快速瞬变脉冲群抗扰度</w:t>
      </w:r>
    </w:p>
    <w:p w14:paraId="535F9BB8">
      <w:pPr>
        <w:spacing w:line="360" w:lineRule="auto"/>
        <w:ind w:firstLine="420"/>
        <w:rPr>
          <w:bCs/>
        </w:rPr>
      </w:pPr>
      <w:r>
        <w:rPr>
          <w:rFonts w:hint="eastAsia"/>
          <w:bCs/>
        </w:rPr>
        <w:t>定位系统硬件应能承受GB/T17626.4规定的严酷等级为4级的电快速瞬变脉冲群抗扰度试验。</w:t>
      </w:r>
    </w:p>
    <w:p w14:paraId="15E5BDB5">
      <w:pPr>
        <w:spacing w:line="360" w:lineRule="auto"/>
        <w:ind w:firstLine="420"/>
        <w:rPr>
          <w:bCs/>
        </w:rPr>
      </w:pPr>
      <w:r>
        <w:rPr>
          <w:rFonts w:hint="eastAsia"/>
          <w:bCs/>
        </w:rPr>
        <w:t>4）浪涌（冲击）抗扰度</w:t>
      </w:r>
    </w:p>
    <w:p w14:paraId="29AB96C2">
      <w:pPr>
        <w:spacing w:line="360" w:lineRule="auto"/>
        <w:ind w:firstLine="420"/>
        <w:rPr>
          <w:bCs/>
        </w:rPr>
      </w:pPr>
      <w:r>
        <w:rPr>
          <w:rFonts w:hint="eastAsia"/>
          <w:bCs/>
        </w:rPr>
        <w:t>定位系统硬件应能承受GB/T 17626.5 规定的严酷等级为4级的浪涌（冲击）抗扰度试验。</w:t>
      </w:r>
    </w:p>
    <w:p w14:paraId="36C34753">
      <w:pPr>
        <w:spacing w:line="360" w:lineRule="auto"/>
        <w:ind w:firstLine="420"/>
        <w:rPr>
          <w:bCs/>
        </w:rPr>
      </w:pPr>
      <w:r>
        <w:rPr>
          <w:rFonts w:hint="eastAsia"/>
          <w:bCs/>
        </w:rPr>
        <w:t>5）射频场感应的传导骚扰抗扰度</w:t>
      </w:r>
    </w:p>
    <w:p w14:paraId="7C94137D">
      <w:pPr>
        <w:spacing w:line="360" w:lineRule="auto"/>
        <w:ind w:firstLine="420"/>
        <w:rPr>
          <w:bCs/>
        </w:rPr>
      </w:pPr>
      <w:r>
        <w:rPr>
          <w:rFonts w:hint="eastAsia"/>
          <w:bCs/>
        </w:rPr>
        <w:t>定位系统硬件应能承受GB/T17626.6规定的严酷等级为3级的射频场感应的传导骚扰抗扰度试验。</w:t>
      </w:r>
    </w:p>
    <w:p w14:paraId="57BCA888">
      <w:pPr>
        <w:spacing w:line="360" w:lineRule="auto"/>
        <w:ind w:firstLine="420"/>
        <w:rPr>
          <w:bCs/>
        </w:rPr>
      </w:pPr>
      <w:r>
        <w:rPr>
          <w:rFonts w:hint="eastAsia"/>
          <w:bCs/>
        </w:rPr>
        <w:t>6）工频磁场抗扰度</w:t>
      </w:r>
    </w:p>
    <w:p w14:paraId="7B9A48A3">
      <w:pPr>
        <w:spacing w:line="360" w:lineRule="auto"/>
        <w:ind w:firstLine="420"/>
        <w:rPr>
          <w:bCs/>
        </w:rPr>
      </w:pPr>
      <w:r>
        <w:rPr>
          <w:rFonts w:hint="eastAsia"/>
          <w:bCs/>
        </w:rPr>
        <w:t>定位系统硬件应能承受GB/T 17626.8 第5章规定的严酷等级为5级的工频磁场抗扰度试验。</w:t>
      </w:r>
    </w:p>
    <w:p w14:paraId="68E1903F">
      <w:pPr>
        <w:spacing w:line="360" w:lineRule="auto"/>
        <w:ind w:firstLine="420"/>
        <w:rPr>
          <w:bCs/>
        </w:rPr>
      </w:pPr>
      <w:r>
        <w:rPr>
          <w:rFonts w:hint="eastAsia"/>
          <w:bCs/>
        </w:rPr>
        <w:t>7）脉冲磁场抗扰度</w:t>
      </w:r>
    </w:p>
    <w:p w14:paraId="3067A49E">
      <w:pPr>
        <w:spacing w:line="360" w:lineRule="auto"/>
        <w:ind w:firstLine="420"/>
        <w:rPr>
          <w:bCs/>
        </w:rPr>
      </w:pPr>
      <w:r>
        <w:rPr>
          <w:rFonts w:hint="eastAsia"/>
          <w:bCs/>
        </w:rPr>
        <w:t>定位系统硬件应能承受GB/T17626.9 规定的严酷等级为5级的脉冲磁场抗扰度试验。</w:t>
      </w:r>
    </w:p>
    <w:p w14:paraId="1323122D">
      <w:pPr>
        <w:spacing w:line="360" w:lineRule="auto"/>
        <w:ind w:firstLine="420"/>
        <w:rPr>
          <w:bCs/>
        </w:rPr>
      </w:pPr>
      <w:r>
        <w:rPr>
          <w:rFonts w:hint="eastAsia"/>
          <w:bCs/>
        </w:rPr>
        <w:t>8）阻尼振荡磁场抗扰度</w:t>
      </w:r>
    </w:p>
    <w:p w14:paraId="437CF47B">
      <w:pPr>
        <w:spacing w:line="360" w:lineRule="auto"/>
        <w:ind w:firstLine="420"/>
        <w:rPr>
          <w:bCs/>
        </w:rPr>
      </w:pPr>
      <w:r>
        <w:rPr>
          <w:rFonts w:hint="eastAsia"/>
          <w:bCs/>
        </w:rPr>
        <w:t>定位系统硬件应能承受GB/T17626.10 规定的严酷等级为3级的阻尼振荡磁场抗扰度试验。</w:t>
      </w:r>
    </w:p>
    <w:p w14:paraId="2BBBEC00">
      <w:pPr>
        <w:spacing w:line="360" w:lineRule="auto"/>
        <w:outlineLvl w:val="2"/>
        <w:rPr>
          <w:bCs/>
        </w:rPr>
      </w:pPr>
      <w:r>
        <w:rPr>
          <w:bCs/>
        </w:rPr>
        <w:t>6.2.</w:t>
      </w:r>
      <w:r>
        <w:rPr>
          <w:rFonts w:hint="eastAsia"/>
          <w:bCs/>
        </w:rPr>
        <w:t>4</w:t>
      </w:r>
      <w:r>
        <w:rPr>
          <w:bCs/>
        </w:rPr>
        <w:t>直流电源影响。</w:t>
      </w:r>
    </w:p>
    <w:p w14:paraId="63598341">
      <w:pPr>
        <w:spacing w:line="360" w:lineRule="auto"/>
        <w:outlineLvl w:val="2"/>
        <w:rPr>
          <w:bCs/>
        </w:rPr>
      </w:pPr>
      <w:r>
        <w:rPr>
          <w:bCs/>
        </w:rPr>
        <w:t>6.2.5静态模拟、动态模拟。</w:t>
      </w:r>
    </w:p>
    <w:p w14:paraId="7C0D4AD9">
      <w:pPr>
        <w:spacing w:line="360" w:lineRule="auto"/>
        <w:outlineLvl w:val="2"/>
        <w:rPr>
          <w:bCs/>
        </w:rPr>
      </w:pPr>
      <w:r>
        <w:rPr>
          <w:bCs/>
        </w:rPr>
        <w:t>6.2.6连通通电：</w:t>
      </w:r>
    </w:p>
    <w:p w14:paraId="24FD58CD">
      <w:pPr>
        <w:spacing w:line="360" w:lineRule="auto"/>
        <w:ind w:firstLine="420" w:firstLineChars="200"/>
        <w:rPr>
          <w:bCs/>
        </w:rPr>
      </w:pPr>
      <w:r>
        <w:rPr>
          <w:bCs/>
        </w:rPr>
        <w:t>1） 振动（正弦）</w:t>
      </w:r>
      <w:r>
        <w:rPr>
          <w:rFonts w:hint="eastAsia"/>
          <w:bCs/>
        </w:rPr>
        <w:t>。</w:t>
      </w:r>
    </w:p>
    <w:p w14:paraId="26446E97">
      <w:pPr>
        <w:spacing w:line="360" w:lineRule="auto"/>
        <w:ind w:firstLine="420" w:firstLineChars="200"/>
        <w:rPr>
          <w:bCs/>
        </w:rPr>
      </w:pPr>
      <w:r>
        <w:rPr>
          <w:bCs/>
        </w:rPr>
        <w:t>2） 冲击</w:t>
      </w:r>
      <w:r>
        <w:rPr>
          <w:rFonts w:hint="eastAsia"/>
          <w:bCs/>
        </w:rPr>
        <w:t>。</w:t>
      </w:r>
    </w:p>
    <w:p w14:paraId="2A536096">
      <w:pPr>
        <w:spacing w:line="360" w:lineRule="auto"/>
        <w:ind w:firstLine="420" w:firstLineChars="200"/>
        <w:rPr>
          <w:bCs/>
        </w:rPr>
      </w:pPr>
      <w:r>
        <w:rPr>
          <w:bCs/>
        </w:rPr>
        <w:t>3） 碰撞</w:t>
      </w:r>
      <w:r>
        <w:rPr>
          <w:rFonts w:hint="eastAsia"/>
          <w:bCs/>
        </w:rPr>
        <w:t>。</w:t>
      </w:r>
    </w:p>
    <w:p w14:paraId="5BAD2A24">
      <w:pPr>
        <w:spacing w:line="360" w:lineRule="auto"/>
        <w:outlineLvl w:val="2"/>
        <w:rPr>
          <w:bCs/>
        </w:rPr>
      </w:pPr>
      <w:r>
        <w:rPr>
          <w:bCs/>
        </w:rPr>
        <w:t>6.2.7结构和外观。</w:t>
      </w:r>
    </w:p>
    <w:p w14:paraId="1D368424">
      <w:pPr>
        <w:spacing w:line="360" w:lineRule="auto"/>
        <w:ind w:firstLine="420" w:firstLineChars="200"/>
        <w:rPr>
          <w:bCs/>
        </w:rPr>
      </w:pPr>
      <w:r>
        <w:rPr>
          <w:rFonts w:hint="eastAsia"/>
          <w:bCs/>
        </w:rPr>
        <w:t>定位系统硬件</w:t>
      </w:r>
      <w:r>
        <w:rPr>
          <w:bCs/>
        </w:rPr>
        <w:t>等应采用防静电及防强电磁辐射干扰的措施</w:t>
      </w:r>
      <w:r>
        <w:rPr>
          <w:rFonts w:hint="eastAsia"/>
          <w:bCs/>
        </w:rPr>
        <w:t>，</w:t>
      </w:r>
      <w:r>
        <w:rPr>
          <w:bCs/>
        </w:rPr>
        <w:t>不带电金属部分应在电气上连成一体，并可靠接地。设备应满足发热元件的通风散热要求。</w:t>
      </w:r>
    </w:p>
    <w:p w14:paraId="4F78237B">
      <w:pPr>
        <w:spacing w:line="360" w:lineRule="auto"/>
        <w:ind w:firstLine="420" w:firstLineChars="200"/>
        <w:rPr>
          <w:bCs/>
        </w:rPr>
      </w:pPr>
      <w:r>
        <w:rPr>
          <w:rFonts w:hint="eastAsia"/>
          <w:bCs/>
        </w:rPr>
        <w:t>设备外形尺寸应满足</w:t>
      </w:r>
      <w:r>
        <w:rPr>
          <w:bCs/>
        </w:rPr>
        <w:t>不同现场条件安装和通过性要求</w:t>
      </w:r>
      <w:r>
        <w:rPr>
          <w:rFonts w:hint="eastAsia"/>
          <w:bCs/>
        </w:rPr>
        <w:t>，</w:t>
      </w:r>
      <w:r>
        <w:rPr>
          <w:bCs/>
        </w:rPr>
        <w:t>设备应有安全标志。</w:t>
      </w:r>
    </w:p>
    <w:p w14:paraId="4EF60DAF">
      <w:pPr>
        <w:spacing w:line="360" w:lineRule="auto"/>
        <w:outlineLvl w:val="1"/>
        <w:rPr>
          <w:rFonts w:eastAsia="黑体"/>
        </w:rPr>
      </w:pPr>
      <w:bookmarkStart w:id="111" w:name="_Toc287280422"/>
      <w:bookmarkStart w:id="112" w:name="_Toc26053"/>
      <w:bookmarkStart w:id="113" w:name="_Toc84839270"/>
      <w:bookmarkStart w:id="114" w:name="_Toc283560595"/>
      <w:bookmarkStart w:id="115" w:name="_Toc226110497"/>
      <w:bookmarkStart w:id="116" w:name="_Toc28327"/>
      <w:bookmarkStart w:id="117" w:name="_Toc83649564"/>
      <w:r>
        <w:rPr>
          <w:rFonts w:eastAsia="黑体"/>
        </w:rPr>
        <w:t>6.3现场交接试验</w:t>
      </w:r>
      <w:bookmarkEnd w:id="111"/>
      <w:bookmarkEnd w:id="112"/>
      <w:bookmarkEnd w:id="113"/>
      <w:bookmarkEnd w:id="114"/>
      <w:bookmarkEnd w:id="115"/>
      <w:bookmarkEnd w:id="116"/>
      <w:bookmarkEnd w:id="117"/>
    </w:p>
    <w:p w14:paraId="5077D0E9">
      <w:pPr>
        <w:spacing w:line="360" w:lineRule="auto"/>
        <w:ind w:firstLine="420" w:firstLineChars="200"/>
      </w:pPr>
      <w:r>
        <w:t>投标方应派技术人员参加现场投产试验和检查，费用由投标方自理。在开箱检查和试验中发现元件、部件损坏，投标方应负责调换，机械结构损坏，投标方应负责修理，且所有费用由投标方承担。</w:t>
      </w:r>
    </w:p>
    <w:p w14:paraId="1F96486C">
      <w:pPr>
        <w:spacing w:line="360" w:lineRule="auto"/>
        <w:ind w:firstLine="420" w:firstLineChars="200"/>
      </w:pPr>
      <w:r>
        <w:rPr>
          <w:rFonts w:hint="eastAsia"/>
        </w:rPr>
        <w:t>现场验收的时间和条件由招标方根据现场安装和调试的进度确定。投标方应负责培训招标方技术人员，使其掌握系统维护的各项技能。</w:t>
      </w:r>
    </w:p>
    <w:p w14:paraId="63651F8A">
      <w:pPr>
        <w:spacing w:line="360" w:lineRule="auto"/>
        <w:ind w:firstLine="420" w:firstLineChars="200"/>
      </w:pPr>
      <w:r>
        <w:rPr>
          <w:rFonts w:hint="eastAsia"/>
        </w:rPr>
        <w:t>现场验收主要目的是检验系统的各项功能是否实现，系统的性能指标是否达到。投标方向招标方提交系统详细的验收大纲或由招标方按后续编订的《系统验收细则》对系统进行现场测试，投标人在投标文件中声明响应的指标任意一项未通过测试，则该系统视为不合格。</w:t>
      </w:r>
    </w:p>
    <w:p w14:paraId="3977D5D6">
      <w:pPr>
        <w:spacing w:line="360" w:lineRule="auto"/>
        <w:ind w:firstLine="420" w:firstLineChars="200"/>
      </w:pPr>
      <w:r>
        <w:rPr>
          <w:rFonts w:hint="eastAsia"/>
        </w:rPr>
        <w:t>72小时稳定性试验结束后，双方签字确认试验结果。</w:t>
      </w:r>
    </w:p>
    <w:p w14:paraId="45535160">
      <w:pPr>
        <w:spacing w:line="360" w:lineRule="auto"/>
        <w:ind w:firstLine="420" w:firstLineChars="200"/>
      </w:pPr>
      <w:r>
        <w:rPr>
          <w:rFonts w:hint="eastAsia"/>
        </w:rPr>
        <w:t>在试验和调试期间所有损坏的供货范围内设备，投标方应免费更换。</w:t>
      </w:r>
    </w:p>
    <w:p w14:paraId="2865B987">
      <w:pPr>
        <w:spacing w:line="360" w:lineRule="auto"/>
        <w:ind w:firstLine="420" w:firstLineChars="200"/>
      </w:pPr>
      <w:r>
        <w:rPr>
          <w:rFonts w:hint="eastAsia"/>
        </w:rPr>
        <w:t>试验结束后，投标方的现场技术人员应负责完整备份系统软件，并提供给招标方。</w:t>
      </w:r>
    </w:p>
    <w:p w14:paraId="618B27DD">
      <w:pPr>
        <w:spacing w:line="360" w:lineRule="auto"/>
        <w:ind w:firstLine="420" w:firstLineChars="200"/>
      </w:pPr>
      <w:r>
        <w:rPr>
          <w:rFonts w:hint="eastAsia"/>
        </w:rPr>
        <w:t>投标方在施工过程中需遵照执行的线缆敷设、装置标识的规程、规范的要求。</w:t>
      </w:r>
    </w:p>
    <w:p w14:paraId="32852F7D">
      <w:pPr>
        <w:spacing w:line="360" w:lineRule="auto"/>
        <w:ind w:firstLine="420" w:firstLineChars="200"/>
      </w:pPr>
      <w:r>
        <w:rPr>
          <w:rFonts w:hint="eastAsia"/>
        </w:rPr>
        <w:t>投标方负责应用软件侧现场安装、调试。</w:t>
      </w:r>
    </w:p>
    <w:p w14:paraId="3A7B9EF5">
      <w:pPr>
        <w:spacing w:line="360" w:lineRule="auto"/>
        <w:ind w:firstLine="420" w:firstLineChars="200"/>
      </w:pPr>
      <w:r>
        <w:rPr>
          <w:rFonts w:hint="eastAsia"/>
        </w:rPr>
        <w:t>投标方负责在合同规定时间内的系统测试、验收。</w:t>
      </w:r>
    </w:p>
    <w:p w14:paraId="338E00F6">
      <w:pPr>
        <w:spacing w:line="360" w:lineRule="auto"/>
        <w:ind w:firstLine="420" w:firstLineChars="200"/>
      </w:pPr>
      <w:r>
        <w:t>至少应进行下列试验和检查：</w:t>
      </w:r>
    </w:p>
    <w:p w14:paraId="69C79CAE">
      <w:pPr>
        <w:spacing w:line="360" w:lineRule="auto"/>
        <w:ind w:firstLine="420" w:firstLineChars="200"/>
      </w:pPr>
      <w:r>
        <w:t>1）外观检查</w:t>
      </w:r>
      <w:r>
        <w:rPr>
          <w:rFonts w:hint="eastAsia"/>
        </w:rPr>
        <w:t>。</w:t>
      </w:r>
    </w:p>
    <w:p w14:paraId="29D2ABB5">
      <w:pPr>
        <w:spacing w:line="360" w:lineRule="auto"/>
        <w:ind w:firstLine="420" w:firstLineChars="200"/>
      </w:pPr>
      <w:r>
        <w:t>2）通入电源检查</w:t>
      </w:r>
      <w:r>
        <w:rPr>
          <w:rFonts w:hint="eastAsia"/>
        </w:rPr>
        <w:t>。</w:t>
      </w:r>
    </w:p>
    <w:p w14:paraId="12121932">
      <w:pPr>
        <w:spacing w:line="360" w:lineRule="auto"/>
        <w:ind w:firstLine="420" w:firstLineChars="200"/>
      </w:pPr>
      <w:r>
        <w:t>3）回路检查</w:t>
      </w:r>
      <w:r>
        <w:rPr>
          <w:rFonts w:hint="eastAsia"/>
        </w:rPr>
        <w:t>。</w:t>
      </w:r>
    </w:p>
    <w:p w14:paraId="5B5D4FDB">
      <w:pPr>
        <w:spacing w:line="360" w:lineRule="auto"/>
        <w:ind w:firstLine="420" w:firstLineChars="200"/>
      </w:pPr>
      <w:r>
        <w:t>4）所有接线正确性的检查及试验</w:t>
      </w:r>
      <w:r>
        <w:rPr>
          <w:rFonts w:hint="eastAsia"/>
        </w:rPr>
        <w:t>。</w:t>
      </w:r>
    </w:p>
    <w:p w14:paraId="25CD6358">
      <w:pPr>
        <w:spacing w:line="360" w:lineRule="auto"/>
        <w:ind w:firstLine="420" w:firstLineChars="200"/>
      </w:pPr>
      <w:r>
        <w:t>5）绝缘试验</w:t>
      </w:r>
      <w:r>
        <w:rPr>
          <w:rFonts w:hint="eastAsia"/>
        </w:rPr>
        <w:t>。</w:t>
      </w:r>
    </w:p>
    <w:p w14:paraId="5368F831">
      <w:pPr>
        <w:spacing w:line="360" w:lineRule="auto"/>
        <w:ind w:firstLine="420" w:firstLineChars="200"/>
      </w:pPr>
      <w:r>
        <w:t>6）性能试验。由招标方确定必要的重复试验</w:t>
      </w:r>
      <w:r>
        <w:rPr>
          <w:rFonts w:hint="eastAsia"/>
        </w:rPr>
        <w:t>。</w:t>
      </w:r>
    </w:p>
    <w:p w14:paraId="7D0645BD">
      <w:pPr>
        <w:spacing w:line="360" w:lineRule="auto"/>
        <w:ind w:firstLine="420" w:firstLineChars="200"/>
      </w:pPr>
      <w:r>
        <w:t>7）整组试验</w:t>
      </w:r>
      <w:r>
        <w:rPr>
          <w:rFonts w:hint="eastAsia"/>
        </w:rPr>
        <w:t>。</w:t>
      </w:r>
    </w:p>
    <w:p w14:paraId="74AE70F9">
      <w:pPr>
        <w:spacing w:line="360" w:lineRule="auto"/>
        <w:ind w:firstLine="420" w:firstLineChars="200"/>
      </w:pPr>
      <w:r>
        <w:rPr>
          <w:rFonts w:hint="eastAsia"/>
        </w:rPr>
        <w:t>8</w:t>
      </w:r>
      <w:r>
        <w:t>）</w:t>
      </w:r>
      <w:r>
        <w:rPr>
          <w:rFonts w:hint="eastAsia"/>
        </w:rPr>
        <w:t>招标</w:t>
      </w:r>
      <w:r>
        <w:t>方要求的其他必要的试验</w:t>
      </w:r>
      <w:r>
        <w:rPr>
          <w:rFonts w:hint="eastAsia"/>
        </w:rPr>
        <w:t>。</w:t>
      </w:r>
    </w:p>
    <w:p w14:paraId="6330F079">
      <w:pPr>
        <w:spacing w:line="360" w:lineRule="auto"/>
        <w:outlineLvl w:val="1"/>
        <w:rPr>
          <w:rFonts w:eastAsia="黑体"/>
        </w:rPr>
      </w:pPr>
      <w:bookmarkStart w:id="118" w:name="_Toc226110498"/>
      <w:bookmarkStart w:id="119" w:name="_Toc84839271"/>
      <w:r>
        <w:rPr>
          <w:rFonts w:hint="eastAsia" w:eastAsia="黑体"/>
        </w:rPr>
        <w:t>6.4信息安全等级保护测试及入网安评测试</w:t>
      </w:r>
      <w:bookmarkEnd w:id="118"/>
      <w:bookmarkEnd w:id="119"/>
    </w:p>
    <w:p w14:paraId="67864113">
      <w:pPr>
        <w:spacing w:line="360" w:lineRule="auto"/>
        <w:ind w:firstLine="420" w:firstLineChars="200"/>
      </w:pPr>
      <w:r>
        <w:rPr>
          <w:rFonts w:hint="eastAsia"/>
        </w:rPr>
        <w:t>需配合主体工程通过第三方的信息安全等级保护测试以及信息安全入网安评测试；</w:t>
      </w:r>
    </w:p>
    <w:p w14:paraId="7FD0702B">
      <w:pPr>
        <w:spacing w:line="360" w:lineRule="auto"/>
        <w:rPr>
          <w:rFonts w:eastAsia="黑体"/>
        </w:rPr>
      </w:pPr>
    </w:p>
    <w:p w14:paraId="7A6C1109">
      <w:pPr>
        <w:pStyle w:val="4"/>
        <w:adjustRightInd w:val="0"/>
        <w:spacing w:before="0"/>
      </w:pPr>
      <w:bookmarkStart w:id="120" w:name="_Toc226110499"/>
      <w:bookmarkStart w:id="121" w:name="_Toc84839272"/>
      <w:bookmarkStart w:id="122" w:name="_Toc83649565"/>
      <w:r>
        <w:t>产品对环境的影响</w:t>
      </w:r>
      <w:bookmarkEnd w:id="104"/>
      <w:bookmarkEnd w:id="105"/>
      <w:bookmarkEnd w:id="120"/>
      <w:bookmarkEnd w:id="121"/>
      <w:bookmarkEnd w:id="122"/>
    </w:p>
    <w:p w14:paraId="1ED68A5F">
      <w:pPr>
        <w:spacing w:line="360" w:lineRule="auto"/>
        <w:rPr>
          <w:kern w:val="0"/>
          <w:szCs w:val="20"/>
        </w:rPr>
      </w:pPr>
      <w:bookmarkStart w:id="123" w:name="_Toc276490915"/>
      <w:bookmarkStart w:id="124" w:name="_Toc276492433"/>
      <w:r>
        <w:rPr>
          <w:rFonts w:hint="eastAsia"/>
          <w:kern w:val="0"/>
          <w:szCs w:val="20"/>
        </w:rPr>
        <w:t xml:space="preserve">7.1 </w:t>
      </w:r>
      <w:r>
        <w:rPr>
          <w:kern w:val="0"/>
          <w:szCs w:val="20"/>
        </w:rPr>
        <w:t>坚持以资源节约型和环境友好型的原则，同时应考虑降低投资成本和提高运行经济性。</w:t>
      </w:r>
    </w:p>
    <w:p w14:paraId="27871AFB">
      <w:pPr>
        <w:spacing w:line="360" w:lineRule="auto"/>
        <w:rPr>
          <w:kern w:val="0"/>
          <w:szCs w:val="20"/>
        </w:rPr>
      </w:pPr>
      <w:r>
        <w:rPr>
          <w:rFonts w:hint="eastAsia"/>
          <w:kern w:val="0"/>
          <w:szCs w:val="20"/>
        </w:rPr>
        <w:t xml:space="preserve">7.2 </w:t>
      </w:r>
      <w:r>
        <w:rPr>
          <w:kern w:val="0"/>
          <w:szCs w:val="20"/>
        </w:rPr>
        <w:t>应对噪声、工频电场和磁场、高频电磁波、通信干扰等方面采取必要的防治措施，并</w:t>
      </w:r>
      <w:r>
        <w:rPr>
          <w:rFonts w:hint="eastAsia"/>
          <w:kern w:val="0"/>
          <w:szCs w:val="20"/>
        </w:rPr>
        <w:t>满</w:t>
      </w:r>
      <w:r>
        <w:rPr>
          <w:kern w:val="0"/>
          <w:szCs w:val="20"/>
        </w:rPr>
        <w:t>足国家相关标准的要求。</w:t>
      </w:r>
    </w:p>
    <w:p w14:paraId="0522D911">
      <w:pPr>
        <w:spacing w:line="360" w:lineRule="auto"/>
        <w:rPr>
          <w:kern w:val="0"/>
          <w:szCs w:val="20"/>
        </w:rPr>
      </w:pPr>
      <w:r>
        <w:rPr>
          <w:rFonts w:hint="eastAsia"/>
          <w:kern w:val="0"/>
          <w:szCs w:val="20"/>
        </w:rPr>
        <w:t xml:space="preserve">7.3 </w:t>
      </w:r>
      <w:r>
        <w:rPr>
          <w:kern w:val="0"/>
          <w:szCs w:val="20"/>
        </w:rPr>
        <w:t>推广采用高可靠性、小型化和节能型设备。</w:t>
      </w:r>
    </w:p>
    <w:p w14:paraId="24EE1866">
      <w:pPr>
        <w:spacing w:line="360" w:lineRule="auto"/>
        <w:rPr>
          <w:kern w:val="0"/>
          <w:szCs w:val="20"/>
        </w:rPr>
      </w:pPr>
      <w:r>
        <w:rPr>
          <w:rFonts w:hint="eastAsia"/>
          <w:kern w:val="0"/>
          <w:szCs w:val="20"/>
        </w:rPr>
        <w:t xml:space="preserve">7.4 </w:t>
      </w:r>
      <w:r>
        <w:rPr>
          <w:kern w:val="0"/>
          <w:szCs w:val="20"/>
        </w:rPr>
        <w:t>优先选用损耗低的产品。</w:t>
      </w:r>
    </w:p>
    <w:p w14:paraId="5D2AD5DF">
      <w:pPr>
        <w:pStyle w:val="4"/>
        <w:adjustRightInd w:val="0"/>
        <w:spacing w:before="0"/>
      </w:pPr>
      <w:r>
        <w:t xml:space="preserve"> </w:t>
      </w:r>
      <w:bookmarkEnd w:id="123"/>
      <w:bookmarkEnd w:id="124"/>
      <w:bookmarkStart w:id="125" w:name="_Toc83649566"/>
      <w:bookmarkStart w:id="126" w:name="_Toc84839273"/>
      <w:bookmarkStart w:id="127" w:name="_Toc226110500"/>
      <w:r>
        <w:t>企业VI标识</w:t>
      </w:r>
      <w:bookmarkEnd w:id="125"/>
      <w:bookmarkEnd w:id="126"/>
      <w:bookmarkEnd w:id="127"/>
    </w:p>
    <w:p w14:paraId="4F5BBD87">
      <w:pPr>
        <w:spacing w:line="360" w:lineRule="auto"/>
        <w:rPr>
          <w:kern w:val="0"/>
          <w:szCs w:val="20"/>
        </w:rPr>
      </w:pPr>
      <w:bookmarkStart w:id="128" w:name="_Toc277255901"/>
      <w:bookmarkStart w:id="129" w:name="_Toc277686859"/>
      <w:bookmarkStart w:id="130" w:name="_Toc276490916"/>
      <w:bookmarkStart w:id="131" w:name="_Toc276492434"/>
      <w:bookmarkStart w:id="132" w:name="_Toc279695206"/>
      <w:r>
        <w:rPr>
          <w:rFonts w:hint="eastAsia"/>
          <w:kern w:val="0"/>
          <w:szCs w:val="20"/>
        </w:rPr>
        <w:t xml:space="preserve">8.1 </w:t>
      </w:r>
      <w:r>
        <w:rPr>
          <w:kern w:val="0"/>
          <w:szCs w:val="20"/>
        </w:rPr>
        <w:t>设备外立面上应有统一的中国南方电网有限责任公司企业VI标识，并符合《中国南方电网视觉识别系统管理手册》的要求。</w:t>
      </w:r>
      <w:bookmarkEnd w:id="128"/>
      <w:bookmarkEnd w:id="129"/>
    </w:p>
    <w:p w14:paraId="0D82C501">
      <w:pPr>
        <w:spacing w:line="360" w:lineRule="auto"/>
        <w:rPr>
          <w:kern w:val="0"/>
          <w:szCs w:val="20"/>
        </w:rPr>
      </w:pPr>
      <w:bookmarkStart w:id="133" w:name="_Toc277686860"/>
      <w:bookmarkStart w:id="134" w:name="_Toc277255903"/>
      <w:bookmarkStart w:id="135" w:name="_Toc277686861"/>
      <w:r>
        <w:rPr>
          <w:rFonts w:hint="eastAsia"/>
          <w:kern w:val="0"/>
          <w:szCs w:val="20"/>
        </w:rPr>
        <w:t xml:space="preserve">8.2 </w:t>
      </w:r>
      <w:r>
        <w:rPr>
          <w:kern w:val="0"/>
          <w:szCs w:val="20"/>
        </w:rPr>
        <w:t>标识的内容构成：中国南方电网有限责任公司标志、“中国南方电网”中英文名称。</w:t>
      </w:r>
      <w:bookmarkEnd w:id="133"/>
    </w:p>
    <w:p w14:paraId="6CCC6C7C">
      <w:pPr>
        <w:spacing w:line="360" w:lineRule="auto"/>
        <w:rPr>
          <w:kern w:val="0"/>
          <w:szCs w:val="20"/>
        </w:rPr>
      </w:pPr>
      <w:r>
        <w:rPr>
          <w:kern w:val="0"/>
          <w:szCs w:val="20"/>
        </w:rPr>
        <w:t>颜色：标识采用企业标准色 C100 M69 Y0 K38，背景采用白色。</w:t>
      </w:r>
      <w:bookmarkEnd w:id="134"/>
      <w:bookmarkEnd w:id="135"/>
    </w:p>
    <w:p w14:paraId="796AC8EE">
      <w:pPr>
        <w:spacing w:line="360" w:lineRule="auto"/>
        <w:rPr>
          <w:kern w:val="0"/>
          <w:szCs w:val="20"/>
        </w:rPr>
      </w:pPr>
      <w:bookmarkStart w:id="136" w:name="_Toc277255904"/>
      <w:bookmarkStart w:id="137" w:name="_Toc277686862"/>
      <w:r>
        <w:rPr>
          <w:rFonts w:hint="eastAsia"/>
          <w:kern w:val="0"/>
          <w:szCs w:val="20"/>
        </w:rPr>
        <w:t xml:space="preserve">8.3 </w:t>
      </w:r>
      <w:r>
        <w:rPr>
          <w:kern w:val="0"/>
          <w:szCs w:val="20"/>
        </w:rPr>
        <w:t>材质选用厚度为3mm的拉丝不锈钢板，工艺为表面文字蚀刻、烤漆入色。</w:t>
      </w:r>
      <w:bookmarkEnd w:id="136"/>
      <w:bookmarkEnd w:id="137"/>
    </w:p>
    <w:p w14:paraId="10AB4448">
      <w:pPr>
        <w:spacing w:line="360" w:lineRule="auto"/>
        <w:rPr>
          <w:kern w:val="0"/>
          <w:szCs w:val="20"/>
        </w:rPr>
      </w:pPr>
      <w:bookmarkStart w:id="138" w:name="_Toc277686863"/>
      <w:r>
        <w:rPr>
          <w:rFonts w:hint="eastAsia"/>
          <w:kern w:val="0"/>
          <w:szCs w:val="20"/>
        </w:rPr>
        <w:t xml:space="preserve">8.4 </w:t>
      </w:r>
      <w:r>
        <w:rPr>
          <w:kern w:val="0"/>
          <w:szCs w:val="20"/>
        </w:rPr>
        <w:t>企业标识安装在设备外立面正面醒目位置。</w:t>
      </w:r>
      <w:bookmarkEnd w:id="130"/>
      <w:bookmarkEnd w:id="131"/>
      <w:bookmarkEnd w:id="138"/>
    </w:p>
    <w:p w14:paraId="15672E57">
      <w:pPr>
        <w:pStyle w:val="4"/>
        <w:adjustRightInd w:val="0"/>
        <w:spacing w:before="0"/>
      </w:pPr>
      <w:r>
        <w:t xml:space="preserve"> </w:t>
      </w:r>
      <w:bookmarkStart w:id="139" w:name="_Toc226110501"/>
      <w:bookmarkStart w:id="140" w:name="_Toc84839274"/>
      <w:bookmarkStart w:id="141" w:name="_Toc83649567"/>
      <w:r>
        <w:t>技术文件</w:t>
      </w:r>
      <w:bookmarkEnd w:id="132"/>
      <w:r>
        <w:t>要求</w:t>
      </w:r>
      <w:bookmarkEnd w:id="139"/>
      <w:bookmarkEnd w:id="140"/>
      <w:bookmarkEnd w:id="141"/>
    </w:p>
    <w:p w14:paraId="32696B37">
      <w:pPr>
        <w:adjustRightInd w:val="0"/>
        <w:snapToGrid w:val="0"/>
        <w:spacing w:line="360" w:lineRule="auto"/>
        <w:ind w:firstLine="420" w:firstLineChars="200"/>
        <w:rPr>
          <w:szCs w:val="21"/>
        </w:rPr>
      </w:pPr>
      <w:bookmarkStart w:id="142" w:name="_Toc282428315"/>
      <w:bookmarkStart w:id="143" w:name="_Toc283011675"/>
      <w:bookmarkStart w:id="144" w:name="_Toc283142581"/>
      <w:bookmarkStart w:id="145" w:name="_Toc282433723"/>
      <w:r>
        <w:t>投标方应承诺在签订合同</w:t>
      </w:r>
      <w:r>
        <w:rPr>
          <w:rFonts w:hint="eastAsia"/>
          <w:u w:val="single"/>
        </w:rPr>
        <w:t>30</w:t>
      </w:r>
      <w:r>
        <w:rPr>
          <w:rFonts w:hint="eastAsia"/>
        </w:rPr>
        <w:t>天</w:t>
      </w:r>
      <w:r>
        <w:t>内（项目单位填写）提供以下所列（但不限于下列资料、图纸、文件，投标方应承诺提供招标方提出的所有所需资料、图纸、文件供工程设计、安装、运维使用）的图纸、资料、文件纸质版</w:t>
      </w:r>
      <w:r>
        <w:rPr>
          <w:rFonts w:hint="eastAsia"/>
          <w:u w:val="single"/>
        </w:rPr>
        <w:t>6</w:t>
      </w:r>
      <w:r>
        <w:t>套，电子版光盘</w:t>
      </w:r>
      <w:r>
        <w:rPr>
          <w:rFonts w:hint="eastAsia"/>
          <w:u w:val="single"/>
        </w:rPr>
        <w:t>2</w:t>
      </w:r>
      <w:r>
        <w:t>套（含AutoCAD图）。</w:t>
      </w:r>
    </w:p>
    <w:p w14:paraId="1142EBE2">
      <w:pPr>
        <w:spacing w:line="360" w:lineRule="auto"/>
        <w:rPr>
          <w:kern w:val="0"/>
          <w:szCs w:val="20"/>
        </w:rPr>
      </w:pPr>
      <w:r>
        <w:rPr>
          <w:kern w:val="0"/>
          <w:szCs w:val="20"/>
        </w:rPr>
        <w:t>9.1 随投标文件一起提供的一般性资料，包括型式试验报告（有效期内）、例行试验报告（每台）、特殊试验报告、鉴定证书、安装使用说明书、总装图、主要技术参数、符合技术要求的互感器运行业绩和相关技术整改措施（如果有）等。</w:t>
      </w:r>
    </w:p>
    <w:p w14:paraId="4F5FFAD8">
      <w:pPr>
        <w:spacing w:line="360" w:lineRule="auto"/>
        <w:rPr>
          <w:kern w:val="0"/>
          <w:szCs w:val="20"/>
        </w:rPr>
      </w:pPr>
      <w:r>
        <w:rPr>
          <w:kern w:val="0"/>
          <w:szCs w:val="20"/>
        </w:rPr>
        <w:t>9.2 在技术协议签订</w:t>
      </w:r>
      <w:r>
        <w:rPr>
          <w:rFonts w:hint="eastAsia"/>
          <w:kern w:val="0"/>
          <w:szCs w:val="20"/>
          <w:u w:val="single"/>
        </w:rPr>
        <w:t xml:space="preserve"> 60  </w:t>
      </w:r>
      <w:r>
        <w:rPr>
          <w:kern w:val="0"/>
          <w:szCs w:val="20"/>
        </w:rPr>
        <w:t>天内，投标方向招标方提供下列图纸资料及其AutoCAD格式的电子文档光盘2份。</w:t>
      </w:r>
    </w:p>
    <w:p w14:paraId="3026FDB9">
      <w:pPr>
        <w:spacing w:line="360" w:lineRule="auto"/>
        <w:ind w:firstLine="420" w:firstLineChars="200"/>
      </w:pPr>
      <w:r>
        <w:t>1</w:t>
      </w:r>
      <w:r>
        <w:rPr>
          <w:rFonts w:hint="eastAsia"/>
        </w:rPr>
        <w:t>）</w:t>
      </w:r>
      <w:r>
        <w:t>全部设备的配置和构成图，包括平台配置、功能框图、安装尺寸图和基础图等。</w:t>
      </w:r>
    </w:p>
    <w:p w14:paraId="62E06019">
      <w:pPr>
        <w:spacing w:line="360" w:lineRule="auto"/>
        <w:ind w:firstLine="420" w:firstLineChars="200"/>
      </w:pPr>
      <w:r>
        <w:t>2</w:t>
      </w:r>
      <w:r>
        <w:rPr>
          <w:rFonts w:hint="eastAsia"/>
        </w:rPr>
        <w:t>）</w:t>
      </w:r>
      <w:r>
        <w:t>全部设备的技术说明书，包括型号、技术特点和性能参数等。</w:t>
      </w:r>
    </w:p>
    <w:p w14:paraId="54D37A45">
      <w:pPr>
        <w:spacing w:line="360" w:lineRule="auto"/>
        <w:ind w:firstLine="420" w:firstLineChars="200"/>
      </w:pPr>
      <w:r>
        <w:t>3</w:t>
      </w:r>
      <w:r>
        <w:rPr>
          <w:rFonts w:hint="eastAsia"/>
        </w:rPr>
        <w:t>）</w:t>
      </w:r>
      <w:r>
        <w:t>所有主要部件和连接电缆的连线图。</w:t>
      </w:r>
    </w:p>
    <w:p w14:paraId="50068514">
      <w:pPr>
        <w:spacing w:line="360" w:lineRule="auto"/>
        <w:ind w:firstLine="420" w:firstLineChars="200"/>
      </w:pPr>
      <w:r>
        <w:t>4</w:t>
      </w:r>
      <w:r>
        <w:rPr>
          <w:rFonts w:hint="eastAsia"/>
        </w:rPr>
        <w:t>）</w:t>
      </w:r>
      <w:r>
        <w:t>设备和机柜的布置和连线图。</w:t>
      </w:r>
    </w:p>
    <w:p w14:paraId="252C2C34">
      <w:pPr>
        <w:spacing w:line="360" w:lineRule="auto"/>
        <w:ind w:firstLine="420" w:firstLineChars="200"/>
      </w:pPr>
      <w:r>
        <w:t>5</w:t>
      </w:r>
      <w:r>
        <w:rPr>
          <w:rFonts w:hint="eastAsia"/>
        </w:rPr>
        <w:t>）</w:t>
      </w:r>
      <w:r>
        <w:t>与招标方设备连接的详细端子图。</w:t>
      </w:r>
    </w:p>
    <w:p w14:paraId="2AA89BDC">
      <w:pPr>
        <w:spacing w:line="360" w:lineRule="auto"/>
        <w:ind w:firstLine="420" w:firstLineChars="200"/>
      </w:pPr>
      <w:r>
        <w:t>6</w:t>
      </w:r>
      <w:r>
        <w:rPr>
          <w:rFonts w:hint="eastAsia"/>
        </w:rPr>
        <w:t>）</w:t>
      </w:r>
      <w:r>
        <w:t>所有软件的说明书、使用手册、功能设计文件及画面定义指南等。</w:t>
      </w:r>
    </w:p>
    <w:p w14:paraId="21702004">
      <w:pPr>
        <w:spacing w:line="360" w:lineRule="auto"/>
        <w:ind w:firstLine="420" w:firstLineChars="200"/>
      </w:pPr>
      <w:r>
        <w:t>7</w:t>
      </w:r>
      <w:r>
        <w:rPr>
          <w:rFonts w:hint="eastAsia"/>
        </w:rPr>
        <w:t>）</w:t>
      </w:r>
      <w:r>
        <w:t>备品备件清册。</w:t>
      </w:r>
    </w:p>
    <w:p w14:paraId="6588EBCE">
      <w:pPr>
        <w:spacing w:line="360" w:lineRule="auto"/>
        <w:ind w:firstLine="420" w:firstLineChars="200"/>
      </w:pPr>
      <w:r>
        <w:t>8</w:t>
      </w:r>
      <w:r>
        <w:rPr>
          <w:rFonts w:hint="eastAsia"/>
        </w:rPr>
        <w:t>）</w:t>
      </w:r>
      <w:r>
        <w:t>设备的安装手册。</w:t>
      </w:r>
    </w:p>
    <w:p w14:paraId="50CB1A12">
      <w:pPr>
        <w:spacing w:line="360" w:lineRule="auto"/>
        <w:ind w:firstLine="420" w:firstLineChars="200"/>
      </w:pPr>
      <w:r>
        <w:t>9</w:t>
      </w:r>
      <w:r>
        <w:rPr>
          <w:rFonts w:hint="eastAsia"/>
        </w:rPr>
        <w:t>）</w:t>
      </w:r>
      <w:r>
        <w:t>诊断维护手册。</w:t>
      </w:r>
    </w:p>
    <w:p w14:paraId="1AB41562">
      <w:pPr>
        <w:spacing w:line="360" w:lineRule="auto"/>
        <w:ind w:firstLine="420" w:firstLineChars="200"/>
      </w:pPr>
      <w:r>
        <w:t>10</w:t>
      </w:r>
      <w:r>
        <w:rPr>
          <w:rFonts w:hint="eastAsia"/>
        </w:rPr>
        <w:t>）</w:t>
      </w:r>
      <w:r>
        <w:t>培训教材、培训的建议日期、时间表和课程表。</w:t>
      </w:r>
    </w:p>
    <w:p w14:paraId="09A51936">
      <w:pPr>
        <w:spacing w:line="360" w:lineRule="auto"/>
        <w:ind w:firstLine="420" w:firstLineChars="200"/>
      </w:pPr>
      <w:r>
        <w:t>11</w:t>
      </w:r>
      <w:r>
        <w:rPr>
          <w:rFonts w:hint="eastAsia"/>
        </w:rPr>
        <w:t>）</w:t>
      </w:r>
      <w:r>
        <w:t>设备的例行试验报告。</w:t>
      </w:r>
    </w:p>
    <w:p w14:paraId="1DC4E078">
      <w:pPr>
        <w:spacing w:line="360" w:lineRule="auto"/>
        <w:ind w:firstLine="420" w:firstLineChars="200"/>
      </w:pPr>
      <w:r>
        <w:t>12</w:t>
      </w:r>
      <w:r>
        <w:rPr>
          <w:rFonts w:hint="eastAsia"/>
        </w:rPr>
        <w:t>）</w:t>
      </w:r>
      <w:r>
        <w:t>设备的出厂检验报告。</w:t>
      </w:r>
    </w:p>
    <w:p w14:paraId="24E429BF">
      <w:pPr>
        <w:spacing w:line="360" w:lineRule="auto"/>
        <w:ind w:firstLine="420" w:firstLineChars="200"/>
      </w:pPr>
      <w:r>
        <w:t>13</w:t>
      </w:r>
      <w:r>
        <w:rPr>
          <w:rFonts w:hint="eastAsia"/>
        </w:rPr>
        <w:t>）</w:t>
      </w:r>
      <w:r>
        <w:t>工程竣工资料等。</w:t>
      </w:r>
    </w:p>
    <w:p w14:paraId="6022492B">
      <w:pPr>
        <w:spacing w:line="360" w:lineRule="auto"/>
        <w:ind w:firstLine="420" w:firstLineChars="200"/>
      </w:pPr>
      <w:r>
        <w:t>14</w:t>
      </w:r>
      <w:r>
        <w:rPr>
          <w:rFonts w:hint="eastAsia"/>
        </w:rPr>
        <w:t>）</w:t>
      </w:r>
      <w:r>
        <w:t>资料和图纸提交进度。</w:t>
      </w:r>
    </w:p>
    <w:p w14:paraId="1E5DED16">
      <w:pPr>
        <w:spacing w:line="360" w:lineRule="auto"/>
        <w:ind w:firstLine="420" w:firstLineChars="200"/>
      </w:pPr>
      <w:r>
        <w:t>15</w:t>
      </w:r>
      <w:r>
        <w:rPr>
          <w:rFonts w:hint="eastAsia"/>
        </w:rPr>
        <w:t>）</w:t>
      </w:r>
      <w:r>
        <w:t>操作系统及应用软件应注明版本号。</w:t>
      </w:r>
    </w:p>
    <w:p w14:paraId="145D1F24">
      <w:pPr>
        <w:spacing w:line="360" w:lineRule="auto"/>
        <w:ind w:firstLine="420" w:firstLineChars="200"/>
      </w:pPr>
      <w:r>
        <w:t>16</w:t>
      </w:r>
      <w:r>
        <w:rPr>
          <w:rFonts w:hint="eastAsia"/>
        </w:rPr>
        <w:t>）</w:t>
      </w:r>
      <w:r>
        <w:t>按合同制订出设计、材料供货、制造、培训和设备交货各阶段的详细计划和现场试验的建议计划。</w:t>
      </w:r>
    </w:p>
    <w:p w14:paraId="538059C1">
      <w:pPr>
        <w:spacing w:line="360" w:lineRule="auto"/>
        <w:ind w:firstLine="420" w:firstLineChars="200"/>
      </w:pPr>
      <w:r>
        <w:t>17</w:t>
      </w:r>
      <w:r>
        <w:rPr>
          <w:rFonts w:hint="eastAsia"/>
        </w:rPr>
        <w:t>）</w:t>
      </w:r>
      <w:r>
        <w:t>投标方负责在合同签字生效后一个月内提供所供设备的配置图和有关技术资料和培训资料；设备出厂前一个月内提供设备安装的所有资料；工程验收后一个月内提交全部设备运行及维护的软、硬件竣工图（包括电子化的CAD图纸）。</w:t>
      </w:r>
    </w:p>
    <w:p w14:paraId="7E002B5C">
      <w:pPr>
        <w:spacing w:line="360" w:lineRule="auto"/>
        <w:ind w:firstLine="420" w:firstLineChars="200"/>
      </w:pPr>
      <w:r>
        <w:t>1</w:t>
      </w:r>
      <w:r>
        <w:rPr>
          <w:rFonts w:hint="eastAsia"/>
        </w:rPr>
        <w:t>8</w:t>
      </w:r>
      <w:r>
        <w:t>）保证各系统正常运行所需的常用工器具、易损件及备品备件等（清单及数目应在项目实施阶段确定）；</w:t>
      </w:r>
    </w:p>
    <w:p w14:paraId="678C57FD">
      <w:pPr>
        <w:numPr>
          <w:ilvl w:val="255"/>
          <w:numId w:val="0"/>
        </w:numPr>
        <w:spacing w:line="360" w:lineRule="auto"/>
        <w:ind w:firstLine="420" w:firstLineChars="200"/>
        <w:rPr>
          <w:szCs w:val="20"/>
        </w:rPr>
      </w:pPr>
      <w:r>
        <w:rPr>
          <w:rFonts w:hint="eastAsia"/>
        </w:rPr>
        <w:t>19</w:t>
      </w:r>
      <w:r>
        <w:t>）项目审核验收所需的其它相关材料。</w:t>
      </w:r>
    </w:p>
    <w:p w14:paraId="0E187096">
      <w:pPr>
        <w:pStyle w:val="52"/>
        <w:spacing w:line="360" w:lineRule="auto"/>
        <w:ind w:right="108"/>
        <w:rPr>
          <w:rFonts w:ascii="Times New Roman"/>
          <w:sz w:val="21"/>
          <w:szCs w:val="21"/>
        </w:rPr>
      </w:pPr>
      <w:r>
        <w:rPr>
          <w:rFonts w:ascii="Times New Roman"/>
          <w:sz w:val="21"/>
          <w:szCs w:val="21"/>
        </w:rPr>
        <w:t>9.</w:t>
      </w:r>
      <w:bookmarkEnd w:id="142"/>
      <w:bookmarkEnd w:id="143"/>
      <w:bookmarkEnd w:id="144"/>
      <w:bookmarkEnd w:id="145"/>
      <w:bookmarkStart w:id="146" w:name="_Toc277686885"/>
      <w:bookmarkStart w:id="147" w:name="_Toc282433724"/>
      <w:bookmarkStart w:id="148" w:name="_Toc282428316"/>
      <w:bookmarkStart w:id="149" w:name="_Toc283142582"/>
      <w:bookmarkStart w:id="150" w:name="_Toc283011676"/>
      <w:r>
        <w:rPr>
          <w:rFonts w:hint="eastAsia" w:ascii="Times New Roman"/>
          <w:sz w:val="21"/>
          <w:szCs w:val="21"/>
        </w:rPr>
        <w:t>3</w:t>
      </w:r>
      <w:r>
        <w:rPr>
          <w:rFonts w:ascii="Times New Roman"/>
          <w:sz w:val="21"/>
          <w:szCs w:val="21"/>
        </w:rPr>
        <w:t xml:space="preserve"> 设计联络</w:t>
      </w:r>
      <w:bookmarkEnd w:id="146"/>
      <w:bookmarkEnd w:id="147"/>
      <w:bookmarkEnd w:id="148"/>
      <w:bookmarkEnd w:id="149"/>
      <w:bookmarkEnd w:id="150"/>
    </w:p>
    <w:p w14:paraId="5AA3DEA4">
      <w:pPr>
        <w:spacing w:line="360" w:lineRule="auto"/>
        <w:ind w:firstLine="420" w:firstLineChars="200"/>
        <w:rPr>
          <w:kern w:val="0"/>
          <w:szCs w:val="20"/>
        </w:rPr>
      </w:pPr>
      <w:r>
        <w:rPr>
          <w:kern w:val="0"/>
          <w:szCs w:val="20"/>
        </w:rPr>
        <w:t>投标方应在技术协议签订后的</w:t>
      </w:r>
      <w:r>
        <w:rPr>
          <w:kern w:val="0"/>
          <w:szCs w:val="20"/>
          <w:u w:val="single"/>
        </w:rPr>
        <w:t xml:space="preserve">  6</w:t>
      </w:r>
      <w:r>
        <w:rPr>
          <w:rFonts w:hint="eastAsia"/>
          <w:kern w:val="0"/>
          <w:szCs w:val="20"/>
          <w:u w:val="single"/>
        </w:rPr>
        <w:t>0</w:t>
      </w:r>
      <w:r>
        <w:rPr>
          <w:kern w:val="0"/>
          <w:szCs w:val="20"/>
          <w:u w:val="single"/>
        </w:rPr>
        <w:t xml:space="preserve">   </w:t>
      </w:r>
      <w:r>
        <w:rPr>
          <w:kern w:val="0"/>
          <w:szCs w:val="20"/>
        </w:rPr>
        <w:t>天内（项目单位填写）向招标方提供正式版的用于设计、设备监造和检验、现场安装和调试以及运行维护方面的图纸、说明书和有关技术资料，同时向招标方设计代表提供拷贝磁盘2份（图纸为AutoCAD R2000版、文字资料为Word97版）。</w:t>
      </w:r>
    </w:p>
    <w:p w14:paraId="5BA1239A">
      <w:pPr>
        <w:spacing w:line="360" w:lineRule="auto"/>
        <w:ind w:firstLine="420" w:firstLineChars="200"/>
        <w:rPr>
          <w:kern w:val="0"/>
          <w:szCs w:val="20"/>
        </w:rPr>
      </w:pPr>
      <w:r>
        <w:rPr>
          <w:kern w:val="0"/>
          <w:szCs w:val="20"/>
        </w:rPr>
        <w:t>投标方应按设计需要随时开展设计联络工作，提供设计所需的相关资料，以保证招标方工期要求。</w:t>
      </w:r>
    </w:p>
    <w:p w14:paraId="4FDFA59C">
      <w:pPr>
        <w:spacing w:line="360" w:lineRule="auto"/>
        <w:ind w:firstLine="420" w:firstLineChars="200"/>
        <w:rPr>
          <w:kern w:val="0"/>
          <w:szCs w:val="20"/>
        </w:rPr>
      </w:pPr>
      <w:r>
        <w:rPr>
          <w:kern w:val="0"/>
          <w:szCs w:val="20"/>
        </w:rPr>
        <w:t>投标方提供的图纸必须经招标方代表确认。</w:t>
      </w:r>
    </w:p>
    <w:p w14:paraId="51E12345">
      <w:pPr>
        <w:spacing w:line="360" w:lineRule="auto"/>
        <w:ind w:firstLine="420" w:firstLineChars="200"/>
        <w:rPr>
          <w:kern w:val="0"/>
          <w:szCs w:val="20"/>
        </w:rPr>
      </w:pPr>
    </w:p>
    <w:p w14:paraId="4512E07D">
      <w:pPr>
        <w:pStyle w:val="4"/>
        <w:adjustRightInd w:val="0"/>
        <w:spacing w:before="0"/>
      </w:pPr>
      <w:bookmarkStart w:id="151" w:name="_Toc279695207"/>
      <w:bookmarkStart w:id="152" w:name="_Toc276490917"/>
      <w:bookmarkStart w:id="153" w:name="_Toc276492435"/>
      <w:bookmarkStart w:id="154" w:name="_Toc84839275"/>
      <w:bookmarkStart w:id="155" w:name="_Toc83649568"/>
      <w:bookmarkStart w:id="156" w:name="_Toc226110502"/>
      <w:r>
        <w:t>监造、包装、运输、安装</w:t>
      </w:r>
      <w:bookmarkEnd w:id="151"/>
      <w:bookmarkEnd w:id="152"/>
      <w:bookmarkEnd w:id="153"/>
      <w:r>
        <w:t>及质量保证</w:t>
      </w:r>
      <w:bookmarkEnd w:id="154"/>
      <w:bookmarkEnd w:id="155"/>
      <w:bookmarkEnd w:id="156"/>
    </w:p>
    <w:p w14:paraId="003AEDC3">
      <w:pPr>
        <w:pStyle w:val="52"/>
        <w:spacing w:line="360" w:lineRule="auto"/>
        <w:ind w:right="108"/>
        <w:outlineLvl w:val="1"/>
        <w:rPr>
          <w:rFonts w:ascii="Times New Roman"/>
          <w:sz w:val="21"/>
          <w:szCs w:val="21"/>
        </w:rPr>
      </w:pPr>
      <w:bookmarkStart w:id="157" w:name="_Toc276492370"/>
      <w:bookmarkStart w:id="158" w:name="_Toc279695208"/>
      <w:bookmarkStart w:id="159" w:name="_Toc276490898"/>
      <w:bookmarkStart w:id="160" w:name="_Toc472997247"/>
      <w:bookmarkStart w:id="161" w:name="_Toc471528253"/>
      <w:bookmarkStart w:id="162" w:name="_Toc200531202"/>
      <w:bookmarkStart w:id="163" w:name="_Toc53672785"/>
      <w:r>
        <w:rPr>
          <w:rFonts w:hint="eastAsia" w:ascii="Times New Roman"/>
          <w:sz w:val="21"/>
          <w:szCs w:val="21"/>
        </w:rPr>
        <w:t xml:space="preserve">10.1 </w:t>
      </w:r>
      <w:r>
        <w:rPr>
          <w:rFonts w:ascii="Times New Roman"/>
          <w:sz w:val="21"/>
          <w:szCs w:val="21"/>
        </w:rPr>
        <w:t>监造</w:t>
      </w:r>
      <w:bookmarkEnd w:id="157"/>
      <w:bookmarkEnd w:id="158"/>
      <w:bookmarkEnd w:id="159"/>
    </w:p>
    <w:p w14:paraId="6FBFF6DA">
      <w:pPr>
        <w:spacing w:line="360" w:lineRule="auto"/>
        <w:rPr>
          <w:rFonts w:cs="宋体"/>
        </w:rPr>
      </w:pPr>
      <w:r>
        <w:rPr>
          <w:rFonts w:hint="eastAsia" w:cs="宋体"/>
          <w:bCs/>
        </w:rPr>
        <w:t>10.1.1</w:t>
      </w:r>
      <w:r>
        <w:rPr>
          <w:rFonts w:hint="eastAsia" w:cs="宋体"/>
        </w:rPr>
        <w:t>　招标方有权派遣其检验人员到投标方及其分包商的车间场所，对合同设备的加工制造进行检验和监造。</w:t>
      </w:r>
    </w:p>
    <w:p w14:paraId="326DFF0F">
      <w:pPr>
        <w:spacing w:line="360" w:lineRule="auto"/>
        <w:rPr>
          <w:rFonts w:cs="宋体"/>
        </w:rPr>
      </w:pPr>
      <w:r>
        <w:rPr>
          <w:rFonts w:hint="eastAsia" w:cs="宋体"/>
          <w:bCs/>
        </w:rPr>
        <w:t>10.1.2</w:t>
      </w:r>
      <w:r>
        <w:rPr>
          <w:rFonts w:hint="eastAsia" w:cs="宋体"/>
        </w:rPr>
        <w:t>　如经检验和试验有不符合本技术规范的合同设备，招标方可以拒收，投标方应无偿给予更换。</w:t>
      </w:r>
    </w:p>
    <w:p w14:paraId="40DEC009">
      <w:pPr>
        <w:spacing w:line="360" w:lineRule="auto"/>
        <w:rPr>
          <w:rFonts w:cs="宋体"/>
        </w:rPr>
      </w:pPr>
      <w:r>
        <w:rPr>
          <w:rFonts w:hint="eastAsia" w:cs="宋体"/>
          <w:bCs/>
        </w:rPr>
        <w:t>10.1.3</w:t>
      </w:r>
      <w:r>
        <w:rPr>
          <w:rFonts w:hint="eastAsia" w:cs="宋体"/>
        </w:rPr>
        <w:t>　合同设备运到招标方后，招标方有进行检验、试验的权力，不得因该合同设备在原产地发运以前已经由招标方或其代表进行过监造和检验并已通过作为理由而受到限制。监造人员参加工厂试验，包括会签任何试验结果，既不免除投标方按合同规定应负的责任，也不能代替合同设备到达招标方后的检验。</w:t>
      </w:r>
    </w:p>
    <w:p w14:paraId="3C79EE17">
      <w:pPr>
        <w:spacing w:line="360" w:lineRule="auto"/>
        <w:rPr>
          <w:rFonts w:cs="宋体"/>
        </w:rPr>
      </w:pPr>
      <w:r>
        <w:rPr>
          <w:rFonts w:hint="eastAsia" w:cs="宋体"/>
          <w:bCs/>
        </w:rPr>
        <w:t>10.1.4</w:t>
      </w:r>
      <w:r>
        <w:rPr>
          <w:rFonts w:hint="eastAsia" w:cs="宋体"/>
        </w:rPr>
        <w:t>　投标方应在开始进行工厂试验前1个月，通知招标方其日程安排。根据这个日程安排，招标方需确定要见证的项目，并在10天内通知投标方。监造人员前往投标方和（或）其分包商生产现场，观察和了解该合同设备工厂试验的情况及其运输包装的情况时，若发现任一货物的质量不符合合同规定的标准，或包装不满足要求，监造人员有权发表意见，投标方应认真考虑其意见，并采取必要措施以确保合同设备的质量。</w:t>
      </w:r>
    </w:p>
    <w:p w14:paraId="2CAFB383">
      <w:pPr>
        <w:spacing w:line="360" w:lineRule="auto"/>
      </w:pPr>
      <w:r>
        <w:rPr>
          <w:rFonts w:hint="eastAsia" w:cs="宋体"/>
          <w:bCs/>
        </w:rPr>
        <w:t>10.1.5</w:t>
      </w:r>
      <w:r>
        <w:rPr>
          <w:rFonts w:hint="eastAsia" w:cs="宋体"/>
        </w:rPr>
        <w:t>　若招标方不派或未按时派遣监造人员参加上述试验，投标方应在接到招标方相关通知后，自行组织检验。</w:t>
      </w:r>
    </w:p>
    <w:p w14:paraId="6B86632E">
      <w:pPr>
        <w:pStyle w:val="52"/>
        <w:spacing w:line="360" w:lineRule="auto"/>
        <w:ind w:right="108"/>
        <w:outlineLvl w:val="1"/>
        <w:rPr>
          <w:rFonts w:ascii="Times New Roman"/>
          <w:sz w:val="21"/>
          <w:szCs w:val="21"/>
        </w:rPr>
      </w:pPr>
      <w:bookmarkStart w:id="164" w:name="_Toc276490918"/>
      <w:bookmarkStart w:id="165" w:name="_Toc279695209"/>
      <w:bookmarkStart w:id="166" w:name="_Toc276301528"/>
      <w:bookmarkStart w:id="167" w:name="_Toc276492436"/>
      <w:r>
        <w:rPr>
          <w:rFonts w:hint="eastAsia" w:ascii="Times New Roman"/>
          <w:sz w:val="21"/>
          <w:szCs w:val="21"/>
        </w:rPr>
        <w:t xml:space="preserve">10.2 </w:t>
      </w:r>
      <w:r>
        <w:rPr>
          <w:rFonts w:ascii="Times New Roman"/>
          <w:sz w:val="21"/>
          <w:szCs w:val="21"/>
        </w:rPr>
        <w:t>包装</w:t>
      </w:r>
      <w:bookmarkEnd w:id="160"/>
      <w:bookmarkEnd w:id="161"/>
      <w:bookmarkEnd w:id="162"/>
      <w:bookmarkEnd w:id="163"/>
      <w:bookmarkEnd w:id="164"/>
      <w:bookmarkEnd w:id="165"/>
      <w:bookmarkEnd w:id="166"/>
      <w:bookmarkEnd w:id="167"/>
    </w:p>
    <w:p w14:paraId="1D97DD90">
      <w:pPr>
        <w:spacing w:line="360" w:lineRule="auto"/>
        <w:rPr>
          <w:rFonts w:cs="宋体"/>
          <w:bCs/>
        </w:rPr>
      </w:pPr>
      <w:bookmarkStart w:id="168" w:name="_Toc279695210"/>
      <w:bookmarkStart w:id="169" w:name="_Toc276301529"/>
      <w:bookmarkStart w:id="170" w:name="_Toc276490919"/>
      <w:bookmarkStart w:id="171" w:name="_Toc276492437"/>
      <w:r>
        <w:rPr>
          <w:rFonts w:cs="宋体"/>
          <w:bCs/>
        </w:rPr>
        <w:t>10.2.1 投标方应根据双方商定好的标准和招标方的实际运输条件，将</w:t>
      </w:r>
      <w:r>
        <w:rPr>
          <w:rFonts w:hint="eastAsia" w:cs="宋体"/>
          <w:bCs/>
        </w:rPr>
        <w:t>设备和</w:t>
      </w:r>
      <w:r>
        <w:rPr>
          <w:rFonts w:cs="宋体"/>
          <w:bCs/>
        </w:rPr>
        <w:t>所有零部件包装好，并将全套安装使用说明书，产品合格证明书、出厂试验记录、产品外形尺寸图、运输尺寸图、产品拆卸件一览表、装箱单、铭牌图或铭牌标志图等包装好，防止受潮。从投标方发货至招标方收到期间，设备和资料应完好无损。包装箱应连续编号，不能有重号。</w:t>
      </w:r>
    </w:p>
    <w:p w14:paraId="661BAEE8">
      <w:pPr>
        <w:spacing w:line="360" w:lineRule="auto"/>
        <w:rPr>
          <w:rFonts w:cs="宋体"/>
          <w:bCs/>
        </w:rPr>
      </w:pPr>
      <w:r>
        <w:rPr>
          <w:rFonts w:cs="宋体"/>
          <w:bCs/>
        </w:rPr>
        <w:t>10.2.2 设备、零部件、材料启运前投标方应按下述内容在箱面上写不褪色的醒目标志：</w:t>
      </w:r>
    </w:p>
    <w:p w14:paraId="4F11F311">
      <w:pPr>
        <w:adjustRightInd w:val="0"/>
        <w:snapToGrid w:val="0"/>
        <w:spacing w:line="360" w:lineRule="auto"/>
        <w:ind w:firstLine="420" w:firstLineChars="200"/>
      </w:pPr>
      <w:r>
        <w:t>合同号；</w:t>
      </w:r>
    </w:p>
    <w:p w14:paraId="7EA6A585">
      <w:pPr>
        <w:adjustRightInd w:val="0"/>
        <w:snapToGrid w:val="0"/>
        <w:spacing w:line="360" w:lineRule="auto"/>
        <w:ind w:firstLine="420" w:firstLineChars="200"/>
      </w:pPr>
      <w:r>
        <w:t>装船(海运)标志；</w:t>
      </w:r>
    </w:p>
    <w:p w14:paraId="5A28D10E">
      <w:pPr>
        <w:adjustRightInd w:val="0"/>
        <w:snapToGrid w:val="0"/>
        <w:spacing w:line="360" w:lineRule="auto"/>
        <w:ind w:firstLine="420" w:firstLineChars="200"/>
      </w:pPr>
      <w:r>
        <w:t>目的港(海运)或站名称；</w:t>
      </w:r>
    </w:p>
    <w:p w14:paraId="6AE8FC18">
      <w:pPr>
        <w:adjustRightInd w:val="0"/>
        <w:snapToGrid w:val="0"/>
        <w:spacing w:line="360" w:lineRule="auto"/>
        <w:ind w:firstLine="420" w:firstLineChars="200"/>
      </w:pPr>
      <w:r>
        <w:t>收货人及代码；</w:t>
      </w:r>
    </w:p>
    <w:p w14:paraId="071C2826">
      <w:pPr>
        <w:adjustRightInd w:val="0"/>
        <w:snapToGrid w:val="0"/>
        <w:spacing w:line="360" w:lineRule="auto"/>
        <w:ind w:firstLine="420" w:firstLineChars="200"/>
      </w:pPr>
      <w:r>
        <w:t>设备名称和项目号；</w:t>
      </w:r>
    </w:p>
    <w:p w14:paraId="5E3CDDFE">
      <w:pPr>
        <w:adjustRightInd w:val="0"/>
        <w:snapToGrid w:val="0"/>
        <w:spacing w:line="360" w:lineRule="auto"/>
        <w:ind w:firstLine="420" w:firstLineChars="200"/>
      </w:pPr>
      <w:r>
        <w:t>箱号；</w:t>
      </w:r>
    </w:p>
    <w:p w14:paraId="601D4F35">
      <w:pPr>
        <w:adjustRightInd w:val="0"/>
        <w:snapToGrid w:val="0"/>
        <w:spacing w:line="360" w:lineRule="auto"/>
        <w:ind w:firstLine="420" w:firstLineChars="200"/>
      </w:pPr>
      <w:r>
        <w:t>毛重与净重；</w:t>
      </w:r>
    </w:p>
    <w:p w14:paraId="5F74A0B5">
      <w:pPr>
        <w:adjustRightInd w:val="0"/>
        <w:snapToGrid w:val="0"/>
        <w:spacing w:line="360" w:lineRule="auto"/>
        <w:ind w:firstLine="420" w:firstLineChars="200"/>
      </w:pPr>
      <w:r>
        <w:t>外形尺寸；</w:t>
      </w:r>
    </w:p>
    <w:p w14:paraId="184634A5">
      <w:pPr>
        <w:adjustRightInd w:val="0"/>
        <w:snapToGrid w:val="0"/>
        <w:spacing w:line="360" w:lineRule="auto"/>
        <w:ind w:firstLine="420" w:firstLineChars="200"/>
      </w:pPr>
      <w:r>
        <w:t>在设备的包装箱外面应标上“重心”、“起吊点”、“小心搬运”、“正面向上”、“防止受潮”、“勿倒”、“勿倾斜”、“防火”等字样。</w:t>
      </w:r>
    </w:p>
    <w:p w14:paraId="585E5F34">
      <w:pPr>
        <w:adjustRightInd w:val="0"/>
        <w:snapToGrid w:val="0"/>
        <w:spacing w:line="360" w:lineRule="auto"/>
      </w:pPr>
      <w:r>
        <w:t>10.2.3投标方提供的技术文件的包装内外表面上应有如下中文标志：</w:t>
      </w:r>
    </w:p>
    <w:p w14:paraId="37772FBF">
      <w:pPr>
        <w:adjustRightInd w:val="0"/>
        <w:snapToGrid w:val="0"/>
        <w:spacing w:line="360" w:lineRule="auto"/>
        <w:ind w:firstLine="420" w:firstLineChars="200"/>
      </w:pPr>
      <w:r>
        <w:t>合同号；</w:t>
      </w:r>
    </w:p>
    <w:p w14:paraId="726F94C4">
      <w:pPr>
        <w:adjustRightInd w:val="0"/>
        <w:snapToGrid w:val="0"/>
        <w:spacing w:line="360" w:lineRule="auto"/>
        <w:ind w:firstLine="420" w:firstLineChars="200"/>
      </w:pPr>
      <w:r>
        <w:t>收货人；</w:t>
      </w:r>
    </w:p>
    <w:p w14:paraId="3DAB1000">
      <w:pPr>
        <w:adjustRightInd w:val="0"/>
        <w:snapToGrid w:val="0"/>
        <w:spacing w:line="360" w:lineRule="auto"/>
        <w:ind w:firstLine="420" w:firstLineChars="200"/>
      </w:pPr>
      <w:r>
        <w:t>目的地；</w:t>
      </w:r>
    </w:p>
    <w:p w14:paraId="66919FF2">
      <w:pPr>
        <w:adjustRightInd w:val="0"/>
        <w:snapToGrid w:val="0"/>
        <w:spacing w:line="360" w:lineRule="auto"/>
        <w:ind w:firstLine="420" w:firstLineChars="200"/>
      </w:pPr>
      <w:r>
        <w:t>毛重；</w:t>
      </w:r>
    </w:p>
    <w:p w14:paraId="7BB1FFD8">
      <w:pPr>
        <w:adjustRightInd w:val="0"/>
        <w:snapToGrid w:val="0"/>
        <w:spacing w:line="360" w:lineRule="auto"/>
        <w:ind w:firstLine="420" w:firstLineChars="200"/>
      </w:pPr>
      <w:r>
        <w:t>箱号。</w:t>
      </w:r>
    </w:p>
    <w:p w14:paraId="76B1081D">
      <w:pPr>
        <w:adjustRightInd w:val="0"/>
        <w:snapToGrid w:val="0"/>
        <w:spacing w:line="360" w:lineRule="auto"/>
      </w:pPr>
      <w:r>
        <w:t>10.2.4 在设备启运后一周内，投标方应以最快捷的方式通知招标方以下内容：</w:t>
      </w:r>
    </w:p>
    <w:p w14:paraId="00912A1D">
      <w:pPr>
        <w:adjustRightInd w:val="0"/>
        <w:snapToGrid w:val="0"/>
        <w:spacing w:line="360" w:lineRule="auto"/>
        <w:ind w:firstLine="420" w:firstLineChars="200"/>
      </w:pPr>
      <w:r>
        <w:t>1）设备名称；</w:t>
      </w:r>
    </w:p>
    <w:p w14:paraId="5C094B76">
      <w:pPr>
        <w:adjustRightInd w:val="0"/>
        <w:snapToGrid w:val="0"/>
        <w:spacing w:line="360" w:lineRule="auto"/>
        <w:ind w:firstLine="420" w:firstLineChars="200"/>
      </w:pPr>
      <w:r>
        <w:t>2）件数、件号、重量；</w:t>
      </w:r>
    </w:p>
    <w:p w14:paraId="6BA0DF28">
      <w:pPr>
        <w:adjustRightInd w:val="0"/>
        <w:snapToGrid w:val="0"/>
        <w:spacing w:line="360" w:lineRule="auto"/>
        <w:ind w:firstLine="420" w:firstLineChars="200"/>
      </w:pPr>
      <w:r>
        <w:t>3）合同号；</w:t>
      </w:r>
    </w:p>
    <w:p w14:paraId="159DFF6A">
      <w:pPr>
        <w:adjustRightInd w:val="0"/>
        <w:snapToGrid w:val="0"/>
        <w:spacing w:line="360" w:lineRule="auto"/>
        <w:ind w:firstLine="420" w:firstLineChars="200"/>
      </w:pPr>
      <w:r>
        <w:t>4）货运单号；</w:t>
      </w:r>
    </w:p>
    <w:p w14:paraId="695C3EFA">
      <w:pPr>
        <w:adjustRightInd w:val="0"/>
        <w:snapToGrid w:val="0"/>
        <w:spacing w:line="360" w:lineRule="auto"/>
        <w:ind w:firstLine="420" w:firstLineChars="200"/>
      </w:pPr>
      <w:r>
        <w:t>5）达到港(站)；</w:t>
      </w:r>
    </w:p>
    <w:p w14:paraId="12E8E2E0">
      <w:pPr>
        <w:adjustRightInd w:val="0"/>
        <w:snapToGrid w:val="0"/>
        <w:spacing w:line="360" w:lineRule="auto"/>
        <w:ind w:firstLine="420" w:firstLineChars="200"/>
      </w:pPr>
      <w:r>
        <w:t>6）设备发出日期。</w:t>
      </w:r>
    </w:p>
    <w:p w14:paraId="0B546DFD">
      <w:pPr>
        <w:adjustRightInd w:val="0"/>
        <w:snapToGrid w:val="0"/>
        <w:spacing w:line="360" w:lineRule="auto"/>
      </w:pPr>
      <w:r>
        <w:t>10.2.5所有部件的装运方式均应便于卸货、操作和现场就位，标有千斤顶支架位置的起吊图和安装图，应与装运文件一起提供。</w:t>
      </w:r>
    </w:p>
    <w:p w14:paraId="410C48BE">
      <w:pPr>
        <w:adjustRightInd w:val="0"/>
        <w:snapToGrid w:val="0"/>
        <w:spacing w:line="360" w:lineRule="auto"/>
      </w:pPr>
      <w:r>
        <w:t>10.2.6任何在装运中可能丢失的成品应用箱式包装或捆成一束，并标志以清晰的记号以便识别。</w:t>
      </w:r>
    </w:p>
    <w:p w14:paraId="0F4F85F5">
      <w:pPr>
        <w:adjustRightInd w:val="0"/>
        <w:snapToGrid w:val="0"/>
        <w:spacing w:line="360" w:lineRule="auto"/>
      </w:pPr>
      <w:r>
        <w:t>10.2.7 运输、贮存直到安装时应保护</w:t>
      </w:r>
      <w:r>
        <w:rPr>
          <w:rFonts w:hint="eastAsia"/>
        </w:rPr>
        <w:t>设备</w:t>
      </w:r>
      <w:r>
        <w:t>所有组部件不得损坏、不得进水和受潮。</w:t>
      </w:r>
    </w:p>
    <w:p w14:paraId="78D2AED0">
      <w:pPr>
        <w:pStyle w:val="52"/>
        <w:spacing w:line="360" w:lineRule="auto"/>
        <w:ind w:right="108"/>
        <w:outlineLvl w:val="1"/>
        <w:rPr>
          <w:rFonts w:ascii="Times New Roman"/>
          <w:sz w:val="21"/>
          <w:szCs w:val="21"/>
        </w:rPr>
      </w:pPr>
      <w:r>
        <w:rPr>
          <w:rFonts w:hint="eastAsia" w:ascii="Times New Roman"/>
          <w:sz w:val="21"/>
          <w:szCs w:val="21"/>
        </w:rPr>
        <w:t xml:space="preserve">10.3 </w:t>
      </w:r>
      <w:r>
        <w:rPr>
          <w:rFonts w:ascii="Times New Roman"/>
          <w:sz w:val="21"/>
          <w:szCs w:val="21"/>
        </w:rPr>
        <w:t>运输</w:t>
      </w:r>
      <w:bookmarkEnd w:id="168"/>
      <w:bookmarkEnd w:id="169"/>
      <w:bookmarkEnd w:id="170"/>
      <w:bookmarkEnd w:id="171"/>
    </w:p>
    <w:p w14:paraId="45896536">
      <w:pPr>
        <w:adjustRightInd w:val="0"/>
        <w:snapToGrid w:val="0"/>
        <w:spacing w:line="360" w:lineRule="auto"/>
        <w:ind w:firstLine="412" w:firstLineChars="200"/>
        <w:rPr>
          <w:spacing w:val="-2"/>
          <w:szCs w:val="21"/>
        </w:rPr>
      </w:pPr>
      <w:bookmarkStart w:id="172" w:name="_Toc276301530"/>
      <w:bookmarkStart w:id="173" w:name="_Toc276492438"/>
      <w:bookmarkStart w:id="174" w:name="_Toc276490920"/>
      <w:bookmarkStart w:id="175" w:name="_Toc279695211"/>
      <w:r>
        <w:rPr>
          <w:rFonts w:hint="eastAsia"/>
          <w:spacing w:val="-2"/>
          <w:szCs w:val="21"/>
        </w:rPr>
        <w:t>投标方</w:t>
      </w:r>
      <w:r>
        <w:rPr>
          <w:spacing w:val="-2"/>
          <w:szCs w:val="21"/>
        </w:rPr>
        <w:t>必须充分了解目的地的道路情况，并把该情况充分反馈给承担运输的单位，必要时安排专人押运车辆。</w:t>
      </w:r>
    </w:p>
    <w:p w14:paraId="42FCA800">
      <w:pPr>
        <w:adjustRightInd w:val="0"/>
        <w:snapToGrid w:val="0"/>
        <w:spacing w:line="360" w:lineRule="auto"/>
        <w:ind w:firstLine="412" w:firstLineChars="200"/>
        <w:rPr>
          <w:spacing w:val="-2"/>
          <w:szCs w:val="21"/>
        </w:rPr>
      </w:pPr>
      <w:r>
        <w:rPr>
          <w:spacing w:val="-2"/>
          <w:szCs w:val="21"/>
        </w:rPr>
        <w:t>运输尽量行驶高等级公路，对行驶公路的最高时速应做相关规定和要求。</w:t>
      </w:r>
    </w:p>
    <w:p w14:paraId="71C5EA9A">
      <w:pPr>
        <w:adjustRightInd w:val="0"/>
        <w:snapToGrid w:val="0"/>
        <w:spacing w:line="360" w:lineRule="auto"/>
        <w:ind w:firstLine="412" w:firstLineChars="200"/>
        <w:rPr>
          <w:spacing w:val="-2"/>
          <w:szCs w:val="21"/>
        </w:rPr>
      </w:pPr>
      <w:r>
        <w:rPr>
          <w:rFonts w:hint="eastAsia"/>
          <w:spacing w:val="-2"/>
          <w:szCs w:val="21"/>
        </w:rPr>
        <w:t>投标方</w:t>
      </w:r>
      <w:r>
        <w:rPr>
          <w:spacing w:val="-2"/>
          <w:szCs w:val="21"/>
        </w:rPr>
        <w:t>应</w:t>
      </w:r>
      <w:r>
        <w:rPr>
          <w:szCs w:val="21"/>
        </w:rPr>
        <w:t>保证互感器不超过运输尺寸和运输重量的限制，</w:t>
      </w:r>
      <w:r>
        <w:rPr>
          <w:spacing w:val="-2"/>
          <w:szCs w:val="21"/>
        </w:rPr>
        <w:t>装运件的尺寸、重量限制由设计单位提出。</w:t>
      </w:r>
    </w:p>
    <w:p w14:paraId="50C617A5">
      <w:pPr>
        <w:adjustRightInd w:val="0"/>
        <w:snapToGrid w:val="0"/>
        <w:spacing w:line="360" w:lineRule="auto"/>
        <w:ind w:firstLine="412" w:firstLineChars="200"/>
        <w:rPr>
          <w:spacing w:val="-2"/>
          <w:szCs w:val="21"/>
        </w:rPr>
      </w:pPr>
      <w:r>
        <w:rPr>
          <w:rFonts w:hint="eastAsia"/>
          <w:spacing w:val="-2"/>
          <w:szCs w:val="21"/>
        </w:rPr>
        <w:t>投标方</w:t>
      </w:r>
      <w:r>
        <w:rPr>
          <w:spacing w:val="-2"/>
          <w:szCs w:val="21"/>
        </w:rPr>
        <w:t>负责将设备安全地运到</w:t>
      </w:r>
      <w:r>
        <w:rPr>
          <w:rFonts w:hint="eastAsia"/>
          <w:spacing w:val="-2"/>
          <w:szCs w:val="21"/>
        </w:rPr>
        <w:t>招标方</w:t>
      </w:r>
      <w:r>
        <w:rPr>
          <w:spacing w:val="-2"/>
          <w:szCs w:val="21"/>
        </w:rPr>
        <w:t>指定地点。制造厂应做到使设备在任何运输过程中不受损坏。</w:t>
      </w:r>
      <w:r>
        <w:rPr>
          <w:rFonts w:hint="eastAsia"/>
          <w:spacing w:val="-2"/>
          <w:szCs w:val="21"/>
        </w:rPr>
        <w:t>投标方</w:t>
      </w:r>
      <w:r>
        <w:rPr>
          <w:spacing w:val="-2"/>
          <w:szCs w:val="21"/>
        </w:rPr>
        <w:t>应考虑到设备在船运和陆运运输中，可能受到的最大加速度所产生的冲击力而不松动、不损坏、不变形。</w:t>
      </w:r>
    </w:p>
    <w:p w14:paraId="5A85FEF7">
      <w:pPr>
        <w:adjustRightInd w:val="0"/>
        <w:snapToGrid w:val="0"/>
        <w:spacing w:line="360" w:lineRule="auto"/>
        <w:ind w:firstLine="412" w:firstLineChars="200"/>
        <w:rPr>
          <w:spacing w:val="-2"/>
          <w:szCs w:val="21"/>
        </w:rPr>
      </w:pPr>
      <w:r>
        <w:rPr>
          <w:spacing w:val="-2"/>
          <w:szCs w:val="21"/>
        </w:rPr>
        <w:t>所有组、部件在装运时必须做到便于卸货、搬运和现场安装。为了能正确搬运和安装，在必要处应提供吊钩或起吊设施，并提供吊索布置图。</w:t>
      </w:r>
    </w:p>
    <w:p w14:paraId="61932464">
      <w:pPr>
        <w:adjustRightInd w:val="0"/>
        <w:snapToGrid w:val="0"/>
        <w:spacing w:line="360" w:lineRule="auto"/>
        <w:ind w:firstLine="412" w:firstLineChars="200"/>
        <w:rPr>
          <w:spacing w:val="-2"/>
          <w:szCs w:val="21"/>
        </w:rPr>
      </w:pPr>
      <w:r>
        <w:rPr>
          <w:spacing w:val="-2"/>
          <w:szCs w:val="21"/>
        </w:rPr>
        <w:t>笨重件应装在滑板上或板条箱内，在运输中容易松散丢失的物件都应装箱并捆扎牢固，瓷套管应牢固固定在木箱内，以防相对移动。</w:t>
      </w:r>
    </w:p>
    <w:p w14:paraId="64E80849">
      <w:pPr>
        <w:pStyle w:val="52"/>
        <w:spacing w:line="360" w:lineRule="auto"/>
        <w:ind w:right="108"/>
        <w:outlineLvl w:val="1"/>
        <w:rPr>
          <w:rFonts w:ascii="Times New Roman"/>
          <w:sz w:val="21"/>
          <w:szCs w:val="21"/>
        </w:rPr>
      </w:pPr>
      <w:r>
        <w:rPr>
          <w:rFonts w:hint="eastAsia" w:ascii="Times New Roman"/>
          <w:sz w:val="21"/>
          <w:szCs w:val="21"/>
        </w:rPr>
        <w:t xml:space="preserve">10.4 </w:t>
      </w:r>
      <w:bookmarkEnd w:id="172"/>
      <w:bookmarkEnd w:id="173"/>
      <w:bookmarkEnd w:id="174"/>
      <w:bookmarkEnd w:id="175"/>
      <w:r>
        <w:rPr>
          <w:rFonts w:hint="eastAsia" w:ascii="Times New Roman"/>
          <w:sz w:val="21"/>
          <w:szCs w:val="21"/>
        </w:rPr>
        <w:t>安装施工</w:t>
      </w:r>
    </w:p>
    <w:p w14:paraId="3492D14E">
      <w:pPr>
        <w:spacing w:line="360" w:lineRule="auto"/>
        <w:outlineLvl w:val="2"/>
        <w:rPr>
          <w:rFonts w:cs="宋体"/>
        </w:rPr>
      </w:pPr>
      <w:bookmarkStart w:id="176" w:name="_Toc272526991"/>
      <w:r>
        <w:rPr>
          <w:rFonts w:hint="eastAsia" w:cs="宋体"/>
          <w:bCs/>
        </w:rPr>
        <w:t>10.4.1</w:t>
      </w:r>
      <w:r>
        <w:rPr>
          <w:rFonts w:hint="eastAsia" w:cs="宋体"/>
        </w:rPr>
        <w:t>　项目管理</w:t>
      </w:r>
      <w:bookmarkEnd w:id="176"/>
    </w:p>
    <w:p w14:paraId="7F746FAE">
      <w:pPr>
        <w:spacing w:line="360" w:lineRule="auto"/>
        <w:ind w:firstLine="420" w:firstLineChars="200"/>
        <w:rPr>
          <w:rFonts w:cs="宋体"/>
        </w:rPr>
      </w:pPr>
      <w:r>
        <w:rPr>
          <w:rFonts w:hint="eastAsia" w:cs="宋体"/>
        </w:rPr>
        <w:t>1）合同签定后，投标方应指定负责本工程的项目经理，负责协调投标方在工程全过程的各项工作，如工程进度、设计制造、图纸文件、制造确认、包装运输、现场安装、调试验收等。</w:t>
      </w:r>
    </w:p>
    <w:p w14:paraId="30ED57F4">
      <w:pPr>
        <w:spacing w:line="360" w:lineRule="auto"/>
        <w:ind w:firstLine="420" w:firstLineChars="200"/>
        <w:rPr>
          <w:rFonts w:cs="宋体"/>
        </w:rPr>
      </w:pPr>
      <w:r>
        <w:rPr>
          <w:rFonts w:hint="eastAsia" w:cs="宋体"/>
        </w:rPr>
        <w:t>2）投标方应接受招标方现场管理单位的统一组织管理和监督检查，以及安全、质量、进度、技术、文明施工等要素的管控。</w:t>
      </w:r>
    </w:p>
    <w:p w14:paraId="1C53FB4B">
      <w:pPr>
        <w:spacing w:line="360" w:lineRule="auto"/>
        <w:ind w:firstLine="420" w:firstLineChars="200"/>
        <w:rPr>
          <w:rFonts w:cs="宋体"/>
        </w:rPr>
      </w:pPr>
      <w:r>
        <w:rPr>
          <w:rFonts w:hint="eastAsia" w:cs="宋体"/>
        </w:rPr>
        <w:t>3）投标方需明确现场施工的组织架构，指定固定的现场负责人，期间不得随意更换，不得同时开展其他工作。</w:t>
      </w:r>
    </w:p>
    <w:p w14:paraId="5CDC22F1">
      <w:pPr>
        <w:spacing w:line="360" w:lineRule="auto"/>
        <w:ind w:firstLine="420" w:firstLineChars="200"/>
        <w:rPr>
          <w:rFonts w:cs="宋体"/>
        </w:rPr>
      </w:pPr>
      <w:r>
        <w:rPr>
          <w:rFonts w:hint="eastAsia" w:cs="宋体"/>
        </w:rPr>
        <w:t>4）进入换流站开展施工的人员必须通过招标方组织的安全教育考试，涉及特种作业的人员经过专业培训并取得中国人力资源和社会保障部认可的高空作业证、特种车辆作业证等相应的作业证书。</w:t>
      </w:r>
    </w:p>
    <w:p w14:paraId="04356852">
      <w:pPr>
        <w:spacing w:line="360" w:lineRule="auto"/>
        <w:outlineLvl w:val="2"/>
        <w:rPr>
          <w:rFonts w:cs="宋体"/>
        </w:rPr>
      </w:pPr>
      <w:bookmarkStart w:id="177" w:name="_Toc272526992"/>
      <w:r>
        <w:rPr>
          <w:rFonts w:hint="eastAsia" w:cs="宋体"/>
          <w:bCs/>
        </w:rPr>
        <w:t>10.4.2</w:t>
      </w:r>
      <w:r>
        <w:rPr>
          <w:rFonts w:hint="eastAsia" w:cs="宋体"/>
        </w:rPr>
        <w:t>　任务和责任</w:t>
      </w:r>
      <w:bookmarkEnd w:id="177"/>
    </w:p>
    <w:p w14:paraId="0FEFD36E">
      <w:pPr>
        <w:spacing w:line="360" w:lineRule="auto"/>
        <w:rPr>
          <w:rFonts w:cs="宋体"/>
        </w:rPr>
      </w:pPr>
      <w:bookmarkStart w:id="178" w:name="_Toc272526993"/>
      <w:r>
        <w:rPr>
          <w:rFonts w:hint="eastAsia" w:cs="宋体"/>
          <w:bCs/>
        </w:rPr>
        <w:t>10.4.2.1</w:t>
      </w:r>
      <w:r>
        <w:rPr>
          <w:rFonts w:hint="eastAsia" w:cs="宋体"/>
        </w:rPr>
        <w:t>　招标方任务和责任</w:t>
      </w:r>
      <w:bookmarkEnd w:id="178"/>
    </w:p>
    <w:p w14:paraId="7E8EDAEE">
      <w:pPr>
        <w:spacing w:line="360" w:lineRule="auto"/>
        <w:ind w:firstLine="420" w:firstLineChars="200"/>
        <w:rPr>
          <w:rFonts w:cs="宋体"/>
        </w:rPr>
      </w:pPr>
      <w:r>
        <w:rPr>
          <w:rFonts w:hint="eastAsia" w:cs="宋体"/>
        </w:rPr>
        <w:t>1） 招标方负责提供所需的现场设备布置图，确定监视范围及内容。</w:t>
      </w:r>
    </w:p>
    <w:p w14:paraId="4971D099">
      <w:pPr>
        <w:spacing w:line="360" w:lineRule="auto"/>
        <w:ind w:firstLine="420" w:firstLineChars="200"/>
        <w:rPr>
          <w:rFonts w:cs="宋体"/>
        </w:rPr>
      </w:pPr>
      <w:r>
        <w:rPr>
          <w:rFonts w:hint="eastAsia" w:cs="宋体"/>
        </w:rPr>
        <w:t>2） 招标方负责协调与其他系统互联的接口工作。</w:t>
      </w:r>
    </w:p>
    <w:p w14:paraId="2E5C6C67">
      <w:pPr>
        <w:spacing w:line="360" w:lineRule="auto"/>
        <w:ind w:firstLine="420" w:firstLineChars="200"/>
        <w:rPr>
          <w:rFonts w:cs="宋体"/>
        </w:rPr>
      </w:pPr>
      <w:r>
        <w:rPr>
          <w:rFonts w:hint="eastAsia" w:cs="宋体"/>
        </w:rPr>
        <w:t>3） 招标方负责场地准备，并配合现场调试。</w:t>
      </w:r>
    </w:p>
    <w:p w14:paraId="2AB777B2">
      <w:pPr>
        <w:spacing w:line="360" w:lineRule="auto"/>
        <w:ind w:firstLine="420" w:firstLineChars="200"/>
        <w:rPr>
          <w:rFonts w:cs="宋体"/>
        </w:rPr>
      </w:pPr>
      <w:r>
        <w:rPr>
          <w:rFonts w:hint="eastAsia" w:cs="宋体"/>
        </w:rPr>
        <w:t>4） 招标方负责提供工程安装所需的安全条件。</w:t>
      </w:r>
    </w:p>
    <w:p w14:paraId="5B77BE0E">
      <w:pPr>
        <w:spacing w:line="360" w:lineRule="auto"/>
        <w:ind w:firstLine="420" w:firstLineChars="200"/>
        <w:rPr>
          <w:rFonts w:cs="宋体"/>
        </w:rPr>
      </w:pPr>
      <w:r>
        <w:rPr>
          <w:rFonts w:hint="eastAsia" w:cs="宋体"/>
        </w:rPr>
        <w:t>5） 招标方按照商务合同和技术协议进行各阶段验收。</w:t>
      </w:r>
    </w:p>
    <w:p w14:paraId="1BC3097D">
      <w:pPr>
        <w:spacing w:line="360" w:lineRule="auto"/>
        <w:rPr>
          <w:rFonts w:cs="宋体"/>
        </w:rPr>
      </w:pPr>
      <w:bookmarkStart w:id="179" w:name="_Toc272526994"/>
      <w:r>
        <w:rPr>
          <w:rFonts w:hint="eastAsia" w:cs="宋体"/>
          <w:bCs/>
        </w:rPr>
        <w:t>10.4.2.2</w:t>
      </w:r>
      <w:r>
        <w:rPr>
          <w:rFonts w:hint="eastAsia" w:cs="宋体"/>
        </w:rPr>
        <w:t>　投标方任务和责任</w:t>
      </w:r>
      <w:bookmarkEnd w:id="179"/>
    </w:p>
    <w:p w14:paraId="244FB131">
      <w:pPr>
        <w:spacing w:line="360" w:lineRule="auto"/>
        <w:ind w:firstLine="420" w:firstLineChars="200"/>
        <w:rPr>
          <w:rFonts w:cs="宋体"/>
        </w:rPr>
      </w:pPr>
      <w:r>
        <w:rPr>
          <w:rFonts w:hint="eastAsia" w:cs="宋体"/>
        </w:rPr>
        <w:t>1） 投标方指定的工地代表，应在合同范围内与招标方工地代表充分合作与协商，以解决有关的技术和工作问题。双方的工地代表，未经双方授权，无权变更和修改合同。</w:t>
      </w:r>
    </w:p>
    <w:p w14:paraId="204D61CB">
      <w:pPr>
        <w:spacing w:line="360" w:lineRule="auto"/>
        <w:ind w:firstLine="420" w:firstLineChars="200"/>
        <w:rPr>
          <w:rFonts w:cs="宋体"/>
        </w:rPr>
      </w:pPr>
      <w:r>
        <w:rPr>
          <w:rFonts w:hint="eastAsia" w:cs="宋体"/>
        </w:rPr>
        <w:t>2） 投标方技术人员应按合同规定完成有关设备的技术服务，指导设备的安装、调试和验收试验。满足招标方工程进度要求,服从建设单位管理。</w:t>
      </w:r>
    </w:p>
    <w:p w14:paraId="53AD7D0A">
      <w:pPr>
        <w:spacing w:line="360" w:lineRule="auto"/>
        <w:ind w:firstLine="420" w:firstLineChars="200"/>
        <w:rPr>
          <w:rFonts w:cs="宋体"/>
        </w:rPr>
      </w:pPr>
      <w:r>
        <w:rPr>
          <w:rFonts w:hint="eastAsia" w:cs="宋体"/>
        </w:rPr>
        <w:t>3） 投标方技术人员应对招标方人员详细地解释技术文件、图纸、运行和维护手册、设备特性、分析方法和有关的注意事项等，以及解答和解决招标方在合同范围内提出的技术问题。</w:t>
      </w:r>
    </w:p>
    <w:p w14:paraId="41A2CFBC">
      <w:pPr>
        <w:spacing w:line="360" w:lineRule="auto"/>
        <w:ind w:firstLine="420" w:firstLineChars="200"/>
        <w:rPr>
          <w:rFonts w:cs="宋体"/>
        </w:rPr>
      </w:pPr>
      <w:r>
        <w:rPr>
          <w:rFonts w:hint="eastAsia" w:cs="宋体"/>
        </w:rPr>
        <w:t>4） 投标方技术人员有义务协助招标方对运行和维护的人员进行免费的培训。</w:t>
      </w:r>
    </w:p>
    <w:p w14:paraId="1E0836BE">
      <w:pPr>
        <w:spacing w:line="360" w:lineRule="auto"/>
        <w:ind w:firstLine="420" w:firstLineChars="200"/>
        <w:rPr>
          <w:rFonts w:cs="宋体"/>
        </w:rPr>
      </w:pPr>
      <w:r>
        <w:rPr>
          <w:rFonts w:hint="eastAsia" w:cs="宋体"/>
        </w:rPr>
        <w:t>5） 投标方技术人员的技术指导应是正确的，如因错误指导而引起设备和材料的损坏，投标方应负责修复、更换和（或）补充，费用由投标方承担，该费用中还包括进行修补期间所发生的服务费。招标方的有关技术人员应尊重投标方技术人员的技术指导。</w:t>
      </w:r>
    </w:p>
    <w:p w14:paraId="3C28C987">
      <w:pPr>
        <w:spacing w:line="360" w:lineRule="auto"/>
        <w:ind w:firstLine="420" w:firstLineChars="200"/>
        <w:rPr>
          <w:rFonts w:cs="宋体"/>
        </w:rPr>
      </w:pPr>
      <w:r>
        <w:rPr>
          <w:rFonts w:hint="eastAsia" w:cs="宋体"/>
        </w:rPr>
        <w:t>6） 投标方代表应充分理解招标方对安装、调试工作提出的技术和质量方面的意见和建议，使设备的安装、调试达到双方都满意的质量。如因投标方原因造成安装或试验工作拖期，招标方有权要求投标方的安装监督人员或试验工程师继续留在工地服务，且费用由投标方自理。</w:t>
      </w:r>
    </w:p>
    <w:p w14:paraId="03C803DB">
      <w:pPr>
        <w:spacing w:line="360" w:lineRule="auto"/>
        <w:ind w:firstLine="420" w:firstLineChars="200"/>
        <w:rPr>
          <w:rFonts w:cs="宋体"/>
        </w:rPr>
      </w:pPr>
      <w:r>
        <w:rPr>
          <w:rFonts w:hint="eastAsia" w:cs="宋体"/>
        </w:rPr>
        <w:t>7） 在产品质保期内有制造质量的设备，由投标方负责修理或更换。对非投标方责任造成的设备损坏，投标方有优先提供配件和修理的义务。</w:t>
      </w:r>
    </w:p>
    <w:p w14:paraId="2B48AACC">
      <w:pPr>
        <w:spacing w:line="360" w:lineRule="auto"/>
        <w:ind w:firstLine="420" w:firstLineChars="200"/>
        <w:rPr>
          <w:rFonts w:cs="宋体"/>
        </w:rPr>
      </w:pPr>
      <w:r>
        <w:rPr>
          <w:rFonts w:hint="eastAsia" w:cs="宋体"/>
        </w:rPr>
        <w:t>8） 对招标方选购的与本合同设备有关的配套设备（如备品备件及专用工具等），投标方有提供技术配合的义务，并不由此而增加任何费用。</w:t>
      </w:r>
    </w:p>
    <w:p w14:paraId="1DCD1D77">
      <w:pPr>
        <w:spacing w:line="360" w:lineRule="auto"/>
        <w:ind w:firstLine="420" w:firstLineChars="200"/>
        <w:rPr>
          <w:rFonts w:cs="宋体"/>
        </w:rPr>
      </w:pPr>
      <w:r>
        <w:rPr>
          <w:rFonts w:hint="eastAsia" w:cs="宋体"/>
        </w:rPr>
        <w:t>9） 投标方提供的设备及附件规格、重量或接线有变化时，应及时书面通知招标方。</w:t>
      </w:r>
    </w:p>
    <w:p w14:paraId="60F03166">
      <w:pPr>
        <w:spacing w:line="360" w:lineRule="auto"/>
        <w:ind w:firstLine="420" w:firstLineChars="200"/>
        <w:rPr>
          <w:rFonts w:cs="宋体"/>
        </w:rPr>
      </w:pPr>
      <w:r>
        <w:rPr>
          <w:rFonts w:hint="eastAsia" w:cs="宋体"/>
        </w:rPr>
        <w:t>10）投标方所供设备应提供投运时的最新软件版本，并应配合今后运行过程中的软件升级。</w:t>
      </w:r>
    </w:p>
    <w:p w14:paraId="79A407B8">
      <w:pPr>
        <w:spacing w:line="360" w:lineRule="auto"/>
        <w:ind w:firstLine="420" w:firstLineChars="200"/>
        <w:rPr>
          <w:rFonts w:cs="宋体"/>
        </w:rPr>
      </w:pPr>
      <w:r>
        <w:rPr>
          <w:rFonts w:hint="eastAsia" w:cs="宋体"/>
        </w:rPr>
        <w:t>11) 投标方在质保期内应至少每年一次或在装置发生故障导致无法正常工作时，配合现场停电检修的工期，派遣技术人员到现场进行免费维护。</w:t>
      </w:r>
    </w:p>
    <w:p w14:paraId="24C90CBD">
      <w:pPr>
        <w:spacing w:line="360" w:lineRule="auto"/>
        <w:ind w:firstLine="420" w:firstLineChars="200"/>
        <w:rPr>
          <w:rFonts w:cs="宋体"/>
        </w:rPr>
      </w:pPr>
      <w:r>
        <w:rPr>
          <w:rFonts w:hint="eastAsia" w:cs="宋体"/>
        </w:rPr>
        <w:t>12) 装置在产品质保期外发生故障或需要进行维护时，投标方有义务派遣技术人员到现场配合招标方进行故障处理或产品维护。</w:t>
      </w:r>
    </w:p>
    <w:p w14:paraId="4FFA81E8">
      <w:pPr>
        <w:spacing w:line="360" w:lineRule="auto"/>
        <w:ind w:firstLine="420" w:firstLineChars="200"/>
        <w:rPr>
          <w:rFonts w:cs="宋体"/>
        </w:rPr>
      </w:pPr>
      <w:r>
        <w:rPr>
          <w:rFonts w:hint="eastAsia" w:cs="宋体"/>
        </w:rPr>
        <w:t>13) 响应时间的要求：在装置发生异常24小时内，投标方进行技术响应，技术人员48小时内到达现场。</w:t>
      </w:r>
    </w:p>
    <w:p w14:paraId="5856738D">
      <w:pPr>
        <w:spacing w:line="360" w:lineRule="auto"/>
        <w:outlineLvl w:val="2"/>
        <w:rPr>
          <w:rFonts w:cs="宋体"/>
        </w:rPr>
      </w:pPr>
      <w:bookmarkStart w:id="180" w:name="_Toc272526997"/>
      <w:r>
        <w:rPr>
          <w:rFonts w:hint="eastAsia" w:cs="宋体"/>
        </w:rPr>
        <w:t>10.4.3　设计联络会</w:t>
      </w:r>
      <w:bookmarkEnd w:id="180"/>
    </w:p>
    <w:p w14:paraId="079BD300">
      <w:pPr>
        <w:spacing w:line="360" w:lineRule="auto"/>
        <w:ind w:firstLine="420" w:firstLineChars="200"/>
        <w:rPr>
          <w:rFonts w:cs="宋体"/>
        </w:rPr>
      </w:pPr>
      <w:r>
        <w:rPr>
          <w:rFonts w:hint="eastAsia" w:cs="宋体"/>
        </w:rPr>
        <w:t>为了确认本平台的设计方案，确定各互联系统软硬件接口界面，交换必需的设计配合资料，协调工程进度，投标方应在设计联络会召开前两周</w:t>
      </w:r>
      <w:r>
        <w:rPr>
          <w:rFonts w:cs="宋体"/>
        </w:rPr>
        <w:t>，</w:t>
      </w:r>
      <w:r>
        <w:rPr>
          <w:rFonts w:hint="eastAsia" w:cs="宋体"/>
        </w:rPr>
        <w:t>提交给招标方需要确认的图纸和资料。</w:t>
      </w:r>
    </w:p>
    <w:p w14:paraId="7FFA5441">
      <w:pPr>
        <w:spacing w:line="360" w:lineRule="auto"/>
        <w:ind w:firstLine="420" w:firstLineChars="200"/>
        <w:rPr>
          <w:rFonts w:cs="宋体"/>
        </w:rPr>
      </w:pPr>
      <w:r>
        <w:rPr>
          <w:rFonts w:hint="eastAsia" w:cs="宋体"/>
        </w:rPr>
        <w:t>设计联络会由相关网省公司、建设单位、设计单位、测试单位等按需参加。</w:t>
      </w:r>
    </w:p>
    <w:p w14:paraId="417F36BA">
      <w:pPr>
        <w:spacing w:line="360" w:lineRule="auto"/>
        <w:ind w:firstLine="420" w:firstLineChars="200"/>
        <w:rPr>
          <w:rFonts w:cs="宋体"/>
        </w:rPr>
      </w:pPr>
      <w:r>
        <w:rPr>
          <w:rFonts w:hint="eastAsia" w:cs="宋体"/>
        </w:rPr>
        <w:t>设计联络会议内容为：</w:t>
      </w:r>
    </w:p>
    <w:p w14:paraId="486353D0">
      <w:pPr>
        <w:spacing w:line="360" w:lineRule="auto"/>
        <w:ind w:firstLine="420" w:firstLineChars="200"/>
        <w:rPr>
          <w:rFonts w:cs="宋体"/>
        </w:rPr>
      </w:pPr>
      <w:r>
        <w:rPr>
          <w:rFonts w:hint="eastAsia" w:cs="宋体"/>
        </w:rPr>
        <w:t>1） 确认数字孪生应用软件的详细设计方案</w:t>
      </w:r>
      <w:r>
        <w:rPr>
          <w:rFonts w:cs="宋体"/>
        </w:rPr>
        <w:t>；</w:t>
      </w:r>
    </w:p>
    <w:p w14:paraId="25932F07">
      <w:pPr>
        <w:spacing w:line="360" w:lineRule="auto"/>
        <w:ind w:firstLine="420" w:firstLineChars="200"/>
        <w:rPr>
          <w:rFonts w:cs="宋体"/>
        </w:rPr>
      </w:pPr>
      <w:r>
        <w:rPr>
          <w:rFonts w:hint="eastAsia" w:cs="宋体"/>
        </w:rPr>
        <w:t>2） 确认项目实施方案</w:t>
      </w:r>
      <w:r>
        <w:rPr>
          <w:rFonts w:cs="宋体"/>
        </w:rPr>
        <w:t>；</w:t>
      </w:r>
    </w:p>
    <w:p w14:paraId="1A7FD891">
      <w:pPr>
        <w:spacing w:line="360" w:lineRule="auto"/>
        <w:ind w:firstLine="420" w:firstLineChars="200"/>
        <w:rPr>
          <w:rFonts w:cs="宋体"/>
        </w:rPr>
      </w:pPr>
      <w:r>
        <w:rPr>
          <w:rFonts w:hint="eastAsia" w:cs="宋体"/>
        </w:rPr>
        <w:t>3） 讨论</w:t>
      </w:r>
      <w:r>
        <w:rPr>
          <w:rFonts w:cs="宋体"/>
        </w:rPr>
        <w:t>/</w:t>
      </w:r>
      <w:r>
        <w:rPr>
          <w:rFonts w:hint="eastAsia" w:cs="宋体"/>
        </w:rPr>
        <w:t>确定培训计划</w:t>
      </w:r>
      <w:r>
        <w:rPr>
          <w:rFonts w:cs="宋体"/>
        </w:rPr>
        <w:t>；</w:t>
      </w:r>
    </w:p>
    <w:p w14:paraId="35A3EEEB">
      <w:pPr>
        <w:spacing w:line="360" w:lineRule="auto"/>
        <w:ind w:firstLine="420" w:firstLineChars="200"/>
        <w:rPr>
          <w:rFonts w:cs="宋体"/>
        </w:rPr>
      </w:pPr>
      <w:r>
        <w:rPr>
          <w:rFonts w:hint="eastAsia" w:cs="宋体"/>
        </w:rPr>
        <w:t>4） 讨论</w:t>
      </w:r>
      <w:r>
        <w:rPr>
          <w:rFonts w:cs="宋体"/>
        </w:rPr>
        <w:t>/</w:t>
      </w:r>
      <w:r>
        <w:rPr>
          <w:rFonts w:hint="eastAsia" w:cs="宋体"/>
        </w:rPr>
        <w:t>确定工程进度要求</w:t>
      </w:r>
      <w:r>
        <w:rPr>
          <w:rFonts w:cs="宋体"/>
        </w:rPr>
        <w:t>；</w:t>
      </w:r>
    </w:p>
    <w:p w14:paraId="6D1188B5">
      <w:pPr>
        <w:spacing w:line="360" w:lineRule="auto"/>
        <w:ind w:firstLine="420" w:firstLineChars="200"/>
        <w:rPr>
          <w:rFonts w:cs="宋体"/>
        </w:rPr>
      </w:pPr>
      <w:r>
        <w:rPr>
          <w:rFonts w:hint="eastAsia" w:cs="宋体"/>
        </w:rPr>
        <w:t>5） 讨论</w:t>
      </w:r>
      <w:r>
        <w:rPr>
          <w:rFonts w:cs="宋体"/>
        </w:rPr>
        <w:t>/</w:t>
      </w:r>
      <w:r>
        <w:rPr>
          <w:rFonts w:hint="eastAsia" w:cs="宋体"/>
        </w:rPr>
        <w:t>确定现场安装计划要求</w:t>
      </w:r>
      <w:r>
        <w:rPr>
          <w:rFonts w:cs="宋体"/>
        </w:rPr>
        <w:t>；</w:t>
      </w:r>
    </w:p>
    <w:p w14:paraId="54B671B4">
      <w:pPr>
        <w:spacing w:line="360" w:lineRule="auto"/>
        <w:ind w:firstLine="420" w:firstLineChars="200"/>
        <w:rPr>
          <w:rFonts w:cs="宋体"/>
        </w:rPr>
      </w:pPr>
      <w:r>
        <w:rPr>
          <w:rFonts w:hint="eastAsia" w:cs="宋体"/>
        </w:rPr>
        <w:t>6） 讨论</w:t>
      </w:r>
      <w:r>
        <w:rPr>
          <w:rFonts w:cs="宋体"/>
        </w:rPr>
        <w:t>/</w:t>
      </w:r>
      <w:r>
        <w:rPr>
          <w:rFonts w:hint="eastAsia" w:cs="宋体"/>
        </w:rPr>
        <w:t>确定现场验收计划。</w:t>
      </w:r>
    </w:p>
    <w:p w14:paraId="7634DA3B">
      <w:pPr>
        <w:spacing w:line="360" w:lineRule="auto"/>
        <w:outlineLvl w:val="2"/>
        <w:rPr>
          <w:rFonts w:cs="宋体"/>
        </w:rPr>
      </w:pPr>
      <w:bookmarkStart w:id="181" w:name="_Toc272526998"/>
      <w:r>
        <w:rPr>
          <w:rFonts w:hint="eastAsia" w:cs="宋体"/>
        </w:rPr>
        <w:t>10.4.4　培训</w:t>
      </w:r>
      <w:bookmarkEnd w:id="181"/>
    </w:p>
    <w:p w14:paraId="64A51373">
      <w:pPr>
        <w:spacing w:line="360" w:lineRule="auto"/>
        <w:ind w:firstLine="420" w:firstLineChars="200"/>
        <w:rPr>
          <w:rFonts w:cs="宋体"/>
        </w:rPr>
      </w:pPr>
      <w:r>
        <w:rPr>
          <w:rFonts w:hint="eastAsia" w:cs="宋体"/>
        </w:rPr>
        <w:t>1） 投标方负责对招标方技术人员及运行、维护人员现场及厂内的培训；</w:t>
      </w:r>
    </w:p>
    <w:p w14:paraId="2BE81319">
      <w:pPr>
        <w:spacing w:line="360" w:lineRule="auto"/>
        <w:ind w:firstLine="420" w:firstLineChars="200"/>
        <w:rPr>
          <w:rFonts w:cs="宋体"/>
        </w:rPr>
      </w:pPr>
      <w:r>
        <w:rPr>
          <w:rFonts w:hint="eastAsia" w:cs="宋体"/>
        </w:rPr>
        <w:t>2） 招标方将选派技术人员在投标方工程师的指导下参加</w:t>
      </w:r>
      <w:r>
        <w:rPr>
          <w:rFonts w:hint="eastAsia"/>
          <w:szCs w:val="21"/>
        </w:rPr>
        <w:t>数字孪生应用系统</w:t>
      </w:r>
      <w:r>
        <w:rPr>
          <w:rFonts w:hint="eastAsia" w:cs="宋体"/>
        </w:rPr>
        <w:t>的培训；</w:t>
      </w:r>
    </w:p>
    <w:p w14:paraId="01316447">
      <w:pPr>
        <w:spacing w:line="360" w:lineRule="auto"/>
        <w:ind w:firstLine="420" w:firstLineChars="200"/>
        <w:rPr>
          <w:rFonts w:cs="宋体"/>
        </w:rPr>
      </w:pPr>
      <w:r>
        <w:rPr>
          <w:rFonts w:hint="eastAsia" w:cs="宋体"/>
        </w:rPr>
        <w:t>3） 由投标方负责免费提供培训，招标方选派人员参加；</w:t>
      </w:r>
    </w:p>
    <w:p w14:paraId="5EE0A220">
      <w:pPr>
        <w:spacing w:line="360" w:lineRule="auto"/>
        <w:ind w:firstLine="420" w:firstLineChars="200"/>
        <w:rPr>
          <w:rFonts w:cs="宋体"/>
        </w:rPr>
      </w:pPr>
      <w:r>
        <w:rPr>
          <w:rFonts w:hint="eastAsia" w:cs="宋体"/>
        </w:rPr>
        <w:t>4） 培训内容为</w:t>
      </w:r>
      <w:r>
        <w:rPr>
          <w:rFonts w:hint="eastAsia"/>
          <w:szCs w:val="21"/>
        </w:rPr>
        <w:t>数字孪生应用系统</w:t>
      </w:r>
      <w:r>
        <w:rPr>
          <w:rFonts w:hint="eastAsia" w:cs="宋体"/>
        </w:rPr>
        <w:t>的系统结构、设计原理、设备接口、网络接口、现场安装、调试、维护、使用、故障诊断等；</w:t>
      </w:r>
    </w:p>
    <w:p w14:paraId="6AB89784">
      <w:pPr>
        <w:spacing w:line="360" w:lineRule="auto"/>
        <w:ind w:firstLine="420" w:firstLineChars="200"/>
        <w:rPr>
          <w:rFonts w:cs="宋体"/>
        </w:rPr>
      </w:pPr>
      <w:r>
        <w:rPr>
          <w:rFonts w:hint="eastAsia" w:cs="宋体"/>
        </w:rPr>
        <w:t>5） 经过培训的技术人员应能熟悉</w:t>
      </w:r>
      <w:r>
        <w:rPr>
          <w:rFonts w:hint="eastAsia"/>
          <w:szCs w:val="21"/>
        </w:rPr>
        <w:t>数字孪生应用系统</w:t>
      </w:r>
      <w:r>
        <w:rPr>
          <w:rFonts w:hint="eastAsia" w:cs="宋体"/>
        </w:rPr>
        <w:t>现场的运行</w:t>
      </w:r>
      <w:r>
        <w:rPr>
          <w:rFonts w:cs="宋体"/>
        </w:rPr>
        <w:t>，</w:t>
      </w:r>
      <w:r>
        <w:rPr>
          <w:rFonts w:hint="eastAsia" w:cs="宋体"/>
        </w:rPr>
        <w:t>并能进行一般的维护</w:t>
      </w:r>
      <w:r>
        <w:rPr>
          <w:rFonts w:cs="宋体"/>
        </w:rPr>
        <w:t>，</w:t>
      </w:r>
      <w:r>
        <w:rPr>
          <w:rFonts w:hint="eastAsia" w:cs="宋体"/>
        </w:rPr>
        <w:t>能够应用投标方提供的软件平台进行视频及相关信息的浏览、调阅、备份及生成运行日志等。</w:t>
      </w:r>
    </w:p>
    <w:p w14:paraId="46998BDA">
      <w:pPr>
        <w:spacing w:line="360" w:lineRule="auto"/>
        <w:outlineLvl w:val="2"/>
        <w:rPr>
          <w:rFonts w:cs="宋体"/>
        </w:rPr>
      </w:pPr>
      <w:r>
        <w:rPr>
          <w:rFonts w:hint="eastAsia" w:cs="宋体"/>
        </w:rPr>
        <w:t>10.4.5 安全文明施工要求</w:t>
      </w:r>
    </w:p>
    <w:p w14:paraId="0B970F6D">
      <w:pPr>
        <w:spacing w:line="360" w:lineRule="auto"/>
        <w:ind w:firstLine="420"/>
        <w:rPr>
          <w:rFonts w:cs="宋体"/>
        </w:rPr>
      </w:pPr>
      <w:r>
        <w:rPr>
          <w:rFonts w:hint="eastAsia" w:cs="宋体"/>
        </w:rPr>
        <w:t>1）招标方（或现场代表）对投标方在工程建设过程中的安全和文明施工、采取的措施等按国家及南方电网公司有关规定实施监督、检查、评价，发现投标方安全失控时或出现重大安全隐患时，有权责令投标方停工整改。</w:t>
      </w:r>
    </w:p>
    <w:p w14:paraId="3D378B49">
      <w:pPr>
        <w:spacing w:line="360" w:lineRule="auto"/>
        <w:ind w:firstLine="420"/>
        <w:rPr>
          <w:rFonts w:cs="宋体"/>
        </w:rPr>
      </w:pPr>
      <w:r>
        <w:rPr>
          <w:rFonts w:hint="eastAsia" w:cs="宋体"/>
        </w:rPr>
        <w:t>2）招标方有权参加投标方的安全事故调查，印发事故通报，督促投标方加强和改进安全文明施工管理工作。</w:t>
      </w:r>
    </w:p>
    <w:p w14:paraId="16E73C53">
      <w:pPr>
        <w:spacing w:line="360" w:lineRule="auto"/>
        <w:ind w:firstLine="420"/>
        <w:rPr>
          <w:rFonts w:cs="宋体"/>
        </w:rPr>
      </w:pPr>
      <w:r>
        <w:rPr>
          <w:rFonts w:hint="eastAsia" w:cs="宋体"/>
        </w:rPr>
        <w:t>3）严格执行各项安全施工、生产的制度与规定。杜绝人身死亡、重大停电事故、重大设备事故等事件发生。</w:t>
      </w:r>
    </w:p>
    <w:p w14:paraId="4001F699">
      <w:pPr>
        <w:spacing w:line="360" w:lineRule="auto"/>
        <w:ind w:firstLine="420"/>
        <w:rPr>
          <w:rFonts w:cs="宋体"/>
        </w:rPr>
      </w:pPr>
      <w:r>
        <w:rPr>
          <w:rFonts w:hint="eastAsia" w:cs="宋体"/>
        </w:rPr>
        <w:t>4）合同双方应认真执行国家及南方电网公司相关安全法律、法规、规定及规程。投标方应落实各级安全责任制，建立健全安全风险机制，实行安全。文明施工，确保施工安全。</w:t>
      </w:r>
    </w:p>
    <w:p w14:paraId="265E1922">
      <w:pPr>
        <w:spacing w:line="360" w:lineRule="auto"/>
        <w:ind w:firstLine="420"/>
        <w:rPr>
          <w:rFonts w:cs="宋体"/>
        </w:rPr>
      </w:pPr>
      <w:r>
        <w:rPr>
          <w:rFonts w:hint="eastAsia" w:cs="宋体"/>
        </w:rPr>
        <w:t>5）投标方应将下列文件提交招标方备案：</w:t>
      </w:r>
    </w:p>
    <w:p w14:paraId="02F7071F">
      <w:pPr>
        <w:spacing w:line="360" w:lineRule="auto"/>
        <w:ind w:left="420" w:firstLine="420" w:firstLineChars="200"/>
        <w:rPr>
          <w:rFonts w:cs="宋体"/>
        </w:rPr>
      </w:pPr>
      <w:r>
        <w:rPr>
          <w:rFonts w:hint="eastAsia" w:cs="宋体"/>
        </w:rPr>
        <w:t>（1）安全目标及其分解情况；</w:t>
      </w:r>
    </w:p>
    <w:p w14:paraId="59D8D49A">
      <w:pPr>
        <w:spacing w:line="360" w:lineRule="auto"/>
        <w:ind w:left="420" w:firstLine="420" w:firstLineChars="200"/>
        <w:rPr>
          <w:rFonts w:cs="宋体"/>
        </w:rPr>
      </w:pPr>
      <w:r>
        <w:rPr>
          <w:rFonts w:hint="eastAsia" w:cs="宋体"/>
        </w:rPr>
        <w:t>（2）安全管理组织机构及安全责任人；</w:t>
      </w:r>
    </w:p>
    <w:p w14:paraId="6E60F575">
      <w:pPr>
        <w:spacing w:line="360" w:lineRule="auto"/>
        <w:ind w:left="420" w:firstLine="420" w:firstLineChars="200"/>
        <w:rPr>
          <w:rFonts w:cs="宋体"/>
        </w:rPr>
      </w:pPr>
      <w:r>
        <w:rPr>
          <w:rFonts w:hint="eastAsia" w:cs="宋体"/>
        </w:rPr>
        <w:t>（3）本项目现场施工安全管理制度；</w:t>
      </w:r>
    </w:p>
    <w:p w14:paraId="18B56E5C">
      <w:pPr>
        <w:spacing w:line="360" w:lineRule="auto"/>
        <w:ind w:left="420" w:firstLine="420" w:firstLineChars="200"/>
        <w:rPr>
          <w:rFonts w:cs="宋体"/>
        </w:rPr>
      </w:pPr>
      <w:r>
        <w:rPr>
          <w:rFonts w:hint="eastAsia" w:cs="宋体"/>
        </w:rPr>
        <w:t>（4）经投标方主管领导审批的特殊施工安全技术措施；</w:t>
      </w:r>
    </w:p>
    <w:p w14:paraId="035785C9">
      <w:pPr>
        <w:spacing w:line="360" w:lineRule="auto"/>
        <w:ind w:left="420" w:firstLine="420" w:firstLineChars="200"/>
        <w:rPr>
          <w:rFonts w:cs="宋体"/>
        </w:rPr>
      </w:pPr>
      <w:r>
        <w:rPr>
          <w:rFonts w:hint="eastAsia" w:cs="宋体"/>
        </w:rPr>
        <w:t>（5）施工安全检查情况通报及事故报告。</w:t>
      </w:r>
    </w:p>
    <w:p w14:paraId="4FB412A3">
      <w:pPr>
        <w:spacing w:line="360" w:lineRule="auto"/>
        <w:ind w:firstLine="420"/>
        <w:rPr>
          <w:rFonts w:cs="宋体"/>
        </w:rPr>
      </w:pPr>
      <w:r>
        <w:rPr>
          <w:rFonts w:hint="eastAsia" w:cs="宋体"/>
        </w:rPr>
        <w:t>6）若发生事故，投标方应及时通知招标方，严禁隐瞒事故。</w:t>
      </w:r>
    </w:p>
    <w:p w14:paraId="4A3BCDE8">
      <w:pPr>
        <w:spacing w:line="360" w:lineRule="auto"/>
        <w:ind w:firstLine="420"/>
        <w:rPr>
          <w:rFonts w:cs="宋体"/>
        </w:rPr>
      </w:pPr>
      <w:r>
        <w:rPr>
          <w:rFonts w:hint="eastAsia" w:cs="宋体"/>
        </w:rPr>
        <w:t>7）投标方应采取一切合理措施，保护施工场所及施工场所周围的环境，避免污染、噪音或由于其施工造成的对公共人员和财产等的危害或干扰。并且做好对已施工完工程的成品保护工作，防止二次污染，否则，由此引起的损失由投标方承担。</w:t>
      </w:r>
    </w:p>
    <w:p w14:paraId="73571D30">
      <w:pPr>
        <w:spacing w:line="360" w:lineRule="auto"/>
        <w:ind w:firstLine="420"/>
        <w:rPr>
          <w:rFonts w:cs="宋体"/>
        </w:rPr>
      </w:pPr>
      <w:r>
        <w:rPr>
          <w:rFonts w:hint="eastAsia" w:cs="宋体"/>
        </w:rPr>
        <w:t>8）在进行高空作业时，一定要在正确佩戴好双控全身式高空安全带，工作过程中不得失去安全带保护，登高过程中必须交替使用安全带，且可靠挂接后方可进行施工。</w:t>
      </w:r>
    </w:p>
    <w:p w14:paraId="7007A775">
      <w:pPr>
        <w:spacing w:line="360" w:lineRule="auto"/>
        <w:ind w:firstLine="420"/>
        <w:rPr>
          <w:rFonts w:cs="宋体"/>
        </w:rPr>
      </w:pPr>
      <w:r>
        <w:rPr>
          <w:rFonts w:hint="eastAsia" w:cs="宋体"/>
        </w:rPr>
        <w:t>9）所有特种作业人员必须具备相应资质。</w:t>
      </w:r>
    </w:p>
    <w:p w14:paraId="70B0186E">
      <w:pPr>
        <w:spacing w:line="360" w:lineRule="auto"/>
        <w:ind w:firstLine="420"/>
        <w:rPr>
          <w:rFonts w:cs="宋体"/>
        </w:rPr>
      </w:pPr>
      <w:r>
        <w:rPr>
          <w:rFonts w:hint="eastAsia" w:cs="宋体"/>
        </w:rPr>
        <w:t>10）现场作业人员必须携带相应特种作业证书原件，并确保人员与证书信息相符，严禁弄虚作假，人员必须提前2天到场。</w:t>
      </w:r>
    </w:p>
    <w:p w14:paraId="2EA62794">
      <w:pPr>
        <w:spacing w:line="360" w:lineRule="auto"/>
        <w:outlineLvl w:val="2"/>
        <w:rPr>
          <w:rFonts w:cs="宋体"/>
        </w:rPr>
      </w:pPr>
      <w:r>
        <w:rPr>
          <w:rFonts w:hint="eastAsia" w:cs="宋体"/>
        </w:rPr>
        <w:t>10.4.6 施工工艺要求</w:t>
      </w:r>
    </w:p>
    <w:p w14:paraId="374916BB">
      <w:pPr>
        <w:spacing w:line="360" w:lineRule="auto"/>
        <w:rPr>
          <w:rFonts w:cs="宋体"/>
        </w:rPr>
      </w:pPr>
      <w:r>
        <w:rPr>
          <w:rFonts w:hint="eastAsia" w:cs="宋体"/>
        </w:rPr>
        <w:t>10.4.6.1 供电电源要求</w:t>
      </w:r>
    </w:p>
    <w:p w14:paraId="09F9E618">
      <w:pPr>
        <w:spacing w:line="360" w:lineRule="auto"/>
        <w:ind w:firstLine="420"/>
        <w:rPr>
          <w:rFonts w:cs="宋体"/>
          <w:lang w:val="zh-CN"/>
        </w:rPr>
      </w:pPr>
      <w:bookmarkStart w:id="182" w:name="_Toc893731638"/>
      <w:bookmarkStart w:id="183" w:name="_Toc1788027259"/>
      <w:r>
        <w:rPr>
          <w:rFonts w:cs="宋体"/>
          <w:lang w:val="zh-CN"/>
        </w:rPr>
        <w:t>(1)</w:t>
      </w:r>
      <w:r>
        <w:rPr>
          <w:rFonts w:cs="宋体"/>
        </w:rPr>
        <w:t xml:space="preserve"> </w:t>
      </w:r>
      <w:r>
        <w:rPr>
          <w:rFonts w:cs="宋体"/>
          <w:lang w:val="zh-CN"/>
        </w:rPr>
        <w:t>站端系统设备应使用变电站内提供的AC220V /50 Hz交流电源</w:t>
      </w:r>
      <w:r>
        <w:rPr>
          <w:rFonts w:hint="eastAsia" w:cs="宋体"/>
        </w:rPr>
        <w:t>或UPS电源</w:t>
      </w:r>
      <w:r>
        <w:rPr>
          <w:rFonts w:cs="宋体"/>
          <w:lang w:val="zh-CN"/>
        </w:rPr>
        <w:t>，并加装漏电保护装置。</w:t>
      </w:r>
      <w:bookmarkEnd w:id="182"/>
      <w:bookmarkEnd w:id="183"/>
    </w:p>
    <w:p w14:paraId="52FCD83F">
      <w:pPr>
        <w:spacing w:line="360" w:lineRule="auto"/>
        <w:ind w:firstLine="420"/>
        <w:rPr>
          <w:rFonts w:cs="宋体"/>
          <w:lang w:val="zh-CN"/>
        </w:rPr>
      </w:pPr>
      <w:bookmarkStart w:id="184" w:name="_Toc1635469542"/>
      <w:bookmarkStart w:id="185" w:name="_Toc1447012748"/>
      <w:r>
        <w:rPr>
          <w:rFonts w:cs="宋体"/>
          <w:lang w:val="zh-CN"/>
        </w:rPr>
        <w:t>(2)</w:t>
      </w:r>
      <w:r>
        <w:rPr>
          <w:rFonts w:cs="宋体"/>
        </w:rPr>
        <w:t xml:space="preserve"> </w:t>
      </w:r>
      <w:r>
        <w:rPr>
          <w:rFonts w:cs="宋体"/>
          <w:lang w:val="zh-CN"/>
        </w:rPr>
        <w:t>视频监控设备的电源由柜内配电器集中配送</w:t>
      </w:r>
      <w:r>
        <w:rPr>
          <w:rFonts w:cs="宋体"/>
        </w:rPr>
        <w:t>，</w:t>
      </w:r>
      <w:r>
        <w:rPr>
          <w:rFonts w:cs="宋体"/>
          <w:lang w:val="zh-CN"/>
        </w:rPr>
        <w:t>机柜中安装配电接线端子，每路电源都有标签详细说明，便于维护、检修，所有室外摄像机的电源及其他设各在屏柜内均配置单独且级差配合的空开：</w:t>
      </w:r>
      <w:bookmarkEnd w:id="184"/>
      <w:bookmarkEnd w:id="185"/>
    </w:p>
    <w:p w14:paraId="4900C533">
      <w:pPr>
        <w:spacing w:line="360" w:lineRule="auto"/>
        <w:ind w:firstLine="420"/>
        <w:rPr>
          <w:rFonts w:cs="宋体"/>
          <w:lang w:val="zh-CN"/>
        </w:rPr>
      </w:pPr>
      <w:bookmarkStart w:id="186" w:name="_Toc1838437008"/>
      <w:bookmarkStart w:id="187" w:name="_Toc1693394441"/>
      <w:r>
        <w:rPr>
          <w:rFonts w:cs="宋体"/>
          <w:lang w:val="zh-CN"/>
        </w:rPr>
        <w:t>(3)</w:t>
      </w:r>
      <w:r>
        <w:rPr>
          <w:rFonts w:cs="宋体"/>
        </w:rPr>
        <w:t xml:space="preserve"> </w:t>
      </w:r>
      <w:r>
        <w:rPr>
          <w:rFonts w:cs="宋体"/>
          <w:lang w:val="zh-CN"/>
        </w:rPr>
        <w:t>当供电电缆较长不能满足设备供电质量要求，或个别设备所需电源较特殊时，可向该设备直接提供AC220V/50Hz交流电源，在设备前端安装独立电源适配器转换成所需要的电源</w:t>
      </w:r>
      <w:bookmarkEnd w:id="186"/>
      <w:bookmarkEnd w:id="187"/>
      <w:r>
        <w:rPr>
          <w:rFonts w:hint="eastAsia" w:cs="宋体"/>
          <w:lang w:val="zh-CN"/>
        </w:rPr>
        <w:t>；</w:t>
      </w:r>
    </w:p>
    <w:p w14:paraId="3D9A06FA">
      <w:pPr>
        <w:spacing w:line="360" w:lineRule="auto"/>
        <w:ind w:firstLine="420"/>
        <w:rPr>
          <w:rFonts w:cs="宋体"/>
          <w:lang w:val="zh-CN"/>
        </w:rPr>
      </w:pPr>
      <w:bookmarkStart w:id="188" w:name="_Toc616080420"/>
      <w:bookmarkStart w:id="189" w:name="_Toc279596196"/>
      <w:r>
        <w:rPr>
          <w:rFonts w:cs="宋体"/>
          <w:lang w:val="zh-CN"/>
        </w:rPr>
        <w:t>(4)</w:t>
      </w:r>
      <w:r>
        <w:rPr>
          <w:rFonts w:cs="宋体"/>
        </w:rPr>
        <w:t xml:space="preserve"> </w:t>
      </w:r>
      <w:r>
        <w:rPr>
          <w:rFonts w:cs="宋体"/>
          <w:lang w:val="zh-CN"/>
        </w:rPr>
        <w:t>电源配电器必须具备防雷和防过电压能力，电源电压在＋10%～15%额定电压、频率在＋2%～-2%范围变化时，设备各项性能和技术指标均能满足系统要求。</w:t>
      </w:r>
      <w:bookmarkEnd w:id="188"/>
      <w:bookmarkEnd w:id="189"/>
    </w:p>
    <w:p w14:paraId="590A694E">
      <w:pPr>
        <w:spacing w:line="360" w:lineRule="auto"/>
        <w:rPr>
          <w:rFonts w:cs="宋体"/>
        </w:rPr>
      </w:pPr>
      <w:bookmarkStart w:id="190" w:name="_Toc1444956753"/>
      <w:bookmarkStart w:id="191" w:name="_Toc479046536"/>
      <w:r>
        <w:rPr>
          <w:rFonts w:hint="eastAsia" w:cs="宋体"/>
        </w:rPr>
        <w:t>10.4.6.2 线缆要求</w:t>
      </w:r>
      <w:bookmarkEnd w:id="190"/>
      <w:bookmarkEnd w:id="191"/>
    </w:p>
    <w:p w14:paraId="7F76AFEC">
      <w:pPr>
        <w:spacing w:line="360" w:lineRule="auto"/>
        <w:ind w:firstLine="420"/>
        <w:rPr>
          <w:rFonts w:cs="宋体"/>
          <w:lang w:val="zh-CN"/>
        </w:rPr>
      </w:pPr>
      <w:r>
        <w:rPr>
          <w:rFonts w:cs="宋体"/>
          <w:lang w:val="zh-CN"/>
        </w:rPr>
        <w:t>(1)</w:t>
      </w:r>
      <w:r>
        <w:rPr>
          <w:rFonts w:cs="宋体"/>
        </w:rPr>
        <w:t xml:space="preserve"> </w:t>
      </w:r>
      <w:r>
        <w:rPr>
          <w:rFonts w:hint="eastAsia" w:cs="宋体"/>
        </w:rPr>
        <w:t>项目</w:t>
      </w:r>
      <w:r>
        <w:rPr>
          <w:rFonts w:cs="宋体"/>
          <w:lang w:val="zh-CN"/>
        </w:rPr>
        <w:t>使用的通用电缆可分为：电源电缆、视频电缆、控制电缆、屏蔽双绞线、光缆等</w:t>
      </w:r>
      <w:r>
        <w:rPr>
          <w:rFonts w:hint="eastAsia" w:cs="宋体"/>
          <w:lang w:val="zh-CN"/>
        </w:rPr>
        <w:t>；</w:t>
      </w:r>
    </w:p>
    <w:p w14:paraId="0747E1BB">
      <w:pPr>
        <w:spacing w:line="360" w:lineRule="auto"/>
        <w:ind w:firstLine="420"/>
        <w:rPr>
          <w:rFonts w:cs="宋体"/>
          <w:lang w:val="zh-CN"/>
        </w:rPr>
      </w:pPr>
      <w:r>
        <w:rPr>
          <w:rFonts w:cs="宋体"/>
          <w:lang w:val="zh-CN"/>
        </w:rPr>
        <w:t>(2)</w:t>
      </w:r>
      <w:r>
        <w:rPr>
          <w:rFonts w:cs="宋体"/>
        </w:rPr>
        <w:t xml:space="preserve"> </w:t>
      </w:r>
      <w:r>
        <w:rPr>
          <w:rFonts w:cs="宋体"/>
          <w:lang w:val="zh-CN"/>
        </w:rPr>
        <w:t>电源线缆应使用阻燃聚氯乙烯绝缘的护套线缆</w:t>
      </w:r>
      <w:r>
        <w:rPr>
          <w:rFonts w:hint="eastAsia" w:cs="宋体"/>
        </w:rPr>
        <w:t>；</w:t>
      </w:r>
    </w:p>
    <w:p w14:paraId="6BAB731C">
      <w:pPr>
        <w:spacing w:line="360" w:lineRule="auto"/>
        <w:ind w:firstLine="420"/>
        <w:rPr>
          <w:rFonts w:cs="宋体"/>
          <w:lang w:val="zh-CN"/>
        </w:rPr>
      </w:pPr>
      <w:r>
        <w:rPr>
          <w:rFonts w:cs="宋体"/>
          <w:lang w:val="zh-CN"/>
        </w:rPr>
        <w:t>(3)</w:t>
      </w:r>
      <w:r>
        <w:rPr>
          <w:rFonts w:cs="宋体"/>
        </w:rPr>
        <w:t xml:space="preserve"> </w:t>
      </w:r>
      <w:r>
        <w:rPr>
          <w:rFonts w:cs="宋体"/>
          <w:lang w:val="zh-CN"/>
        </w:rPr>
        <w:t>网络双绞线缆应使用带屏蔽的超五类双绞线，设备与设备间的单根线缆长度</w:t>
      </w:r>
      <w:r>
        <w:rPr>
          <w:rFonts w:hint="eastAsia" w:cs="宋体"/>
        </w:rPr>
        <w:t>≤</w:t>
      </w:r>
      <w:r>
        <w:rPr>
          <w:rFonts w:cs="宋体"/>
          <w:lang w:val="zh-CN"/>
        </w:rPr>
        <w:t>100米，两端接着使用带屏蔽的RJ45头，接头线序应符合国际EIATIA的568A与568B 网种标准的规定</w:t>
      </w:r>
      <w:r>
        <w:rPr>
          <w:rFonts w:hint="eastAsia" w:cs="宋体"/>
        </w:rPr>
        <w:t>；</w:t>
      </w:r>
    </w:p>
    <w:p w14:paraId="2B6BF182">
      <w:pPr>
        <w:spacing w:line="360" w:lineRule="auto"/>
        <w:ind w:firstLine="420"/>
        <w:rPr>
          <w:rFonts w:cs="宋体"/>
          <w:lang w:val="zh-CN"/>
        </w:rPr>
      </w:pPr>
      <w:r>
        <w:rPr>
          <w:rFonts w:cs="宋体"/>
          <w:lang w:val="zh-CN"/>
        </w:rPr>
        <w:t>(4)</w:t>
      </w:r>
      <w:r>
        <w:rPr>
          <w:rFonts w:cs="宋体"/>
        </w:rPr>
        <w:t xml:space="preserve"> </w:t>
      </w:r>
      <w:r>
        <w:rPr>
          <w:rFonts w:cs="宋体"/>
          <w:lang w:val="zh-CN"/>
        </w:rPr>
        <w:t>光缆应使用室外铠装阻燃光缆，线芯不少于4芯，并要求使用专用工具由专业技术人员进行接头熔接制作。</w:t>
      </w:r>
    </w:p>
    <w:p w14:paraId="671CD746">
      <w:pPr>
        <w:spacing w:line="360" w:lineRule="auto"/>
        <w:rPr>
          <w:rFonts w:cs="宋体"/>
        </w:rPr>
      </w:pPr>
      <w:bookmarkStart w:id="192" w:name="_Toc418937949"/>
      <w:bookmarkStart w:id="193" w:name="_Toc1643067395"/>
      <w:r>
        <w:rPr>
          <w:rFonts w:hint="eastAsia" w:cs="宋体"/>
        </w:rPr>
        <w:t>10.4.6.3 防雷与抗干扰要求</w:t>
      </w:r>
      <w:bookmarkEnd w:id="192"/>
      <w:bookmarkEnd w:id="193"/>
    </w:p>
    <w:p w14:paraId="587B8A78">
      <w:pPr>
        <w:spacing w:line="360" w:lineRule="auto"/>
        <w:ind w:firstLine="420"/>
        <w:rPr>
          <w:rFonts w:cs="宋体"/>
          <w:lang w:val="zh-CN"/>
        </w:rPr>
      </w:pPr>
      <w:bookmarkStart w:id="194" w:name="_Toc541490992"/>
      <w:bookmarkStart w:id="195" w:name="_Toc1638713977"/>
      <w:r>
        <w:rPr>
          <w:rFonts w:cs="宋体"/>
          <w:lang w:val="zh-CN"/>
        </w:rPr>
        <w:t>(1)</w:t>
      </w:r>
      <w:r>
        <w:rPr>
          <w:rFonts w:cs="宋体"/>
        </w:rPr>
        <w:t xml:space="preserve"> </w:t>
      </w:r>
      <w:r>
        <w:rPr>
          <w:rFonts w:cs="宋体"/>
          <w:lang w:val="zh-CN"/>
        </w:rPr>
        <w:t>视频及环境监控系统屏应配置交流第三级电源SPD，SPD在保证防护效果的前提下应安装在便于维护观测的位置。其标称放电电流IN不小于10kA(8/20µs)，Up</w:t>
      </w:r>
      <w:r>
        <w:rPr>
          <w:rFonts w:hint="eastAsia" w:cs="宋体"/>
          <w:lang w:val="zh-CN"/>
        </w:rPr>
        <w:t>≤</w:t>
      </w:r>
      <w:r>
        <w:rPr>
          <w:rFonts w:cs="宋体"/>
          <w:lang w:val="zh-CN"/>
        </w:rPr>
        <w:t>l.4kV</w:t>
      </w:r>
      <w:bookmarkEnd w:id="194"/>
      <w:bookmarkEnd w:id="195"/>
      <w:r>
        <w:rPr>
          <w:rFonts w:hint="eastAsia" w:cs="宋体"/>
        </w:rPr>
        <w:t>；</w:t>
      </w:r>
    </w:p>
    <w:p w14:paraId="167C08F8">
      <w:pPr>
        <w:spacing w:line="360" w:lineRule="auto"/>
        <w:ind w:firstLine="420"/>
        <w:rPr>
          <w:rFonts w:cs="宋体"/>
          <w:lang w:val="zh-CN"/>
        </w:rPr>
      </w:pPr>
      <w:bookmarkStart w:id="196" w:name="_Toc1950890205"/>
      <w:bookmarkStart w:id="197" w:name="_Toc388038664"/>
      <w:r>
        <w:rPr>
          <w:rFonts w:cs="宋体"/>
          <w:lang w:val="zh-CN"/>
        </w:rPr>
        <w:t>(2)</w:t>
      </w:r>
      <w:r>
        <w:rPr>
          <w:rFonts w:cs="宋体"/>
        </w:rPr>
        <w:t xml:space="preserve"> </w:t>
      </w:r>
      <w:r>
        <w:rPr>
          <w:rFonts w:cs="宋体"/>
          <w:lang w:val="zh-CN"/>
        </w:rPr>
        <w:t>摄像机端可采用防雷插座型SPD做为设备级防雷保护措施。其额定电流不小10A，其标称放电电流IN不小于10kA(8/20µs)，Up</w:t>
      </w:r>
      <w:r>
        <w:rPr>
          <w:rFonts w:hint="eastAsia" w:cs="宋体"/>
          <w:lang w:val="zh-CN"/>
        </w:rPr>
        <w:t>≤</w:t>
      </w:r>
      <w:r>
        <w:rPr>
          <w:rFonts w:cs="宋体"/>
          <w:lang w:val="zh-CN"/>
        </w:rPr>
        <w:t>l.4kV</w:t>
      </w:r>
      <w:bookmarkEnd w:id="196"/>
      <w:bookmarkEnd w:id="197"/>
      <w:r>
        <w:rPr>
          <w:rFonts w:hint="eastAsia" w:cs="宋体"/>
        </w:rPr>
        <w:t>；</w:t>
      </w:r>
    </w:p>
    <w:p w14:paraId="2F70D0BC">
      <w:pPr>
        <w:spacing w:line="360" w:lineRule="auto"/>
        <w:ind w:firstLine="420"/>
        <w:rPr>
          <w:rFonts w:cs="宋体"/>
          <w:lang w:val="zh-CN"/>
        </w:rPr>
      </w:pPr>
      <w:bookmarkStart w:id="198" w:name="_Toc2005473556"/>
      <w:bookmarkStart w:id="199" w:name="_Toc831353039"/>
      <w:r>
        <w:rPr>
          <w:rFonts w:cs="宋体"/>
          <w:lang w:val="zh-CN"/>
        </w:rPr>
        <w:t>(3)</w:t>
      </w:r>
      <w:r>
        <w:rPr>
          <w:rFonts w:cs="宋体"/>
        </w:rPr>
        <w:t xml:space="preserve"> </w:t>
      </w:r>
      <w:r>
        <w:rPr>
          <w:rFonts w:cs="宋体"/>
          <w:lang w:val="zh-CN"/>
        </w:rPr>
        <w:t>视频及环境监控系统屏到高压场地或室外的视频线、控制线应加装多路集中式信号SPD。其性能指标要求：</w:t>
      </w:r>
      <w:bookmarkEnd w:id="198"/>
      <w:bookmarkEnd w:id="199"/>
    </w:p>
    <w:p w14:paraId="16049072">
      <w:pPr>
        <w:spacing w:line="360" w:lineRule="auto"/>
        <w:ind w:firstLine="420"/>
        <w:rPr>
          <w:rFonts w:cs="宋体"/>
          <w:lang w:val="zh-CN"/>
        </w:rPr>
      </w:pPr>
      <w:bookmarkStart w:id="200" w:name="_Toc1238216027"/>
      <w:bookmarkStart w:id="201" w:name="_Toc1021919091"/>
      <w:r>
        <w:rPr>
          <w:rFonts w:cs="宋体"/>
          <w:lang w:val="zh-CN"/>
        </w:rPr>
        <w:t>a）</w:t>
      </w:r>
      <w:r>
        <w:rPr>
          <w:rFonts w:cs="宋体"/>
          <w:lang w:val="zh-CN"/>
        </w:rPr>
        <w:tab/>
      </w:r>
      <w:r>
        <w:rPr>
          <w:rFonts w:cs="宋体"/>
          <w:lang w:val="zh-CN"/>
        </w:rPr>
        <w:t>视频线接口信号SPD标称迫流不小于5kA(8/20µs)</w:t>
      </w:r>
      <w:bookmarkEnd w:id="200"/>
      <w:bookmarkEnd w:id="201"/>
      <w:r>
        <w:rPr>
          <w:rFonts w:hint="eastAsia" w:cs="宋体"/>
          <w:lang w:val="zh-CN"/>
        </w:rPr>
        <w:t>；</w:t>
      </w:r>
    </w:p>
    <w:p w14:paraId="48261837">
      <w:pPr>
        <w:spacing w:line="360" w:lineRule="auto"/>
        <w:ind w:firstLine="420"/>
        <w:rPr>
          <w:rFonts w:cs="宋体"/>
          <w:lang w:val="zh-CN"/>
        </w:rPr>
      </w:pPr>
      <w:bookmarkStart w:id="202" w:name="_Toc1967437378"/>
      <w:bookmarkStart w:id="203" w:name="_Toc1580226359"/>
      <w:r>
        <w:rPr>
          <w:rFonts w:cs="宋体"/>
          <w:lang w:val="zh-CN"/>
        </w:rPr>
        <w:t>b)</w:t>
      </w:r>
      <w:r>
        <w:rPr>
          <w:rFonts w:cs="宋体"/>
          <w:lang w:val="zh-CN"/>
        </w:rPr>
        <w:tab/>
      </w:r>
      <w:r>
        <w:rPr>
          <w:rFonts w:cs="宋体"/>
          <w:lang w:val="zh-CN"/>
        </w:rPr>
        <w:t>RS485接口信号SPD标称通流不小于5kA(8/20µs)</w:t>
      </w:r>
      <w:bookmarkEnd w:id="202"/>
      <w:bookmarkEnd w:id="203"/>
      <w:r>
        <w:rPr>
          <w:rFonts w:hint="eastAsia" w:cs="宋体"/>
          <w:lang w:val="zh-CN"/>
        </w:rPr>
        <w:t>；</w:t>
      </w:r>
    </w:p>
    <w:p w14:paraId="787BD5A9">
      <w:pPr>
        <w:spacing w:line="360" w:lineRule="auto"/>
        <w:ind w:firstLine="420"/>
        <w:rPr>
          <w:rFonts w:cs="宋体"/>
          <w:lang w:val="zh-CN"/>
        </w:rPr>
      </w:pPr>
      <w:bookmarkStart w:id="204" w:name="_Toc934153264"/>
      <w:bookmarkStart w:id="205" w:name="_Toc1914299187"/>
      <w:r>
        <w:rPr>
          <w:rFonts w:cs="宋体"/>
          <w:lang w:val="zh-CN"/>
        </w:rPr>
        <w:t>c)</w:t>
      </w:r>
      <w:r>
        <w:rPr>
          <w:rFonts w:cs="宋体"/>
          <w:lang w:val="zh-CN"/>
        </w:rPr>
        <w:tab/>
      </w:r>
      <w:r>
        <w:rPr>
          <w:rFonts w:cs="宋体"/>
          <w:lang w:val="zh-CN"/>
        </w:rPr>
        <w:t>RJ45网络接口信号SPD标称边流不小于3kA( 8/20µs)</w:t>
      </w:r>
      <w:bookmarkEnd w:id="204"/>
      <w:bookmarkEnd w:id="205"/>
      <w:r>
        <w:rPr>
          <w:rFonts w:hint="eastAsia" w:cs="宋体"/>
          <w:lang w:val="zh-CN"/>
        </w:rPr>
        <w:t>；</w:t>
      </w:r>
    </w:p>
    <w:p w14:paraId="41C0B2E0">
      <w:pPr>
        <w:spacing w:line="360" w:lineRule="auto"/>
        <w:ind w:firstLine="420"/>
        <w:rPr>
          <w:rFonts w:cs="宋体"/>
          <w:lang w:val="zh-CN"/>
        </w:rPr>
      </w:pPr>
      <w:bookmarkStart w:id="206" w:name="_Toc60964831"/>
      <w:bookmarkStart w:id="207" w:name="_Toc26436555"/>
      <w:r>
        <w:rPr>
          <w:rFonts w:cs="宋体"/>
          <w:lang w:val="zh-CN"/>
        </w:rPr>
        <w:t>(4)</w:t>
      </w:r>
      <w:r>
        <w:rPr>
          <w:rFonts w:cs="宋体"/>
        </w:rPr>
        <w:t xml:space="preserve"> </w:t>
      </w:r>
      <w:r>
        <w:rPr>
          <w:rFonts w:cs="宋体"/>
          <w:lang w:val="zh-CN"/>
        </w:rPr>
        <w:t>站端系统与外部接口处应按照需要装设隔离变压器或光电隔离器件，防止外部干扰信号侵入；</w:t>
      </w:r>
      <w:bookmarkEnd w:id="206"/>
      <w:bookmarkEnd w:id="207"/>
    </w:p>
    <w:p w14:paraId="189B063B">
      <w:pPr>
        <w:spacing w:line="360" w:lineRule="auto"/>
        <w:ind w:firstLine="420"/>
        <w:rPr>
          <w:rFonts w:cs="宋体"/>
          <w:lang w:val="zh-CN"/>
        </w:rPr>
      </w:pPr>
      <w:bookmarkStart w:id="208" w:name="_Toc286214998"/>
      <w:bookmarkStart w:id="209" w:name="_Toc1937548603"/>
      <w:r>
        <w:rPr>
          <w:rFonts w:cs="宋体"/>
          <w:lang w:val="zh-CN"/>
        </w:rPr>
        <w:t>(5)</w:t>
      </w:r>
      <w:r>
        <w:rPr>
          <w:rFonts w:cs="宋体"/>
        </w:rPr>
        <w:t xml:space="preserve"> </w:t>
      </w:r>
      <w:r>
        <w:rPr>
          <w:rFonts w:cs="宋体"/>
          <w:lang w:val="zh-CN"/>
        </w:rPr>
        <w:t>采用具有屏蔽层的各种阻燃线缆，机柜内所有接地都应统一接在柜内的接地制排上，接地铜排通过不小于50平方毫米的多股软铜线与站内接地网可靠相连；</w:t>
      </w:r>
      <w:bookmarkEnd w:id="208"/>
      <w:bookmarkEnd w:id="209"/>
    </w:p>
    <w:p w14:paraId="0E4ACA85">
      <w:pPr>
        <w:spacing w:line="360" w:lineRule="auto"/>
        <w:ind w:firstLine="420"/>
        <w:rPr>
          <w:rFonts w:cs="宋体"/>
          <w:lang w:val="zh-CN"/>
        </w:rPr>
      </w:pPr>
      <w:bookmarkStart w:id="210" w:name="_Toc2084831160"/>
      <w:bookmarkStart w:id="211" w:name="_Toc52102106"/>
      <w:r>
        <w:rPr>
          <w:rFonts w:cs="宋体"/>
          <w:lang w:val="zh-CN"/>
        </w:rPr>
        <w:t>(6)</w:t>
      </w:r>
      <w:r>
        <w:rPr>
          <w:rFonts w:cs="宋体"/>
        </w:rPr>
        <w:t xml:space="preserve"> </w:t>
      </w:r>
      <w:r>
        <w:rPr>
          <w:rFonts w:cs="宋体"/>
          <w:lang w:val="zh-CN"/>
        </w:rPr>
        <w:t>摄像机外壳、场地设备箱及摄像机立杆等应进行良好的接地；</w:t>
      </w:r>
      <w:bookmarkEnd w:id="210"/>
      <w:bookmarkEnd w:id="211"/>
    </w:p>
    <w:p w14:paraId="664815EC">
      <w:pPr>
        <w:spacing w:line="360" w:lineRule="auto"/>
        <w:ind w:firstLine="420"/>
        <w:rPr>
          <w:rFonts w:cs="宋体"/>
          <w:lang w:val="zh-CN"/>
        </w:rPr>
      </w:pPr>
      <w:bookmarkStart w:id="212" w:name="_Toc1654251213"/>
      <w:bookmarkStart w:id="213" w:name="_Toc1414121668"/>
      <w:r>
        <w:rPr>
          <w:rFonts w:cs="宋体"/>
          <w:lang w:val="zh-CN"/>
        </w:rPr>
        <w:t>(7)</w:t>
      </w:r>
      <w:r>
        <w:rPr>
          <w:rFonts w:cs="宋体"/>
        </w:rPr>
        <w:t xml:space="preserve"> </w:t>
      </w:r>
      <w:r>
        <w:rPr>
          <w:rFonts w:cs="宋体"/>
          <w:lang w:val="zh-CN"/>
        </w:rPr>
        <w:t>摄像机应处于避雷针（避需线）的有效保护范围之内，当摄像机独立架设时，应距避雷针4米之外</w:t>
      </w:r>
      <w:r>
        <w:rPr>
          <w:rFonts w:cs="宋体"/>
        </w:rPr>
        <w:t>；</w:t>
      </w:r>
      <w:bookmarkEnd w:id="212"/>
      <w:bookmarkEnd w:id="213"/>
    </w:p>
    <w:p w14:paraId="767DF51E">
      <w:pPr>
        <w:spacing w:line="360" w:lineRule="auto"/>
        <w:ind w:firstLine="420"/>
        <w:rPr>
          <w:rFonts w:cs="宋体"/>
          <w:lang w:val="zh-CN"/>
        </w:rPr>
      </w:pPr>
      <w:bookmarkStart w:id="214" w:name="_Toc1676842829"/>
      <w:bookmarkStart w:id="215" w:name="_Toc941352727"/>
      <w:r>
        <w:rPr>
          <w:rFonts w:cs="宋体"/>
          <w:lang w:val="zh-CN"/>
        </w:rPr>
        <w:t>(8)</w:t>
      </w:r>
      <w:r>
        <w:rPr>
          <w:rFonts w:cs="宋体"/>
        </w:rPr>
        <w:t xml:space="preserve"> </w:t>
      </w:r>
      <w:r>
        <w:rPr>
          <w:rFonts w:cs="宋体"/>
          <w:lang w:val="zh-CN"/>
        </w:rPr>
        <w:t>设备应有工作接地和外壳接地，并具有明显标识</w:t>
      </w:r>
      <w:r>
        <w:rPr>
          <w:rFonts w:cs="宋体"/>
        </w:rPr>
        <w:t>；</w:t>
      </w:r>
      <w:bookmarkEnd w:id="214"/>
      <w:bookmarkEnd w:id="215"/>
    </w:p>
    <w:p w14:paraId="59317FCD">
      <w:pPr>
        <w:spacing w:line="360" w:lineRule="auto"/>
        <w:ind w:firstLine="420"/>
        <w:rPr>
          <w:rFonts w:cs="宋体"/>
          <w:lang w:val="zh-CN"/>
        </w:rPr>
      </w:pPr>
      <w:bookmarkStart w:id="216" w:name="_Toc803255240"/>
      <w:bookmarkStart w:id="217" w:name="_Toc1269527422"/>
      <w:r>
        <w:rPr>
          <w:rFonts w:cs="宋体"/>
          <w:lang w:val="zh-CN"/>
        </w:rPr>
        <w:t>(9)</w:t>
      </w:r>
      <w:r>
        <w:rPr>
          <w:rFonts w:cs="宋体"/>
        </w:rPr>
        <w:t xml:space="preserve"> </w:t>
      </w:r>
      <w:r>
        <w:rPr>
          <w:rFonts w:cs="宋体"/>
          <w:lang w:val="zh-CN"/>
        </w:rPr>
        <w:t>线缆敷设应尽量利用站内电缆沟</w:t>
      </w:r>
      <w:r>
        <w:rPr>
          <w:rFonts w:cs="宋体"/>
        </w:rPr>
        <w:t>、</w:t>
      </w:r>
      <w:r>
        <w:rPr>
          <w:rFonts w:cs="宋体"/>
          <w:lang w:val="zh-CN"/>
        </w:rPr>
        <w:t>架，所有室外及GIS室内的线缆都应穿热</w:t>
      </w:r>
      <w:r>
        <w:rPr>
          <w:rFonts w:hint="eastAsia" w:cs="宋体"/>
        </w:rPr>
        <w:t>镀锌</w:t>
      </w:r>
      <w:r>
        <w:rPr>
          <w:rFonts w:cs="宋体"/>
          <w:lang w:val="zh-CN"/>
        </w:rPr>
        <w:t>管，其埋管的埋深不小于30厘米：在电缆沟内敷设时，不得与一次电缆同层敷设。</w:t>
      </w:r>
      <w:bookmarkEnd w:id="216"/>
      <w:bookmarkEnd w:id="217"/>
    </w:p>
    <w:p w14:paraId="5B00B7B5">
      <w:pPr>
        <w:spacing w:line="360" w:lineRule="auto"/>
        <w:rPr>
          <w:rFonts w:cs="宋体"/>
        </w:rPr>
      </w:pPr>
      <w:bookmarkStart w:id="218" w:name="_Toc1697348609"/>
      <w:bookmarkStart w:id="219" w:name="_Toc1228613638"/>
      <w:r>
        <w:rPr>
          <w:rFonts w:hint="eastAsia" w:cs="宋体"/>
        </w:rPr>
        <w:t>10.4.6.4 综合布线施工要求</w:t>
      </w:r>
      <w:bookmarkEnd w:id="218"/>
      <w:bookmarkEnd w:id="219"/>
    </w:p>
    <w:p w14:paraId="45948B99">
      <w:pPr>
        <w:spacing w:line="360" w:lineRule="auto"/>
        <w:ind w:firstLine="420"/>
        <w:rPr>
          <w:rFonts w:cs="宋体"/>
          <w:lang w:val="zh-CN"/>
        </w:rPr>
      </w:pPr>
      <w:bookmarkStart w:id="220" w:name="_Toc165304715"/>
      <w:bookmarkStart w:id="221" w:name="_Toc1254147961"/>
      <w:r>
        <w:rPr>
          <w:rFonts w:cs="宋体"/>
          <w:lang w:val="zh-CN"/>
        </w:rPr>
        <w:t>(1)</w:t>
      </w:r>
      <w:r>
        <w:rPr>
          <w:rFonts w:cs="宋体"/>
        </w:rPr>
        <w:t xml:space="preserve"> </w:t>
      </w:r>
      <w:r>
        <w:rPr>
          <w:rFonts w:cs="宋体"/>
          <w:lang w:val="zh-CN"/>
        </w:rPr>
        <w:t>不同系统，不同电压等级，不同电流类别的线缆，不应穿在同一管内或同一线槽内</w:t>
      </w:r>
      <w:r>
        <w:rPr>
          <w:rFonts w:cs="宋体"/>
        </w:rPr>
        <w:t>；</w:t>
      </w:r>
      <w:bookmarkEnd w:id="220"/>
      <w:bookmarkEnd w:id="221"/>
    </w:p>
    <w:p w14:paraId="6EBC352F">
      <w:pPr>
        <w:spacing w:line="360" w:lineRule="auto"/>
        <w:ind w:firstLine="420"/>
        <w:rPr>
          <w:rFonts w:cs="宋体"/>
          <w:lang w:val="zh-CN"/>
        </w:rPr>
      </w:pPr>
      <w:bookmarkStart w:id="222" w:name="_Toc912785222"/>
      <w:bookmarkStart w:id="223" w:name="_Toc1579989434"/>
      <w:r>
        <w:rPr>
          <w:rFonts w:cs="宋体"/>
          <w:lang w:val="zh-CN"/>
        </w:rPr>
        <w:t>(2)</w:t>
      </w:r>
      <w:r>
        <w:rPr>
          <w:rFonts w:cs="宋体"/>
        </w:rPr>
        <w:t xml:space="preserve"> </w:t>
      </w:r>
      <w:r>
        <w:rPr>
          <w:rFonts w:cs="宋体"/>
          <w:lang w:val="zh-CN"/>
        </w:rPr>
        <w:t>不得在建筑物屋顶上敷设电缆，必须敷设时，应穿金属管进行屏蔽并接地</w:t>
      </w:r>
      <w:r>
        <w:rPr>
          <w:rFonts w:cs="宋体"/>
        </w:rPr>
        <w:t>；</w:t>
      </w:r>
      <w:bookmarkEnd w:id="222"/>
      <w:bookmarkEnd w:id="223"/>
    </w:p>
    <w:p w14:paraId="45514CA7">
      <w:pPr>
        <w:spacing w:line="360" w:lineRule="auto"/>
        <w:ind w:firstLine="420"/>
        <w:rPr>
          <w:rFonts w:cs="宋体"/>
          <w:lang w:val="zh-CN"/>
        </w:rPr>
      </w:pPr>
      <w:bookmarkStart w:id="224" w:name="_Toc1247122083"/>
      <w:bookmarkStart w:id="225" w:name="_Toc1705535633"/>
      <w:r>
        <w:rPr>
          <w:rFonts w:cs="宋体"/>
          <w:lang w:val="zh-CN"/>
        </w:rPr>
        <w:t>(3)</w:t>
      </w:r>
      <w:r>
        <w:rPr>
          <w:rFonts w:cs="宋体"/>
        </w:rPr>
        <w:t xml:space="preserve"> </w:t>
      </w:r>
      <w:r>
        <w:rPr>
          <w:rFonts w:cs="宋体"/>
          <w:lang w:val="zh-CN"/>
        </w:rPr>
        <w:t>在地板下、天花板内</w:t>
      </w:r>
      <w:r>
        <w:rPr>
          <w:rFonts w:hint="eastAsia" w:cs="宋体"/>
          <w:lang w:eastAsia="zh-Hans"/>
        </w:rPr>
        <w:t>敷设</w:t>
      </w:r>
      <w:r>
        <w:rPr>
          <w:rFonts w:cs="宋体"/>
          <w:lang w:val="zh-CN"/>
        </w:rPr>
        <w:t>线缆时，必须将线缆穿入管内</w:t>
      </w:r>
      <w:r>
        <w:rPr>
          <w:rFonts w:cs="宋体"/>
        </w:rPr>
        <w:t>；</w:t>
      </w:r>
      <w:bookmarkEnd w:id="224"/>
      <w:bookmarkEnd w:id="225"/>
    </w:p>
    <w:p w14:paraId="5AF670D1">
      <w:pPr>
        <w:spacing w:line="360" w:lineRule="auto"/>
        <w:ind w:firstLine="420"/>
        <w:rPr>
          <w:rFonts w:cs="宋体"/>
          <w:lang w:val="zh-CN"/>
        </w:rPr>
      </w:pPr>
      <w:bookmarkStart w:id="226" w:name="_Toc940454261"/>
      <w:bookmarkStart w:id="227" w:name="_Toc325663675"/>
      <w:r>
        <w:rPr>
          <w:rFonts w:cs="宋体"/>
          <w:lang w:val="zh-CN"/>
        </w:rPr>
        <w:t>(4)</w:t>
      </w:r>
      <w:r>
        <w:rPr>
          <w:rFonts w:cs="宋体"/>
        </w:rPr>
        <w:t xml:space="preserve"> </w:t>
      </w:r>
      <w:r>
        <w:rPr>
          <w:rFonts w:cs="宋体"/>
          <w:lang w:val="zh-CN"/>
        </w:rPr>
        <w:t>室外、内电线沟</w:t>
      </w:r>
      <w:r>
        <w:rPr>
          <w:rFonts w:hint="eastAsia" w:cs="宋体"/>
          <w:lang w:eastAsia="zh-Hans"/>
        </w:rPr>
        <w:t>敷设</w:t>
      </w:r>
      <w:r>
        <w:rPr>
          <w:rFonts w:cs="宋体"/>
          <w:lang w:val="zh-CN"/>
        </w:rPr>
        <w:t>的非铠装电缆必须穿管，线管的粗细应根据线缆数量决定，当有不规则弯曲电缆沟时，应灵活处理</w:t>
      </w:r>
      <w:r>
        <w:rPr>
          <w:rFonts w:cs="宋体"/>
        </w:rPr>
        <w:t>；</w:t>
      </w:r>
      <w:bookmarkEnd w:id="226"/>
      <w:bookmarkEnd w:id="227"/>
    </w:p>
    <w:p w14:paraId="3B52ED13">
      <w:pPr>
        <w:spacing w:line="360" w:lineRule="auto"/>
        <w:ind w:firstLine="420"/>
        <w:rPr>
          <w:rFonts w:cs="宋体"/>
          <w:lang w:val="zh-CN"/>
        </w:rPr>
      </w:pPr>
      <w:bookmarkStart w:id="228" w:name="_Toc735122707"/>
      <w:bookmarkStart w:id="229" w:name="_Toc1641053169"/>
      <w:r>
        <w:rPr>
          <w:rFonts w:cs="宋体"/>
          <w:lang w:val="zh-CN"/>
        </w:rPr>
        <w:t>(5)</w:t>
      </w:r>
      <w:r>
        <w:rPr>
          <w:rFonts w:cs="宋体"/>
        </w:rPr>
        <w:t xml:space="preserve"> </w:t>
      </w:r>
      <w:r>
        <w:rPr>
          <w:rFonts w:cs="宋体"/>
          <w:lang w:val="zh-CN"/>
        </w:rPr>
        <w:t>墙壁开槽敷设时，应先确定开槽路线，原则如下：①路线最短原则：②不破坏原有强电原则：③不破坏防水原则。再确定开槽宽度：根据线缆的多少确定PVC管的大小，进而确定开槽的宽度。然后确定开槽深度：若选用16mm的PVC管，则开槽深度为20mm；若选用20mm</w:t>
      </w:r>
      <w:r>
        <w:rPr>
          <w:rFonts w:hint="eastAsia" w:cs="宋体"/>
          <w:lang w:val="zh-CN"/>
        </w:rPr>
        <w:t>的</w:t>
      </w:r>
      <w:r>
        <w:rPr>
          <w:rFonts w:cs="宋体"/>
          <w:lang w:val="zh-CN"/>
        </w:rPr>
        <w:t>PVC管，则开槽深度为25mm其它类推</w:t>
      </w:r>
      <w:r>
        <w:rPr>
          <w:rFonts w:cs="宋体"/>
        </w:rPr>
        <w:t>；</w:t>
      </w:r>
      <w:bookmarkEnd w:id="228"/>
      <w:bookmarkEnd w:id="229"/>
    </w:p>
    <w:p w14:paraId="775DC1FF">
      <w:pPr>
        <w:spacing w:line="360" w:lineRule="auto"/>
        <w:ind w:firstLine="420"/>
        <w:rPr>
          <w:rFonts w:cs="宋体"/>
          <w:lang w:val="zh-CN"/>
        </w:rPr>
      </w:pPr>
      <w:bookmarkStart w:id="230" w:name="_Toc733915358"/>
      <w:bookmarkStart w:id="231" w:name="_Toc1048132962"/>
      <w:r>
        <w:rPr>
          <w:rFonts w:cs="宋体"/>
          <w:lang w:val="zh-CN"/>
        </w:rPr>
        <w:t>(6)</w:t>
      </w:r>
      <w:r>
        <w:rPr>
          <w:rFonts w:cs="宋体"/>
        </w:rPr>
        <w:t xml:space="preserve"> </w:t>
      </w:r>
      <w:r>
        <w:rPr>
          <w:rFonts w:cs="宋体"/>
          <w:lang w:val="zh-CN"/>
        </w:rPr>
        <w:t>室外地下埋管深度不低于30cm，路面下埋管深度不低于60cm，非电缆沟的地下埋管应增加路面标识</w:t>
      </w:r>
      <w:r>
        <w:rPr>
          <w:rFonts w:cs="宋体"/>
        </w:rPr>
        <w:t>；</w:t>
      </w:r>
      <w:bookmarkEnd w:id="230"/>
      <w:bookmarkEnd w:id="231"/>
    </w:p>
    <w:p w14:paraId="62E85A81">
      <w:pPr>
        <w:spacing w:line="360" w:lineRule="auto"/>
        <w:ind w:firstLine="420"/>
        <w:rPr>
          <w:rFonts w:cs="宋体"/>
          <w:lang w:val="zh-CN"/>
        </w:rPr>
      </w:pPr>
      <w:bookmarkStart w:id="232" w:name="_Toc162335993"/>
      <w:bookmarkStart w:id="233" w:name="_Toc1916837185"/>
      <w:r>
        <w:rPr>
          <w:rFonts w:cs="宋体"/>
          <w:lang w:val="zh-CN"/>
        </w:rPr>
        <w:t>(7)</w:t>
      </w:r>
      <w:r>
        <w:rPr>
          <w:rFonts w:cs="宋体"/>
        </w:rPr>
        <w:t xml:space="preserve"> </w:t>
      </w:r>
      <w:r>
        <w:rPr>
          <w:rFonts w:cs="宋体"/>
          <w:lang w:val="zh-CN"/>
        </w:rPr>
        <w:t>电缆引入房屋内应在静电地板下平行布放绑扎，不得出现交叉，强弱电电缆分开走，间距不小于500mm，开孔处必须用防火泥堵好，且必须整齐方正</w:t>
      </w:r>
      <w:r>
        <w:rPr>
          <w:rFonts w:cs="宋体"/>
        </w:rPr>
        <w:t>；</w:t>
      </w:r>
      <w:bookmarkEnd w:id="232"/>
      <w:bookmarkEnd w:id="233"/>
    </w:p>
    <w:p w14:paraId="06E50545">
      <w:pPr>
        <w:spacing w:line="360" w:lineRule="auto"/>
        <w:ind w:firstLine="420"/>
        <w:rPr>
          <w:rFonts w:cs="宋体"/>
          <w:lang w:val="zh-CN"/>
        </w:rPr>
      </w:pPr>
      <w:bookmarkStart w:id="234" w:name="_Toc1880379648"/>
      <w:bookmarkStart w:id="235" w:name="_Toc1076802661"/>
      <w:r>
        <w:rPr>
          <w:rFonts w:cs="宋体"/>
          <w:lang w:val="zh-CN"/>
        </w:rPr>
        <w:t>(8)</w:t>
      </w:r>
      <w:r>
        <w:rPr>
          <w:rFonts w:cs="宋体"/>
        </w:rPr>
        <w:t xml:space="preserve"> </w:t>
      </w:r>
      <w:r>
        <w:rPr>
          <w:rFonts w:cs="宋体"/>
          <w:lang w:val="zh-CN"/>
        </w:rPr>
        <w:t>明装管线走向及安装位置应与室内装饰布局协调</w:t>
      </w:r>
      <w:r>
        <w:rPr>
          <w:rFonts w:cs="宋体"/>
        </w:rPr>
        <w:t>；</w:t>
      </w:r>
      <w:bookmarkEnd w:id="234"/>
      <w:bookmarkEnd w:id="235"/>
    </w:p>
    <w:p w14:paraId="1B07EBF4">
      <w:pPr>
        <w:spacing w:line="360" w:lineRule="auto"/>
        <w:ind w:firstLine="420"/>
        <w:rPr>
          <w:rFonts w:cs="宋体"/>
          <w:lang w:val="zh-CN"/>
        </w:rPr>
      </w:pPr>
      <w:bookmarkStart w:id="236" w:name="_Toc977630158"/>
      <w:bookmarkStart w:id="237" w:name="_Toc1171394684"/>
      <w:r>
        <w:rPr>
          <w:rFonts w:cs="宋体"/>
          <w:lang w:val="zh-CN"/>
        </w:rPr>
        <w:t>(9)</w:t>
      </w:r>
      <w:r>
        <w:rPr>
          <w:rFonts w:cs="宋体"/>
        </w:rPr>
        <w:t xml:space="preserve"> </w:t>
      </w:r>
      <w:r>
        <w:rPr>
          <w:rFonts w:cs="宋体"/>
          <w:lang w:val="zh-CN"/>
        </w:rPr>
        <w:t>所有配电箱内线缆应挂标牌或穿套管，贴黄标签</w:t>
      </w:r>
      <w:r>
        <w:rPr>
          <w:rFonts w:cs="宋体"/>
        </w:rPr>
        <w:t>；</w:t>
      </w:r>
      <w:bookmarkEnd w:id="236"/>
      <w:bookmarkEnd w:id="237"/>
    </w:p>
    <w:p w14:paraId="19F3B8D9">
      <w:pPr>
        <w:spacing w:line="360" w:lineRule="auto"/>
        <w:ind w:firstLine="420"/>
        <w:rPr>
          <w:rFonts w:cs="宋体"/>
          <w:lang w:val="zh-CN"/>
        </w:rPr>
      </w:pPr>
      <w:bookmarkStart w:id="238" w:name="_Toc1647861939"/>
      <w:bookmarkStart w:id="239" w:name="_Toc632682309"/>
      <w:r>
        <w:rPr>
          <w:rFonts w:cs="宋体"/>
          <w:lang w:val="zh-CN"/>
        </w:rPr>
        <w:t>(10)</w:t>
      </w:r>
      <w:r>
        <w:rPr>
          <w:rFonts w:cs="宋体"/>
        </w:rPr>
        <w:t xml:space="preserve"> </w:t>
      </w:r>
      <w:r>
        <w:rPr>
          <w:rFonts w:cs="宋体"/>
          <w:lang w:val="zh-CN"/>
        </w:rPr>
        <w:t>所要线槽、管在施工时都必须做到整齐不凌乱，所有PVC线管在接口处必须打上专用胶水</w:t>
      </w:r>
      <w:r>
        <w:rPr>
          <w:rFonts w:cs="宋体"/>
        </w:rPr>
        <w:t>；</w:t>
      </w:r>
      <w:bookmarkEnd w:id="238"/>
      <w:bookmarkEnd w:id="239"/>
    </w:p>
    <w:p w14:paraId="36072211">
      <w:pPr>
        <w:spacing w:line="360" w:lineRule="auto"/>
        <w:ind w:firstLine="420"/>
        <w:rPr>
          <w:rFonts w:cs="宋体"/>
          <w:lang w:val="zh-CN"/>
        </w:rPr>
      </w:pPr>
      <w:bookmarkStart w:id="240" w:name="_Toc1300031066"/>
      <w:bookmarkStart w:id="241" w:name="_Toc1666497061"/>
      <w:r>
        <w:rPr>
          <w:rFonts w:cs="宋体"/>
          <w:lang w:val="zh-CN"/>
        </w:rPr>
        <w:t>(11)</w:t>
      </w:r>
      <w:r>
        <w:rPr>
          <w:rFonts w:cs="宋体"/>
        </w:rPr>
        <w:t xml:space="preserve"> </w:t>
      </w:r>
      <w:r>
        <w:rPr>
          <w:rFonts w:cs="宋体"/>
          <w:lang w:val="zh-CN"/>
        </w:rPr>
        <w:t>电缆沟内PVC管经过防火墙开挖后，必须及时填补完整</w:t>
      </w:r>
      <w:r>
        <w:rPr>
          <w:rFonts w:cs="宋体"/>
        </w:rPr>
        <w:t>；</w:t>
      </w:r>
      <w:bookmarkEnd w:id="240"/>
      <w:bookmarkEnd w:id="241"/>
    </w:p>
    <w:p w14:paraId="4AB2B9B8">
      <w:pPr>
        <w:spacing w:line="360" w:lineRule="auto"/>
        <w:ind w:firstLine="420"/>
        <w:rPr>
          <w:rFonts w:cs="宋体"/>
          <w:lang w:val="zh-CN"/>
        </w:rPr>
      </w:pPr>
      <w:bookmarkStart w:id="242" w:name="_Toc1334380053"/>
      <w:bookmarkStart w:id="243" w:name="_Toc1123501684"/>
      <w:r>
        <w:rPr>
          <w:rFonts w:cs="宋体"/>
          <w:lang w:val="zh-CN"/>
        </w:rPr>
        <w:t>(12)</w:t>
      </w:r>
      <w:r>
        <w:rPr>
          <w:rFonts w:cs="宋体"/>
        </w:rPr>
        <w:t xml:space="preserve"> </w:t>
      </w:r>
      <w:r>
        <w:rPr>
          <w:rFonts w:cs="宋体"/>
          <w:lang w:val="zh-CN"/>
        </w:rPr>
        <w:t>PVC管应通过直通、弯头、变通、三道接头用PVC胶水固定，</w:t>
      </w:r>
      <w:r>
        <w:rPr>
          <w:rFonts w:hint="eastAsia" w:cs="宋体"/>
          <w:lang w:val="zh-CN"/>
        </w:rPr>
        <w:t>镀锌</w:t>
      </w:r>
      <w:r>
        <w:rPr>
          <w:rFonts w:cs="宋体"/>
          <w:lang w:val="zh-CN"/>
        </w:rPr>
        <w:t>钢管接管处成开芽丝通过直通、弯头固定或用卡扣连接，并采用不锈钢U型卡扣固定（架构上应采用</w:t>
      </w:r>
      <w:r>
        <w:rPr>
          <w:rFonts w:hint="eastAsia" w:cs="宋体"/>
          <w:lang w:eastAsia="zh-Hans"/>
        </w:rPr>
        <w:t>抱箍</w:t>
      </w:r>
      <w:r>
        <w:rPr>
          <w:rFonts w:cs="宋体"/>
          <w:lang w:val="zh-CN"/>
        </w:rPr>
        <w:t>固定，电缆层、电缆沟、电缆桥架应采用扎带固定）防止松脱</w:t>
      </w:r>
      <w:r>
        <w:rPr>
          <w:rFonts w:cs="宋体"/>
        </w:rPr>
        <w:t>；</w:t>
      </w:r>
      <w:bookmarkEnd w:id="242"/>
      <w:bookmarkEnd w:id="243"/>
    </w:p>
    <w:p w14:paraId="458BB5FD">
      <w:pPr>
        <w:spacing w:line="360" w:lineRule="auto"/>
        <w:ind w:firstLine="420"/>
        <w:rPr>
          <w:rFonts w:cs="宋体"/>
          <w:lang w:val="zh-CN"/>
        </w:rPr>
      </w:pPr>
      <w:bookmarkStart w:id="244" w:name="_Toc2016578564"/>
      <w:bookmarkStart w:id="245" w:name="_Toc753825150"/>
      <w:r>
        <w:rPr>
          <w:rFonts w:cs="宋体"/>
          <w:lang w:val="zh-CN"/>
        </w:rPr>
        <w:t>(13)</w:t>
      </w:r>
      <w:r>
        <w:rPr>
          <w:rFonts w:cs="宋体"/>
        </w:rPr>
        <w:t xml:space="preserve"> </w:t>
      </w:r>
      <w:r>
        <w:rPr>
          <w:rFonts w:cs="宋体"/>
          <w:lang w:val="zh-CN"/>
        </w:rPr>
        <w:t>金属线管全部采用</w:t>
      </w:r>
      <w:r>
        <w:rPr>
          <w:rFonts w:hint="eastAsia" w:cs="宋体"/>
          <w:lang w:val="zh-CN"/>
        </w:rPr>
        <w:t>镀锌</w:t>
      </w:r>
      <w:r>
        <w:rPr>
          <w:rFonts w:cs="宋体"/>
          <w:lang w:val="zh-CN"/>
        </w:rPr>
        <w:t>线管，管与管的连接应采用丝扣连接，用圆丝板套丝扣，管子的切断可用细齿钢锯或切割机切割。管子的弯曲宜用弯管器，或用现场的弯头连接</w:t>
      </w:r>
      <w:r>
        <w:rPr>
          <w:rFonts w:cs="宋体"/>
        </w:rPr>
        <w:t>；</w:t>
      </w:r>
      <w:bookmarkEnd w:id="244"/>
      <w:bookmarkEnd w:id="245"/>
    </w:p>
    <w:p w14:paraId="1BD18534">
      <w:pPr>
        <w:spacing w:line="360" w:lineRule="auto"/>
        <w:ind w:firstLine="420"/>
        <w:rPr>
          <w:rFonts w:cs="宋体"/>
          <w:lang w:val="zh-CN"/>
        </w:rPr>
      </w:pPr>
      <w:bookmarkStart w:id="246" w:name="_Toc1049008194"/>
      <w:bookmarkStart w:id="247" w:name="_Toc1533262397"/>
      <w:r>
        <w:rPr>
          <w:rFonts w:cs="宋体"/>
          <w:lang w:val="zh-CN"/>
        </w:rPr>
        <w:t>(14)</w:t>
      </w:r>
      <w:r>
        <w:rPr>
          <w:rFonts w:cs="宋体"/>
        </w:rPr>
        <w:t xml:space="preserve"> </w:t>
      </w:r>
      <w:r>
        <w:rPr>
          <w:rFonts w:cs="宋体"/>
          <w:lang w:val="zh-CN"/>
        </w:rPr>
        <w:t>线管与接线盒的连接应用锁紧蝶母固定，当线管与设备直接连接时，应将线管</w:t>
      </w:r>
      <w:r>
        <w:rPr>
          <w:rFonts w:hint="eastAsia" w:cs="宋体"/>
          <w:lang w:eastAsia="zh-Hans"/>
        </w:rPr>
        <w:t>敷</w:t>
      </w:r>
      <w:r>
        <w:rPr>
          <w:rFonts w:cs="宋体"/>
          <w:lang w:val="zh-CN"/>
        </w:rPr>
        <w:t>设到设备的接线盒内，此时，线管端部应增设金属软管再引入设备的接线盒内，且管口应包扎紧密，对于潮湿场所，应增设防水弯头</w:t>
      </w:r>
      <w:r>
        <w:rPr>
          <w:rFonts w:cs="宋体"/>
        </w:rPr>
        <w:t>；</w:t>
      </w:r>
      <w:bookmarkEnd w:id="246"/>
      <w:bookmarkEnd w:id="247"/>
    </w:p>
    <w:p w14:paraId="4FEFCAA5">
      <w:pPr>
        <w:spacing w:line="360" w:lineRule="auto"/>
        <w:ind w:firstLine="420"/>
        <w:rPr>
          <w:rFonts w:cs="宋体"/>
          <w:lang w:val="zh-CN"/>
        </w:rPr>
      </w:pPr>
      <w:bookmarkStart w:id="248" w:name="_Toc1987458335"/>
      <w:bookmarkStart w:id="249" w:name="_Toc1884826026"/>
      <w:r>
        <w:rPr>
          <w:rFonts w:cs="宋体"/>
          <w:lang w:val="zh-CN"/>
        </w:rPr>
        <w:t>(15)</w:t>
      </w:r>
      <w:r>
        <w:rPr>
          <w:rFonts w:cs="宋体"/>
        </w:rPr>
        <w:t xml:space="preserve"> </w:t>
      </w:r>
      <w:r>
        <w:rPr>
          <w:rFonts w:cs="宋体"/>
          <w:lang w:val="zh-CN"/>
        </w:rPr>
        <w:t>线管螺纹连接应使用全丝扣管接头，连接管端部应套丝，两管拧进管接头长度不可小于接头长度的一半，使两管之间吻合，在管子的外螺纹和管接头的内螺纹之间，应加填适当的填充料，以增强密闭性和坚实性</w:t>
      </w:r>
      <w:r>
        <w:rPr>
          <w:rFonts w:cs="宋体"/>
        </w:rPr>
        <w:t>；</w:t>
      </w:r>
      <w:bookmarkEnd w:id="248"/>
      <w:bookmarkEnd w:id="249"/>
    </w:p>
    <w:p w14:paraId="3D3E02F8">
      <w:pPr>
        <w:spacing w:line="360" w:lineRule="auto"/>
        <w:ind w:firstLine="420"/>
        <w:rPr>
          <w:rFonts w:cs="宋体"/>
          <w:lang w:val="zh-CN"/>
        </w:rPr>
      </w:pPr>
      <w:bookmarkStart w:id="250" w:name="_Toc1251590907"/>
      <w:bookmarkStart w:id="251" w:name="_Toc739742085"/>
      <w:r>
        <w:rPr>
          <w:rFonts w:cs="宋体"/>
          <w:lang w:val="zh-CN"/>
        </w:rPr>
        <w:t>(16)</w:t>
      </w:r>
      <w:r>
        <w:rPr>
          <w:rFonts w:cs="宋体"/>
        </w:rPr>
        <w:t xml:space="preserve"> </w:t>
      </w:r>
      <w:r>
        <w:rPr>
          <w:rFonts w:cs="宋体"/>
          <w:lang w:val="zh-CN"/>
        </w:rPr>
        <w:t>在线管</w:t>
      </w:r>
      <w:r>
        <w:rPr>
          <w:rFonts w:hint="eastAsia" w:cs="宋体"/>
          <w:lang w:eastAsia="zh-Hans"/>
        </w:rPr>
        <w:t>敷设</w:t>
      </w:r>
      <w:r>
        <w:rPr>
          <w:rFonts w:cs="宋体"/>
          <w:lang w:val="zh-CN"/>
        </w:rPr>
        <w:t>过程中还要注意管的弯曲角度不应小于90度，弯曲半径不应小于线管外径的6倍，弯曲处不应有凹陷、裂缝和明显的弯扁。线管应排列整齐、固定牢固，管卡问距应均匀。当线管的直线段长度超过30米或弯曲角度的总和超过270度时，应在其中间加装接线盒。</w:t>
      </w:r>
      <w:bookmarkEnd w:id="250"/>
      <w:bookmarkEnd w:id="251"/>
    </w:p>
    <w:p w14:paraId="0F04B492">
      <w:pPr>
        <w:spacing w:line="360" w:lineRule="auto"/>
        <w:rPr>
          <w:rFonts w:cs="宋体"/>
        </w:rPr>
      </w:pPr>
      <w:bookmarkStart w:id="252" w:name="_Toc886051584"/>
      <w:bookmarkStart w:id="253" w:name="_Toc1062390112"/>
      <w:r>
        <w:rPr>
          <w:rFonts w:hint="eastAsia" w:cs="宋体"/>
        </w:rPr>
        <w:t>10.4.6.5 线缆接头制作与标识要求</w:t>
      </w:r>
      <w:bookmarkEnd w:id="252"/>
      <w:bookmarkEnd w:id="253"/>
    </w:p>
    <w:p w14:paraId="428FFBA9">
      <w:pPr>
        <w:spacing w:line="360" w:lineRule="auto"/>
        <w:ind w:firstLine="420"/>
        <w:rPr>
          <w:rFonts w:cs="宋体"/>
          <w:lang w:val="zh-CN"/>
        </w:rPr>
      </w:pPr>
      <w:bookmarkStart w:id="254" w:name="_Toc1411571226"/>
      <w:bookmarkStart w:id="255" w:name="_Toc1217363990"/>
      <w:r>
        <w:rPr>
          <w:rFonts w:cs="宋体"/>
          <w:lang w:val="zh-CN"/>
        </w:rPr>
        <w:t>(1)</w:t>
      </w:r>
      <w:r>
        <w:rPr>
          <w:rFonts w:cs="宋体"/>
        </w:rPr>
        <w:t xml:space="preserve"> </w:t>
      </w:r>
      <w:r>
        <w:rPr>
          <w:rFonts w:cs="宋体"/>
          <w:lang w:val="zh-CN"/>
        </w:rPr>
        <w:t>线缆接头制作与标识应包含线缆接头处理、接头制作、线缆接入设备端子、线缆两端制作标识标牌等内容</w:t>
      </w:r>
      <w:r>
        <w:rPr>
          <w:rFonts w:cs="宋体"/>
        </w:rPr>
        <w:t>；</w:t>
      </w:r>
      <w:bookmarkEnd w:id="254"/>
      <w:bookmarkEnd w:id="255"/>
    </w:p>
    <w:p w14:paraId="28B66C32">
      <w:pPr>
        <w:spacing w:line="360" w:lineRule="auto"/>
        <w:ind w:firstLine="420"/>
        <w:rPr>
          <w:rFonts w:cs="宋体"/>
          <w:lang w:val="zh-CN"/>
        </w:rPr>
      </w:pPr>
      <w:bookmarkStart w:id="256" w:name="_Toc1025746973"/>
      <w:bookmarkStart w:id="257" w:name="_Toc1159874961"/>
      <w:r>
        <w:rPr>
          <w:rFonts w:cs="宋体"/>
          <w:lang w:val="zh-CN"/>
        </w:rPr>
        <w:t>(2)</w:t>
      </w:r>
      <w:r>
        <w:rPr>
          <w:rFonts w:cs="宋体"/>
        </w:rPr>
        <w:t xml:space="preserve"> </w:t>
      </w:r>
      <w:r>
        <w:rPr>
          <w:rFonts w:cs="宋体"/>
          <w:lang w:val="zh-CN"/>
        </w:rPr>
        <w:t>线缆接头制作时应根据不同线缆类型选用相应剥线钳工具对线缆接头护套进行去除处理，对部分接头采用热缩管包裹、绝缘带缠绕、绝缘及防潮处理</w:t>
      </w:r>
      <w:r>
        <w:rPr>
          <w:rFonts w:cs="宋体"/>
        </w:rPr>
        <w:t>；</w:t>
      </w:r>
      <w:bookmarkEnd w:id="256"/>
      <w:bookmarkEnd w:id="257"/>
    </w:p>
    <w:p w14:paraId="79617FEB">
      <w:pPr>
        <w:spacing w:line="360" w:lineRule="auto"/>
        <w:ind w:firstLine="420"/>
        <w:rPr>
          <w:rFonts w:cs="宋体"/>
          <w:lang w:val="zh-CN"/>
        </w:rPr>
      </w:pPr>
      <w:bookmarkStart w:id="258" w:name="_Toc1878140742"/>
      <w:bookmarkStart w:id="259" w:name="_Toc1309405708"/>
      <w:r>
        <w:rPr>
          <w:rFonts w:cs="宋体"/>
          <w:lang w:val="zh-CN"/>
        </w:rPr>
        <w:t>(3)</w:t>
      </w:r>
      <w:r>
        <w:rPr>
          <w:rFonts w:cs="宋体"/>
        </w:rPr>
        <w:t xml:space="preserve"> </w:t>
      </w:r>
      <w:r>
        <w:rPr>
          <w:rFonts w:cs="宋体"/>
          <w:lang w:val="zh-CN"/>
        </w:rPr>
        <w:t>使用的电源电缆、控制线缆制作接头时应对接头线芯采用镀锡或压铜鼻子的方式对线头进行处理</w:t>
      </w:r>
      <w:r>
        <w:rPr>
          <w:rFonts w:cs="宋体"/>
        </w:rPr>
        <w:t>；</w:t>
      </w:r>
      <w:bookmarkEnd w:id="258"/>
      <w:bookmarkEnd w:id="259"/>
    </w:p>
    <w:p w14:paraId="2C755EB2">
      <w:pPr>
        <w:spacing w:line="360" w:lineRule="auto"/>
        <w:ind w:firstLine="420"/>
        <w:rPr>
          <w:rFonts w:cs="宋体"/>
          <w:lang w:val="zh-CN"/>
        </w:rPr>
      </w:pPr>
      <w:bookmarkStart w:id="260" w:name="_Toc1916803547"/>
      <w:bookmarkStart w:id="261" w:name="_Toc49323541"/>
      <w:r>
        <w:rPr>
          <w:rFonts w:cs="宋体"/>
          <w:lang w:val="zh-CN"/>
        </w:rPr>
        <w:t>(4)</w:t>
      </w:r>
      <w:r>
        <w:rPr>
          <w:rFonts w:cs="宋体"/>
        </w:rPr>
        <w:t xml:space="preserve"> </w:t>
      </w:r>
      <w:r>
        <w:rPr>
          <w:rFonts w:cs="宋体"/>
          <w:lang w:val="zh-CN"/>
        </w:rPr>
        <w:t>双绞线制作接头时应采用带屏蔽的RJ45头</w:t>
      </w:r>
      <w:r>
        <w:rPr>
          <w:rFonts w:cs="宋体"/>
        </w:rPr>
        <w:t>，</w:t>
      </w:r>
      <w:r>
        <w:rPr>
          <w:rFonts w:cs="宋体"/>
          <w:lang w:val="zh-CN"/>
        </w:rPr>
        <w:t>并用专用压线钳进行接头制作，线序应符合国际EIA/TIA的568A与568B两种标准的规定</w:t>
      </w:r>
      <w:r>
        <w:rPr>
          <w:rFonts w:cs="宋体"/>
        </w:rPr>
        <w:t>；</w:t>
      </w:r>
      <w:bookmarkEnd w:id="260"/>
      <w:bookmarkEnd w:id="261"/>
    </w:p>
    <w:p w14:paraId="2DBEA41D">
      <w:pPr>
        <w:spacing w:line="360" w:lineRule="auto"/>
        <w:ind w:firstLine="420"/>
        <w:rPr>
          <w:rFonts w:cs="宋体"/>
          <w:lang w:val="zh-CN"/>
        </w:rPr>
      </w:pPr>
      <w:bookmarkStart w:id="262" w:name="_Toc1315025782"/>
      <w:bookmarkStart w:id="263" w:name="_Toc52065845"/>
      <w:r>
        <w:rPr>
          <w:rFonts w:cs="宋体"/>
          <w:lang w:val="zh-CN"/>
        </w:rPr>
        <w:t>(5)</w:t>
      </w:r>
      <w:r>
        <w:rPr>
          <w:rFonts w:cs="宋体"/>
        </w:rPr>
        <w:t xml:space="preserve"> </w:t>
      </w:r>
      <w:r>
        <w:rPr>
          <w:rFonts w:cs="宋体"/>
          <w:lang w:val="zh-CN"/>
        </w:rPr>
        <w:t>光缆制作接头时应由专业光缆熔接技术人员用专用光缆熔接机将光缆线芯与成品尾纤进行熔接制作，并用光纤终端盒进行盘线固定处理，由法兰盘与外部成品光纤跳纤连接光口设备，成品跳纤长度应</w:t>
      </w:r>
      <w:r>
        <w:rPr>
          <w:rFonts w:hint="eastAsia" w:cs="宋体"/>
          <w:lang w:val="zh-CN"/>
        </w:rPr>
        <w:t>≤</w:t>
      </w:r>
      <w:r>
        <w:rPr>
          <w:rFonts w:cs="宋体"/>
          <w:lang w:val="zh-CN"/>
        </w:rPr>
        <w:t>5米，跳纤传输规格应与主光缆相同</w:t>
      </w:r>
      <w:r>
        <w:rPr>
          <w:rFonts w:cs="宋体"/>
        </w:rPr>
        <w:t>；</w:t>
      </w:r>
      <w:bookmarkEnd w:id="262"/>
      <w:bookmarkEnd w:id="263"/>
    </w:p>
    <w:p w14:paraId="05AAB106">
      <w:pPr>
        <w:spacing w:line="360" w:lineRule="auto"/>
        <w:ind w:firstLine="420"/>
        <w:rPr>
          <w:rFonts w:cs="宋体"/>
          <w:lang w:val="zh-CN"/>
        </w:rPr>
      </w:pPr>
      <w:bookmarkStart w:id="264" w:name="_Toc1044812586"/>
      <w:bookmarkStart w:id="265" w:name="_Toc1884106797"/>
      <w:r>
        <w:rPr>
          <w:rFonts w:cs="宋体"/>
          <w:lang w:val="zh-CN"/>
        </w:rPr>
        <w:t>(6)</w:t>
      </w:r>
      <w:r>
        <w:rPr>
          <w:rFonts w:cs="宋体"/>
        </w:rPr>
        <w:t xml:space="preserve"> </w:t>
      </w:r>
      <w:r>
        <w:rPr>
          <w:rFonts w:cs="宋体"/>
          <w:lang w:val="zh-CN"/>
        </w:rPr>
        <w:t>线缆接头制作完成后接入对应设备端口时应固定牢固，无松动、无外露线；</w:t>
      </w:r>
      <w:r>
        <w:rPr>
          <w:rFonts w:hint="eastAsia" w:cs="宋体"/>
          <w:lang w:eastAsia="zh-Hans"/>
        </w:rPr>
        <w:t>不应</w:t>
      </w:r>
      <w:r>
        <w:rPr>
          <w:rFonts w:cs="宋体"/>
          <w:lang w:val="zh-CN"/>
        </w:rPr>
        <w:t>与相邻端口线缆发生短路现象</w:t>
      </w:r>
      <w:r>
        <w:rPr>
          <w:rFonts w:cs="宋体"/>
        </w:rPr>
        <w:t>；</w:t>
      </w:r>
      <w:bookmarkEnd w:id="264"/>
      <w:bookmarkEnd w:id="265"/>
    </w:p>
    <w:p w14:paraId="0055E769">
      <w:pPr>
        <w:spacing w:line="360" w:lineRule="auto"/>
        <w:ind w:firstLine="420"/>
        <w:rPr>
          <w:rFonts w:cs="宋体"/>
          <w:lang w:val="zh-CN"/>
        </w:rPr>
      </w:pPr>
      <w:bookmarkStart w:id="266" w:name="_Toc1536562164"/>
      <w:bookmarkStart w:id="267" w:name="_Toc191351383"/>
      <w:r>
        <w:rPr>
          <w:rFonts w:cs="宋体"/>
          <w:lang w:val="zh-CN"/>
        </w:rPr>
        <w:t>(7)</w:t>
      </w:r>
      <w:r>
        <w:rPr>
          <w:rFonts w:cs="宋体"/>
        </w:rPr>
        <w:t xml:space="preserve"> </w:t>
      </w:r>
      <w:r>
        <w:rPr>
          <w:rFonts w:cs="宋体"/>
          <w:lang w:val="zh-CN"/>
        </w:rPr>
        <w:t>线缆接头制作时对于相同设备的相同接线端口应选用相同线缆、相同颜色的线芯进行接线，宜于运行维护与设备检修</w:t>
      </w:r>
      <w:r>
        <w:rPr>
          <w:rFonts w:cs="宋体"/>
        </w:rPr>
        <w:t>；</w:t>
      </w:r>
      <w:bookmarkEnd w:id="266"/>
      <w:bookmarkEnd w:id="267"/>
    </w:p>
    <w:p w14:paraId="7A9B4B68">
      <w:pPr>
        <w:spacing w:line="360" w:lineRule="auto"/>
        <w:ind w:firstLine="420"/>
        <w:rPr>
          <w:rFonts w:cs="宋体"/>
          <w:lang w:val="zh-CN"/>
        </w:rPr>
      </w:pPr>
      <w:bookmarkStart w:id="268" w:name="_Toc1259674522"/>
      <w:bookmarkStart w:id="269" w:name="_Toc1509435173"/>
      <w:r>
        <w:rPr>
          <w:rFonts w:cs="宋体"/>
          <w:lang w:val="zh-CN"/>
        </w:rPr>
        <w:t>(8)</w:t>
      </w:r>
      <w:r>
        <w:rPr>
          <w:rFonts w:cs="宋体"/>
        </w:rPr>
        <w:t xml:space="preserve"> </w:t>
      </w:r>
      <w:r>
        <w:rPr>
          <w:rFonts w:cs="宋体"/>
          <w:lang w:val="zh-CN"/>
        </w:rPr>
        <w:t>线缆敷设完成后必须在线缆两端悬挂标识牌，标识内容应包含线缆型号规格、线缆编号及线缆起始点名称，并即时记录存档宜于运行维护与设备检修</w:t>
      </w:r>
      <w:r>
        <w:rPr>
          <w:rFonts w:cs="宋体"/>
        </w:rPr>
        <w:t>；</w:t>
      </w:r>
      <w:bookmarkEnd w:id="268"/>
      <w:bookmarkEnd w:id="269"/>
    </w:p>
    <w:p w14:paraId="32A8D1B0">
      <w:pPr>
        <w:spacing w:line="360" w:lineRule="auto"/>
        <w:ind w:firstLine="420"/>
        <w:rPr>
          <w:rFonts w:cs="宋体"/>
          <w:lang w:val="zh-CN"/>
        </w:rPr>
      </w:pPr>
      <w:bookmarkStart w:id="270" w:name="_Toc852630600"/>
      <w:bookmarkStart w:id="271" w:name="_Toc1455899128"/>
      <w:r>
        <w:rPr>
          <w:rFonts w:cs="宋体"/>
          <w:lang w:val="zh-CN"/>
        </w:rPr>
        <w:t>(9)</w:t>
      </w:r>
      <w:r>
        <w:rPr>
          <w:rFonts w:cs="宋体"/>
        </w:rPr>
        <w:t xml:space="preserve"> </w:t>
      </w:r>
      <w:r>
        <w:rPr>
          <w:rFonts w:cs="宋体"/>
          <w:lang w:val="zh-CN"/>
        </w:rPr>
        <w:t>部分线缆线芯接头时应套用号码管进行标识，标明名称、编号等相关信息，应保持与设计图纸及工程资料标识对应</w:t>
      </w:r>
      <w:r>
        <w:rPr>
          <w:rFonts w:cs="宋体"/>
        </w:rPr>
        <w:t>；</w:t>
      </w:r>
      <w:bookmarkEnd w:id="270"/>
      <w:bookmarkEnd w:id="271"/>
    </w:p>
    <w:p w14:paraId="11812D60">
      <w:pPr>
        <w:spacing w:line="360" w:lineRule="auto"/>
        <w:ind w:firstLine="420"/>
        <w:rPr>
          <w:rFonts w:cs="宋体"/>
          <w:lang w:val="zh-CN"/>
        </w:rPr>
      </w:pPr>
      <w:bookmarkStart w:id="272" w:name="_Toc867970378"/>
      <w:bookmarkStart w:id="273" w:name="_Toc4117769"/>
      <w:r>
        <w:rPr>
          <w:rFonts w:cs="宋体"/>
          <w:lang w:val="zh-CN"/>
        </w:rPr>
        <w:t>(10)</w:t>
      </w:r>
      <w:r>
        <w:rPr>
          <w:rFonts w:cs="宋体"/>
        </w:rPr>
        <w:t xml:space="preserve"> </w:t>
      </w:r>
      <w:r>
        <w:rPr>
          <w:rFonts w:cs="宋体"/>
          <w:lang w:val="zh-CN"/>
        </w:rPr>
        <w:t>部分线缆接头应采用黄底黑字标签进行标识，标明名称、编号等相关信息，应保持与设计图纸及工程资料标识对应</w:t>
      </w:r>
      <w:r>
        <w:rPr>
          <w:rFonts w:cs="宋体"/>
        </w:rPr>
        <w:t>；</w:t>
      </w:r>
      <w:bookmarkEnd w:id="272"/>
      <w:bookmarkEnd w:id="273"/>
    </w:p>
    <w:p w14:paraId="23B66696">
      <w:pPr>
        <w:spacing w:line="360" w:lineRule="auto"/>
        <w:ind w:firstLine="420"/>
        <w:rPr>
          <w:rFonts w:cs="宋体"/>
          <w:lang w:val="zh-CN"/>
        </w:rPr>
      </w:pPr>
      <w:bookmarkStart w:id="274" w:name="_Toc487866879"/>
      <w:bookmarkStart w:id="275" w:name="_Toc121728975"/>
      <w:r>
        <w:rPr>
          <w:rFonts w:cs="宋体"/>
          <w:lang w:val="zh-CN"/>
        </w:rPr>
        <w:t>(11)</w:t>
      </w:r>
      <w:r>
        <w:rPr>
          <w:rFonts w:cs="宋体"/>
        </w:rPr>
        <w:t xml:space="preserve"> </w:t>
      </w:r>
      <w:r>
        <w:rPr>
          <w:rFonts w:cs="宋体"/>
          <w:lang w:val="zh-CN"/>
        </w:rPr>
        <w:t>变电站视频及环境监控系统所有设备、</w:t>
      </w:r>
      <w:r>
        <w:rPr>
          <w:rFonts w:hint="eastAsia" w:cs="宋体"/>
          <w:lang w:eastAsia="zh-Hans"/>
        </w:rPr>
        <w:t>自用</w:t>
      </w:r>
      <w:r>
        <w:rPr>
          <w:rFonts w:cs="宋体"/>
          <w:lang w:val="zh-CN"/>
        </w:rPr>
        <w:t>电箱、辅助配件都必须采用黄底黑字标签进行标识，标明名称、编号等相关信息，应保持与设计图纸及工程资料标识对应。</w:t>
      </w:r>
      <w:bookmarkEnd w:id="274"/>
      <w:bookmarkEnd w:id="275"/>
    </w:p>
    <w:p w14:paraId="278A5080">
      <w:pPr>
        <w:spacing w:line="360" w:lineRule="auto"/>
        <w:rPr>
          <w:rFonts w:cs="宋体"/>
        </w:rPr>
      </w:pPr>
      <w:r>
        <w:rPr>
          <w:rFonts w:hint="eastAsia" w:cs="宋体"/>
        </w:rPr>
        <w:t>10.4.6.6 各类箱体具体要求</w:t>
      </w:r>
    </w:p>
    <w:p w14:paraId="003F0756">
      <w:pPr>
        <w:spacing w:line="360" w:lineRule="auto"/>
        <w:ind w:firstLine="420"/>
        <w:rPr>
          <w:rFonts w:cs="宋体"/>
          <w:lang w:val="zh-CN"/>
        </w:rPr>
      </w:pPr>
      <w:r>
        <w:rPr>
          <w:rFonts w:hint="eastAsia" w:cs="宋体"/>
          <w:lang w:val="zh-CN"/>
        </w:rPr>
        <w:t>（</w:t>
      </w:r>
      <w:r>
        <w:rPr>
          <w:rFonts w:cs="宋体"/>
          <w:lang w:val="zh-CN"/>
        </w:rPr>
        <w:t>1</w:t>
      </w:r>
      <w:r>
        <w:rPr>
          <w:rFonts w:hint="eastAsia" w:cs="宋体"/>
          <w:lang w:val="zh-CN"/>
        </w:rPr>
        <w:t>）挂墙箱体（包含配电箱、检修箱等）</w:t>
      </w:r>
    </w:p>
    <w:p w14:paraId="0D0910A3">
      <w:pPr>
        <w:spacing w:line="360" w:lineRule="auto"/>
        <w:ind w:firstLine="420"/>
        <w:rPr>
          <w:rFonts w:cs="宋体"/>
          <w:lang w:val="zh-CN"/>
        </w:rPr>
      </w:pPr>
      <w:r>
        <w:rPr>
          <w:rFonts w:cs="宋体"/>
          <w:lang w:val="zh-CN"/>
        </w:rPr>
        <w:t>a</w:t>
      </w:r>
      <w:r>
        <w:rPr>
          <w:rFonts w:hint="eastAsia" w:cs="宋体"/>
          <w:lang w:val="zh-CN"/>
        </w:rPr>
        <w:t>）材质：箱体</w:t>
      </w:r>
      <w:r>
        <w:rPr>
          <w:rFonts w:cs="宋体"/>
          <w:lang w:val="zh-CN"/>
        </w:rPr>
        <w:t>304-2B</w:t>
      </w:r>
      <w:r>
        <w:rPr>
          <w:rFonts w:hint="eastAsia" w:cs="宋体"/>
          <w:lang w:val="zh-CN"/>
        </w:rPr>
        <w:t>不锈钢</w:t>
      </w:r>
    </w:p>
    <w:p w14:paraId="2FCFFF01">
      <w:pPr>
        <w:spacing w:line="360" w:lineRule="auto"/>
        <w:ind w:firstLine="420"/>
        <w:rPr>
          <w:rFonts w:cs="宋体"/>
          <w:lang w:val="zh-CN"/>
        </w:rPr>
      </w:pPr>
      <w:r>
        <w:rPr>
          <w:rFonts w:cs="宋体"/>
          <w:lang w:val="zh-CN"/>
        </w:rPr>
        <w:t>b</w:t>
      </w:r>
      <w:r>
        <w:rPr>
          <w:rFonts w:hint="eastAsia" w:cs="宋体"/>
          <w:lang w:val="zh-CN"/>
        </w:rPr>
        <w:t>）尺寸：高度</w:t>
      </w:r>
      <w:r>
        <w:rPr>
          <w:rFonts w:cs="宋体"/>
          <w:lang w:val="zh-CN"/>
        </w:rPr>
        <w:t>600mm</w:t>
      </w:r>
      <w:r>
        <w:rPr>
          <w:rFonts w:hint="eastAsia" w:cs="宋体"/>
          <w:lang w:val="zh-CN"/>
        </w:rPr>
        <w:t>，厚度</w:t>
      </w:r>
      <w:r>
        <w:rPr>
          <w:rFonts w:cs="宋体"/>
          <w:lang w:val="zh-CN"/>
        </w:rPr>
        <w:t>150mm</w:t>
      </w:r>
      <w:r>
        <w:rPr>
          <w:rFonts w:hint="eastAsia" w:cs="宋体"/>
          <w:lang w:val="zh-CN"/>
        </w:rPr>
        <w:t>，宽度可调整</w:t>
      </w:r>
    </w:p>
    <w:p w14:paraId="59769DA6">
      <w:pPr>
        <w:spacing w:line="360" w:lineRule="auto"/>
        <w:ind w:firstLine="420"/>
        <w:rPr>
          <w:rFonts w:cs="宋体"/>
          <w:lang w:val="zh-CN"/>
        </w:rPr>
      </w:pPr>
      <w:r>
        <w:rPr>
          <w:rFonts w:cs="宋体"/>
          <w:lang w:val="zh-CN"/>
        </w:rPr>
        <w:t>c</w:t>
      </w:r>
      <w:r>
        <w:rPr>
          <w:rFonts w:hint="eastAsia" w:cs="宋体"/>
          <w:lang w:val="zh-CN"/>
        </w:rPr>
        <w:t>）</w:t>
      </w:r>
      <w:r>
        <w:rPr>
          <w:rFonts w:cs="宋体"/>
          <w:lang w:val="zh-CN"/>
        </w:rPr>
        <w:t>Logo</w:t>
      </w:r>
      <w:r>
        <w:rPr>
          <w:rFonts w:hint="eastAsia" w:cs="宋体"/>
          <w:lang w:val="zh-CN"/>
        </w:rPr>
        <w:t>要求：详见</w:t>
      </w:r>
      <w:r>
        <w:rPr>
          <w:rFonts w:hint="eastAsia" w:cs="宋体"/>
        </w:rPr>
        <w:t>图10.1</w:t>
      </w:r>
      <w:r>
        <w:rPr>
          <w:rFonts w:hint="eastAsia" w:cs="宋体"/>
          <w:lang w:val="zh-CN"/>
        </w:rPr>
        <w:t>。</w:t>
      </w:r>
    </w:p>
    <w:p w14:paraId="368AC129">
      <w:pPr>
        <w:jc w:val="center"/>
        <w:rPr>
          <w:rFonts w:eastAsia="黑体"/>
          <w:lang w:val="zh-CN"/>
        </w:rPr>
      </w:pPr>
      <w:r>
        <w:rPr>
          <w:rFonts w:eastAsia="黑体"/>
        </w:rPr>
        <w:drawing>
          <wp:inline distT="0" distB="0" distL="114300" distR="114300">
            <wp:extent cx="3040380" cy="4371340"/>
            <wp:effectExtent l="1270" t="0" r="8890" b="8890"/>
            <wp:docPr id="2" name="图片 2" descr="0fc48047d55167807e6be0d4cb54d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0fc48047d55167807e6be0d4cb54d927"/>
                    <pic:cNvPicPr>
                      <a:picLocks noChangeAspect="1"/>
                    </pic:cNvPicPr>
                  </pic:nvPicPr>
                  <pic:blipFill>
                    <a:blip r:embed="rId8"/>
                    <a:srcRect l="14941" t="11106" r="5372" b="7920"/>
                    <a:stretch>
                      <a:fillRect/>
                    </a:stretch>
                  </pic:blipFill>
                  <pic:spPr>
                    <a:xfrm rot="16200000">
                      <a:off x="0" y="0"/>
                      <a:ext cx="3041120" cy="4372598"/>
                    </a:xfrm>
                    <a:prstGeom prst="rect">
                      <a:avLst/>
                    </a:prstGeom>
                    <a:ln>
                      <a:noFill/>
                    </a:ln>
                  </pic:spPr>
                </pic:pic>
              </a:graphicData>
            </a:graphic>
          </wp:inline>
        </w:drawing>
      </w:r>
    </w:p>
    <w:p w14:paraId="04210795">
      <w:pPr>
        <w:jc w:val="center"/>
      </w:pPr>
      <w:r>
        <w:rPr>
          <w:rFonts w:hint="eastAsia"/>
        </w:rPr>
        <w:t>图10.1 户内配电箱外形图</w:t>
      </w:r>
    </w:p>
    <w:p w14:paraId="022C8FC3">
      <w:pPr>
        <w:spacing w:line="360" w:lineRule="auto"/>
        <w:ind w:firstLine="420"/>
        <w:rPr>
          <w:rFonts w:cs="宋体"/>
          <w:lang w:val="zh-CN"/>
        </w:rPr>
      </w:pPr>
      <w:r>
        <w:rPr>
          <w:rFonts w:hint="eastAsia" w:cs="宋体"/>
          <w:lang w:val="zh-CN"/>
        </w:rPr>
        <w:t>（</w:t>
      </w:r>
      <w:r>
        <w:rPr>
          <w:rFonts w:cs="宋体"/>
          <w:lang w:val="zh-CN"/>
        </w:rPr>
        <w:t>2</w:t>
      </w:r>
      <w:r>
        <w:rPr>
          <w:rFonts w:hint="eastAsia" w:cs="宋体"/>
          <w:lang w:val="zh-CN"/>
        </w:rPr>
        <w:t>）落地防水型箱体（包含配电箱、检修箱）</w:t>
      </w:r>
    </w:p>
    <w:p w14:paraId="0293DAE6">
      <w:pPr>
        <w:spacing w:line="360" w:lineRule="auto"/>
        <w:ind w:firstLine="420"/>
        <w:rPr>
          <w:rFonts w:cs="宋体"/>
          <w:lang w:val="zh-CN"/>
        </w:rPr>
      </w:pPr>
      <w:r>
        <w:rPr>
          <w:rFonts w:cs="宋体"/>
          <w:lang w:val="zh-CN"/>
        </w:rPr>
        <w:t>a</w:t>
      </w:r>
      <w:r>
        <w:rPr>
          <w:rFonts w:hint="eastAsia" w:cs="宋体"/>
          <w:lang w:val="zh-CN"/>
        </w:rPr>
        <w:t>）材质：箱体</w:t>
      </w:r>
      <w:r>
        <w:rPr>
          <w:rFonts w:cs="宋体"/>
          <w:lang w:val="zh-CN"/>
        </w:rPr>
        <w:t>304-2B</w:t>
      </w:r>
      <w:r>
        <w:rPr>
          <w:rFonts w:hint="eastAsia" w:cs="宋体"/>
          <w:lang w:val="zh-CN"/>
        </w:rPr>
        <w:t>不锈钢</w:t>
      </w:r>
    </w:p>
    <w:p w14:paraId="7D415FBA">
      <w:pPr>
        <w:spacing w:line="360" w:lineRule="auto"/>
        <w:ind w:firstLine="420"/>
        <w:rPr>
          <w:rFonts w:cs="宋体"/>
          <w:lang w:val="zh-CN"/>
        </w:rPr>
      </w:pPr>
      <w:r>
        <w:rPr>
          <w:rFonts w:cs="宋体"/>
          <w:lang w:val="zh-CN"/>
        </w:rPr>
        <w:t>b</w:t>
      </w:r>
      <w:r>
        <w:rPr>
          <w:rFonts w:hint="eastAsia" w:cs="宋体"/>
          <w:lang w:val="zh-CN"/>
        </w:rPr>
        <w:t>）尺寸：深度</w:t>
      </w:r>
      <w:r>
        <w:rPr>
          <w:rFonts w:cs="宋体"/>
          <w:lang w:val="zh-CN"/>
        </w:rPr>
        <w:t>600mm</w:t>
      </w:r>
      <w:r>
        <w:rPr>
          <w:rFonts w:hint="eastAsia" w:cs="宋体"/>
          <w:lang w:val="zh-CN"/>
        </w:rPr>
        <w:t>，宽度</w:t>
      </w:r>
      <w:r>
        <w:rPr>
          <w:rFonts w:cs="宋体"/>
          <w:lang w:val="zh-CN"/>
        </w:rPr>
        <w:t>600mm</w:t>
      </w:r>
      <w:r>
        <w:rPr>
          <w:rFonts w:hint="eastAsia" w:cs="宋体"/>
          <w:lang w:val="zh-CN"/>
        </w:rPr>
        <w:t>，高度</w:t>
      </w:r>
      <w:r>
        <w:rPr>
          <w:rFonts w:cs="宋体"/>
          <w:lang w:val="zh-CN"/>
        </w:rPr>
        <w:t>1400mm</w:t>
      </w:r>
    </w:p>
    <w:p w14:paraId="50025FEC">
      <w:pPr>
        <w:spacing w:line="360" w:lineRule="auto"/>
        <w:ind w:firstLine="420"/>
        <w:rPr>
          <w:rFonts w:cs="宋体"/>
          <w:lang w:val="zh-CN"/>
        </w:rPr>
      </w:pPr>
      <w:r>
        <w:rPr>
          <w:rFonts w:hint="eastAsia" w:cs="宋体"/>
          <w:lang w:val="zh-CN"/>
        </w:rPr>
        <w:t>（</w:t>
      </w:r>
      <w:r>
        <w:rPr>
          <w:rFonts w:cs="宋体"/>
          <w:lang w:val="zh-CN"/>
        </w:rPr>
        <w:t>3</w:t>
      </w:r>
      <w:r>
        <w:rPr>
          <w:rFonts w:hint="eastAsia" w:cs="宋体"/>
          <w:lang w:val="zh-CN"/>
        </w:rPr>
        <w:t>）室内独立箱体（端子箱、汇控柜等）</w:t>
      </w:r>
    </w:p>
    <w:p w14:paraId="0626AE97">
      <w:pPr>
        <w:spacing w:line="360" w:lineRule="auto"/>
        <w:ind w:firstLine="420"/>
        <w:rPr>
          <w:rFonts w:cs="宋体"/>
          <w:lang w:val="zh-CN"/>
        </w:rPr>
      </w:pPr>
      <w:r>
        <w:rPr>
          <w:rFonts w:cs="宋体"/>
          <w:lang w:val="zh-CN"/>
        </w:rPr>
        <w:t>a</w:t>
      </w:r>
      <w:r>
        <w:rPr>
          <w:rFonts w:hint="eastAsia" w:cs="宋体"/>
          <w:lang w:val="zh-CN"/>
        </w:rPr>
        <w:t>）材质：</w:t>
      </w:r>
      <w:r>
        <w:rPr>
          <w:rFonts w:cs="宋体"/>
          <w:lang w:val="zh-CN"/>
        </w:rPr>
        <w:t>304-2B</w:t>
      </w:r>
      <w:r>
        <w:rPr>
          <w:rFonts w:hint="eastAsia" w:cs="宋体"/>
          <w:lang w:val="zh-CN"/>
        </w:rPr>
        <w:t>不锈钢</w:t>
      </w:r>
    </w:p>
    <w:p w14:paraId="15047FC5">
      <w:pPr>
        <w:spacing w:line="360" w:lineRule="auto"/>
        <w:ind w:firstLine="420"/>
        <w:rPr>
          <w:rFonts w:cs="宋体"/>
          <w:lang w:val="zh-CN"/>
        </w:rPr>
      </w:pPr>
      <w:r>
        <w:rPr>
          <w:rFonts w:cs="宋体"/>
          <w:lang w:val="zh-CN"/>
        </w:rPr>
        <w:t>b</w:t>
      </w:r>
      <w:r>
        <w:rPr>
          <w:rFonts w:hint="eastAsia" w:cs="宋体"/>
          <w:lang w:val="zh-CN"/>
        </w:rPr>
        <w:t>）尺寸：由厂家按需求确定</w:t>
      </w:r>
    </w:p>
    <w:p w14:paraId="68A662C9">
      <w:pPr>
        <w:spacing w:line="360" w:lineRule="auto"/>
        <w:ind w:firstLine="420"/>
        <w:rPr>
          <w:rFonts w:cs="宋体"/>
          <w:lang w:val="zh-CN"/>
        </w:rPr>
      </w:pPr>
      <w:r>
        <w:rPr>
          <w:rFonts w:hint="eastAsia" w:cs="宋体"/>
          <w:lang w:val="zh-CN"/>
        </w:rPr>
        <w:t>（</w:t>
      </w:r>
      <w:r>
        <w:rPr>
          <w:rFonts w:cs="宋体"/>
          <w:lang w:val="zh-CN"/>
        </w:rPr>
        <w:t>4</w:t>
      </w:r>
      <w:r>
        <w:rPr>
          <w:rFonts w:hint="eastAsia" w:cs="宋体"/>
          <w:lang w:val="zh-CN"/>
        </w:rPr>
        <w:t>）主设备本体附着箱体</w:t>
      </w:r>
    </w:p>
    <w:p w14:paraId="52289807">
      <w:pPr>
        <w:spacing w:line="360" w:lineRule="auto"/>
        <w:ind w:firstLine="420"/>
        <w:rPr>
          <w:rFonts w:cs="宋体"/>
          <w:lang w:val="zh-CN"/>
        </w:rPr>
      </w:pPr>
      <w:r>
        <w:rPr>
          <w:rFonts w:hint="eastAsia" w:cs="宋体"/>
          <w:lang w:val="zh-CN"/>
        </w:rPr>
        <w:t>材质颜色：与本体相同</w:t>
      </w:r>
    </w:p>
    <w:p w14:paraId="7A5D2AAB">
      <w:pPr>
        <w:spacing w:line="360" w:lineRule="auto"/>
        <w:ind w:firstLine="420"/>
        <w:rPr>
          <w:rFonts w:cs="宋体"/>
          <w:lang w:val="zh-CN"/>
        </w:rPr>
      </w:pPr>
      <w:r>
        <w:rPr>
          <w:rFonts w:hint="eastAsia" w:cs="宋体"/>
          <w:lang w:val="zh-CN"/>
        </w:rPr>
        <w:t>尺寸：厂家按需求确定</w:t>
      </w:r>
    </w:p>
    <w:p w14:paraId="633AD210">
      <w:pPr>
        <w:spacing w:line="360" w:lineRule="auto"/>
        <w:ind w:firstLine="420"/>
        <w:rPr>
          <w:rFonts w:cs="宋体"/>
          <w:lang w:val="zh-CN"/>
        </w:rPr>
      </w:pPr>
      <w:r>
        <w:rPr>
          <w:rFonts w:hint="eastAsia" w:cs="宋体"/>
          <w:lang w:val="zh-CN"/>
        </w:rPr>
        <w:t>（</w:t>
      </w:r>
      <w:r>
        <w:rPr>
          <w:rFonts w:cs="宋体"/>
          <w:lang w:val="zh-CN"/>
        </w:rPr>
        <w:t>5</w:t>
      </w:r>
      <w:r>
        <w:rPr>
          <w:rFonts w:hint="eastAsia" w:cs="宋体"/>
          <w:lang w:val="zh-CN"/>
        </w:rPr>
        <w:t>）企业</w:t>
      </w:r>
      <w:r>
        <w:rPr>
          <w:rFonts w:cs="宋体"/>
          <w:lang w:val="zh-CN"/>
        </w:rPr>
        <w:t>VI</w:t>
      </w:r>
      <w:r>
        <w:rPr>
          <w:rFonts w:hint="eastAsia" w:cs="宋体"/>
          <w:lang w:val="zh-CN"/>
        </w:rPr>
        <w:t>标识要求</w:t>
      </w:r>
    </w:p>
    <w:p w14:paraId="62999809">
      <w:pPr>
        <w:spacing w:line="360" w:lineRule="auto"/>
        <w:ind w:firstLine="420"/>
        <w:rPr>
          <w:rFonts w:cs="宋体"/>
          <w:lang w:val="zh-CN"/>
        </w:rPr>
      </w:pPr>
      <w:r>
        <w:rPr>
          <w:rFonts w:cs="宋体"/>
          <w:lang w:val="zh-CN"/>
        </w:rPr>
        <w:t>a</w:t>
      </w:r>
      <w:r>
        <w:rPr>
          <w:rFonts w:hint="eastAsia" w:cs="宋体"/>
          <w:lang w:val="zh-CN"/>
        </w:rPr>
        <w:t>）设备外立面上应有统一的南方电网公司企业</w:t>
      </w:r>
      <w:r>
        <w:rPr>
          <w:rFonts w:cs="宋体"/>
          <w:lang w:val="zh-CN"/>
        </w:rPr>
        <w:t>VI</w:t>
      </w:r>
      <w:r>
        <w:rPr>
          <w:rFonts w:hint="eastAsia" w:cs="宋体"/>
          <w:lang w:val="zh-CN"/>
        </w:rPr>
        <w:t>标识，并符合《中国南方电网视觉识别系统管理手册》的要求；</w:t>
      </w:r>
    </w:p>
    <w:p w14:paraId="396A8483">
      <w:pPr>
        <w:spacing w:line="360" w:lineRule="auto"/>
        <w:ind w:firstLine="420"/>
        <w:rPr>
          <w:rFonts w:cs="宋体"/>
          <w:lang w:val="zh-CN"/>
        </w:rPr>
      </w:pPr>
      <w:r>
        <w:rPr>
          <w:rFonts w:cs="宋体"/>
          <w:lang w:val="zh-CN"/>
        </w:rPr>
        <w:t>b</w:t>
      </w:r>
      <w:r>
        <w:rPr>
          <w:rFonts w:hint="eastAsia" w:cs="宋体"/>
          <w:lang w:val="zh-CN"/>
        </w:rPr>
        <w:t>）标识的内容构成：中国南方电网标志、“中国南方电网”中英文名称；</w:t>
      </w:r>
    </w:p>
    <w:p w14:paraId="466A5701">
      <w:pPr>
        <w:spacing w:line="360" w:lineRule="auto"/>
        <w:ind w:firstLine="420"/>
        <w:rPr>
          <w:rFonts w:cs="宋体"/>
          <w:lang w:val="zh-CN"/>
        </w:rPr>
      </w:pPr>
      <w:r>
        <w:rPr>
          <w:rFonts w:cs="宋体"/>
          <w:lang w:val="zh-CN"/>
        </w:rPr>
        <w:t>c</w:t>
      </w:r>
      <w:r>
        <w:rPr>
          <w:rFonts w:hint="eastAsia" w:cs="宋体"/>
          <w:lang w:val="zh-CN"/>
        </w:rPr>
        <w:t>）颜色：标识采用企业标准色</w:t>
      </w:r>
      <w:r>
        <w:rPr>
          <w:rFonts w:cs="宋体"/>
          <w:lang w:val="zh-CN"/>
        </w:rPr>
        <w:t xml:space="preserve"> C100 M69 Y0 K38</w:t>
      </w:r>
      <w:r>
        <w:rPr>
          <w:rFonts w:hint="eastAsia" w:cs="宋体"/>
          <w:lang w:val="zh-CN"/>
        </w:rPr>
        <w:t>，背景采用白色；</w:t>
      </w:r>
    </w:p>
    <w:p w14:paraId="78988ACA">
      <w:pPr>
        <w:spacing w:line="360" w:lineRule="auto"/>
        <w:ind w:firstLine="420"/>
        <w:rPr>
          <w:rFonts w:cs="宋体"/>
          <w:lang w:val="zh-CN"/>
        </w:rPr>
      </w:pPr>
      <w:r>
        <w:rPr>
          <w:rFonts w:cs="宋体"/>
          <w:lang w:val="zh-CN"/>
        </w:rPr>
        <w:t>d</w:t>
      </w:r>
      <w:r>
        <w:rPr>
          <w:rFonts w:hint="eastAsia" w:cs="宋体"/>
          <w:lang w:val="zh-CN"/>
        </w:rPr>
        <w:t>）标识方式：丝网印刷；</w:t>
      </w:r>
    </w:p>
    <w:p w14:paraId="0F1167E3">
      <w:pPr>
        <w:spacing w:line="360" w:lineRule="auto"/>
        <w:ind w:firstLine="420"/>
        <w:rPr>
          <w:rFonts w:cs="宋体"/>
          <w:lang w:val="zh-CN"/>
        </w:rPr>
      </w:pPr>
      <w:r>
        <w:rPr>
          <w:rFonts w:cs="宋体"/>
          <w:lang w:val="zh-CN"/>
        </w:rPr>
        <w:t>e</w:t>
      </w:r>
      <w:r>
        <w:rPr>
          <w:rFonts w:hint="eastAsia" w:cs="宋体"/>
          <w:lang w:val="zh-CN"/>
        </w:rPr>
        <w:t>）标识大小：按所需比例修正；</w:t>
      </w:r>
    </w:p>
    <w:p w14:paraId="29CB36B9">
      <w:pPr>
        <w:spacing w:line="360" w:lineRule="auto"/>
        <w:ind w:firstLine="420"/>
        <w:rPr>
          <w:rFonts w:cs="宋体"/>
          <w:lang w:val="zh-CN"/>
        </w:rPr>
      </w:pPr>
      <w:r>
        <w:rPr>
          <w:rFonts w:cs="宋体"/>
          <w:lang w:val="zh-CN"/>
        </w:rPr>
        <w:t>f</w:t>
      </w:r>
      <w:r>
        <w:rPr>
          <w:rFonts w:hint="eastAsia" w:cs="宋体"/>
          <w:lang w:val="zh-CN"/>
        </w:rPr>
        <w:t>）企业标识安装在设备外立面正面醒目位置；</w:t>
      </w:r>
    </w:p>
    <w:p w14:paraId="73FF2714">
      <w:pPr>
        <w:spacing w:line="360" w:lineRule="auto"/>
        <w:ind w:firstLine="420"/>
        <w:rPr>
          <w:rFonts w:cs="宋体"/>
          <w:lang w:val="zh-CN"/>
        </w:rPr>
      </w:pPr>
      <w:r>
        <w:rPr>
          <w:rFonts w:cs="宋体"/>
          <w:lang w:val="zh-CN"/>
        </w:rPr>
        <w:t>g</w:t>
      </w:r>
      <w:r>
        <w:rPr>
          <w:rFonts w:hint="eastAsia" w:cs="宋体"/>
          <w:lang w:val="zh-CN"/>
        </w:rPr>
        <w:t>）</w:t>
      </w:r>
      <w:r>
        <w:rPr>
          <w:rFonts w:cs="宋体"/>
          <w:lang w:val="zh-CN"/>
        </w:rPr>
        <w:t>LOGO</w:t>
      </w:r>
      <w:r>
        <w:rPr>
          <w:rFonts w:hint="eastAsia" w:cs="宋体"/>
          <w:lang w:val="zh-CN"/>
        </w:rPr>
        <w:t>标志采用铆钉固定；</w:t>
      </w:r>
    </w:p>
    <w:p w14:paraId="1E8B1C3C">
      <w:pPr>
        <w:pStyle w:val="52"/>
        <w:spacing w:line="360" w:lineRule="auto"/>
        <w:ind w:right="108"/>
        <w:outlineLvl w:val="1"/>
        <w:rPr>
          <w:rFonts w:ascii="Times New Roman"/>
          <w:sz w:val="21"/>
          <w:szCs w:val="21"/>
        </w:rPr>
      </w:pPr>
      <w:r>
        <w:rPr>
          <w:rFonts w:hint="eastAsia" w:ascii="Times New Roman"/>
          <w:sz w:val="21"/>
          <w:szCs w:val="21"/>
        </w:rPr>
        <w:t xml:space="preserve">10.5 </w:t>
      </w:r>
      <w:r>
        <w:rPr>
          <w:rFonts w:ascii="Times New Roman"/>
          <w:sz w:val="21"/>
          <w:szCs w:val="21"/>
        </w:rPr>
        <w:t>质量保证</w:t>
      </w:r>
      <w:r>
        <w:rPr>
          <w:rFonts w:hint="eastAsia" w:ascii="Times New Roman"/>
          <w:sz w:val="21"/>
          <w:szCs w:val="21"/>
        </w:rPr>
        <w:t>（技术规范书不约定质保期，质保期以合同为准）</w:t>
      </w:r>
    </w:p>
    <w:p w14:paraId="59C6E7E9">
      <w:pPr>
        <w:spacing w:line="360" w:lineRule="auto"/>
        <w:rPr>
          <w:rFonts w:cs="宋体"/>
        </w:rPr>
      </w:pPr>
      <w:r>
        <w:rPr>
          <w:rFonts w:hint="eastAsia"/>
          <w:szCs w:val="21"/>
        </w:rPr>
        <w:t>10.5</w:t>
      </w:r>
      <w:r>
        <w:rPr>
          <w:rFonts w:hint="eastAsia" w:cs="宋体"/>
        </w:rPr>
        <w:t>.1投标方及由投标方供货的产品制造商必须有权威机关颁发的ISO 9001系列的认证书或等同的质量保证体系认证证书。投标方及制造商应已设计、制造和提供过同类设备，且使用条件应与本项目相类似，或比规定的条件更严格。如发现有失实情况，招标方有权拒绝该投标。</w:t>
      </w:r>
    </w:p>
    <w:p w14:paraId="3EBBC5BD">
      <w:pPr>
        <w:spacing w:line="360" w:lineRule="auto"/>
        <w:rPr>
          <w:rFonts w:cs="宋体"/>
        </w:rPr>
      </w:pPr>
      <w:r>
        <w:rPr>
          <w:rFonts w:hint="eastAsia"/>
          <w:szCs w:val="21"/>
        </w:rPr>
        <w:t>10.5</w:t>
      </w:r>
      <w:r>
        <w:rPr>
          <w:rFonts w:hint="eastAsia" w:cs="宋体"/>
        </w:rPr>
        <w:t>.2投标方应按本技术规范书技术及数量要求，提供全新的、合格的</w:t>
      </w:r>
      <w:r>
        <w:rPr>
          <w:rFonts w:hint="eastAsia"/>
          <w:szCs w:val="21"/>
        </w:rPr>
        <w:t>数字孪生应用系统</w:t>
      </w:r>
      <w:r>
        <w:rPr>
          <w:rFonts w:hint="eastAsia" w:cs="宋体"/>
        </w:rPr>
        <w:t>及相关附属设备，提供的设备应满足本技术规范。</w:t>
      </w:r>
    </w:p>
    <w:p w14:paraId="449DB34F">
      <w:pPr>
        <w:spacing w:line="360" w:lineRule="auto"/>
        <w:rPr>
          <w:rFonts w:cs="宋体"/>
        </w:rPr>
      </w:pPr>
      <w:r>
        <w:rPr>
          <w:rFonts w:hint="eastAsia"/>
          <w:szCs w:val="21"/>
        </w:rPr>
        <w:t>10.5</w:t>
      </w:r>
      <w:r>
        <w:rPr>
          <w:rFonts w:hint="eastAsia" w:cs="宋体"/>
        </w:rPr>
        <w:t>.3投标方应保证制造过程中的所有工艺、材料等（包括投标方的外构件在内）均应符合本技术规范的规定。若招标方根据运行经验指定投标方提供某种外购零部件，投标方应积极配合。</w:t>
      </w:r>
    </w:p>
    <w:p w14:paraId="70F4BAC2">
      <w:pPr>
        <w:spacing w:line="360" w:lineRule="auto"/>
        <w:rPr>
          <w:rFonts w:cs="宋体"/>
        </w:rPr>
      </w:pPr>
      <w:r>
        <w:rPr>
          <w:rFonts w:hint="eastAsia"/>
          <w:szCs w:val="21"/>
        </w:rPr>
        <w:t>10.5</w:t>
      </w:r>
      <w:r>
        <w:rPr>
          <w:rFonts w:hint="eastAsia" w:cs="宋体"/>
        </w:rPr>
        <w:t>.4投标方应遵守本技术规范中各条款和工作项目的ISO 9000、GB/T 19000质量保证体系，该质量保证体系经过国家认证和正常运转。</w:t>
      </w:r>
    </w:p>
    <w:p w14:paraId="77AD953E">
      <w:pPr>
        <w:spacing w:line="360" w:lineRule="auto"/>
        <w:rPr>
          <w:rFonts w:cs="宋体"/>
        </w:rPr>
      </w:pPr>
      <w:r>
        <w:rPr>
          <w:rFonts w:hint="eastAsia"/>
          <w:szCs w:val="21"/>
        </w:rPr>
        <w:t>10.5.</w:t>
      </w:r>
      <w:r>
        <w:rPr>
          <w:rFonts w:hint="eastAsia" w:cs="宋体"/>
        </w:rPr>
        <w:t>5在质保期间，因制造质量问题而发生损坏，或不能正常工作时，投标方应免费为招标方修理或更换零部件。</w:t>
      </w:r>
    </w:p>
    <w:p w14:paraId="59435399">
      <w:pPr>
        <w:spacing w:line="360" w:lineRule="auto"/>
        <w:rPr>
          <w:rFonts w:cs="宋体"/>
        </w:rPr>
      </w:pPr>
      <w:r>
        <w:rPr>
          <w:rFonts w:hint="eastAsia"/>
          <w:szCs w:val="21"/>
        </w:rPr>
        <w:t>10.5</w:t>
      </w:r>
      <w:r>
        <w:rPr>
          <w:rFonts w:hint="eastAsia" w:cs="宋体"/>
        </w:rPr>
        <w:t>.6维修保养和日常运行中</w:t>
      </w:r>
      <w:r>
        <w:rPr>
          <w:rFonts w:hint="eastAsia"/>
          <w:szCs w:val="21"/>
        </w:rPr>
        <w:t>数字孪生应用系统</w:t>
      </w:r>
      <w:r>
        <w:rPr>
          <w:rFonts w:hint="eastAsia" w:cs="宋体"/>
        </w:rPr>
        <w:t>出现问题，投标人应及时修理，修理更换的部件品质不应低于原零部件。质保期内出现同类问题或包括同类问题，再次修理时业主不再支付同类问题相关费用。</w:t>
      </w:r>
    </w:p>
    <w:p w14:paraId="06EAF9F7">
      <w:pPr>
        <w:adjustRightInd w:val="0"/>
        <w:snapToGrid w:val="0"/>
        <w:spacing w:line="360" w:lineRule="auto"/>
        <w:ind w:left="420"/>
        <w:rPr>
          <w:spacing w:val="-2"/>
          <w:szCs w:val="21"/>
        </w:rPr>
      </w:pPr>
    </w:p>
    <w:p w14:paraId="7F8422FD">
      <w:pPr>
        <w:pStyle w:val="4"/>
        <w:adjustRightInd w:val="0"/>
        <w:spacing w:before="0"/>
      </w:pPr>
      <w:bookmarkStart w:id="276" w:name="_Toc83649569"/>
      <w:bookmarkStart w:id="277" w:name="_Toc84839276"/>
      <w:bookmarkStart w:id="278" w:name="_Toc226110503"/>
      <w:r>
        <w:t>设备技术参数和性能要求响应表</w:t>
      </w:r>
      <w:bookmarkEnd w:id="276"/>
      <w:bookmarkEnd w:id="277"/>
      <w:bookmarkEnd w:id="278"/>
    </w:p>
    <w:p w14:paraId="0B3F2ED6">
      <w:pPr>
        <w:adjustRightInd w:val="0"/>
        <w:snapToGrid w:val="0"/>
        <w:spacing w:line="360" w:lineRule="auto"/>
        <w:ind w:firstLine="412" w:firstLineChars="200"/>
        <w:rPr>
          <w:spacing w:val="-2"/>
          <w:szCs w:val="21"/>
        </w:rPr>
      </w:pPr>
      <w:r>
        <w:rPr>
          <w:spacing w:val="-2"/>
          <w:szCs w:val="21"/>
        </w:rPr>
        <w:t>投标方应认真逐项填写所供设备技术参数和性能要求响应表（见表11</w:t>
      </w:r>
      <w:r>
        <w:rPr>
          <w:rFonts w:hint="eastAsia"/>
          <w:spacing w:val="-2"/>
          <w:szCs w:val="21"/>
        </w:rPr>
        <w:t>和</w:t>
      </w:r>
      <w:r>
        <w:rPr>
          <w:szCs w:val="21"/>
        </w:rPr>
        <w:t>表12</w:t>
      </w:r>
      <w:r>
        <w:rPr>
          <w:spacing w:val="-2"/>
          <w:szCs w:val="21"/>
        </w:rPr>
        <w:t>）中“投标方保证值”栏，不能空格，也不能以“响应”两字代替，不允许改动本表内 “投标方保证值”栏之外的数值。如有差异，请填写表15：技术差异表。</w:t>
      </w:r>
    </w:p>
    <w:p w14:paraId="11F48303">
      <w:pPr>
        <w:adjustRightInd w:val="0"/>
        <w:snapToGrid w:val="0"/>
        <w:spacing w:line="360" w:lineRule="auto"/>
        <w:ind w:firstLine="412" w:firstLineChars="200"/>
        <w:rPr>
          <w:spacing w:val="-2"/>
          <w:szCs w:val="21"/>
        </w:rPr>
      </w:pPr>
    </w:p>
    <w:p w14:paraId="6C52D790">
      <w:pPr>
        <w:adjustRightInd w:val="0"/>
        <w:snapToGrid w:val="0"/>
        <w:spacing w:line="360" w:lineRule="auto"/>
        <w:jc w:val="center"/>
        <w:rPr>
          <w:szCs w:val="21"/>
        </w:rPr>
      </w:pPr>
      <w:bookmarkStart w:id="279" w:name="_Toc283142574"/>
      <w:r>
        <w:rPr>
          <w:szCs w:val="21"/>
        </w:rPr>
        <w:t xml:space="preserve">表11  </w:t>
      </w:r>
      <w:r>
        <w:rPr>
          <w:rFonts w:hint="eastAsia"/>
          <w:szCs w:val="21"/>
        </w:rPr>
        <w:t>系统软件</w:t>
      </w:r>
      <w:r>
        <w:rPr>
          <w:szCs w:val="21"/>
        </w:rPr>
        <w:t>技术参数和性能要求响应表</w:t>
      </w:r>
      <w:bookmarkEnd w:id="279"/>
    </w:p>
    <w:tbl>
      <w:tblPr>
        <w:tblStyle w:val="31"/>
        <w:tblW w:w="8320" w:type="dxa"/>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42"/>
        <w:gridCol w:w="2249"/>
        <w:gridCol w:w="2942"/>
        <w:gridCol w:w="2487"/>
      </w:tblGrid>
      <w:tr w14:paraId="38A2F0F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29" w:hRule="atLeast"/>
          <w:tblHeader/>
        </w:trPr>
        <w:tc>
          <w:tcPr>
            <w:tcW w:w="642" w:type="dxa"/>
            <w:vAlign w:val="center"/>
          </w:tcPr>
          <w:p w14:paraId="4124A879">
            <w:pPr>
              <w:pStyle w:val="19"/>
              <w:spacing w:before="60" w:after="60"/>
              <w:jc w:val="center"/>
              <w:rPr>
                <w:rFonts w:ascii="Times New Roman" w:hAnsi="Times New Roman"/>
                <w:sz w:val="18"/>
                <w:szCs w:val="18"/>
              </w:rPr>
            </w:pPr>
            <w:r>
              <w:rPr>
                <w:rFonts w:ascii="Times New Roman" w:hAnsi="Times New Roman"/>
                <w:sz w:val="18"/>
                <w:szCs w:val="18"/>
              </w:rPr>
              <w:t>序号</w:t>
            </w:r>
          </w:p>
        </w:tc>
        <w:tc>
          <w:tcPr>
            <w:tcW w:w="2249" w:type="dxa"/>
            <w:vAlign w:val="center"/>
          </w:tcPr>
          <w:p w14:paraId="365FF8DC">
            <w:pPr>
              <w:pStyle w:val="19"/>
              <w:spacing w:before="60" w:after="60"/>
              <w:jc w:val="center"/>
              <w:rPr>
                <w:rFonts w:ascii="Times New Roman" w:hAnsi="Times New Roman"/>
                <w:sz w:val="18"/>
                <w:szCs w:val="18"/>
              </w:rPr>
            </w:pPr>
            <w:r>
              <w:rPr>
                <w:rFonts w:ascii="Times New Roman" w:hAnsi="Times New Roman"/>
                <w:sz w:val="18"/>
                <w:szCs w:val="18"/>
              </w:rPr>
              <w:t>名    称</w:t>
            </w:r>
          </w:p>
        </w:tc>
        <w:tc>
          <w:tcPr>
            <w:tcW w:w="2942" w:type="dxa"/>
            <w:vAlign w:val="center"/>
          </w:tcPr>
          <w:p w14:paraId="1ADACDAA">
            <w:pPr>
              <w:pStyle w:val="19"/>
              <w:spacing w:before="60" w:after="60"/>
              <w:jc w:val="center"/>
              <w:rPr>
                <w:rFonts w:ascii="Times New Roman" w:hAnsi="Times New Roman"/>
                <w:szCs w:val="21"/>
              </w:rPr>
            </w:pPr>
            <w:r>
              <w:rPr>
                <w:rFonts w:ascii="Times New Roman" w:hAnsi="Times New Roman"/>
                <w:szCs w:val="21"/>
              </w:rPr>
              <w:t>项目要求值</w:t>
            </w:r>
          </w:p>
        </w:tc>
        <w:tc>
          <w:tcPr>
            <w:tcW w:w="2487" w:type="dxa"/>
            <w:vAlign w:val="center"/>
          </w:tcPr>
          <w:p w14:paraId="5710C002">
            <w:pPr>
              <w:pStyle w:val="19"/>
              <w:spacing w:before="60" w:after="60"/>
              <w:jc w:val="center"/>
              <w:rPr>
                <w:rFonts w:ascii="Times New Roman" w:hAnsi="Times New Roman"/>
                <w:szCs w:val="21"/>
              </w:rPr>
            </w:pPr>
            <w:r>
              <w:rPr>
                <w:rFonts w:ascii="Times New Roman" w:hAnsi="Times New Roman"/>
                <w:szCs w:val="21"/>
              </w:rPr>
              <w:t>投标方保证值</w:t>
            </w:r>
          </w:p>
        </w:tc>
      </w:tr>
      <w:tr w14:paraId="4492393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39" w:hRule="atLeast"/>
        </w:trPr>
        <w:tc>
          <w:tcPr>
            <w:tcW w:w="642" w:type="dxa"/>
            <w:vAlign w:val="center"/>
          </w:tcPr>
          <w:p w14:paraId="5E03A85F">
            <w:pPr>
              <w:pStyle w:val="19"/>
              <w:tabs>
                <w:tab w:val="left" w:pos="0"/>
              </w:tabs>
              <w:spacing w:before="60" w:after="60"/>
              <w:jc w:val="center"/>
              <w:rPr>
                <w:rFonts w:ascii="Times New Roman" w:hAnsi="Times New Roman"/>
                <w:sz w:val="18"/>
                <w:szCs w:val="18"/>
              </w:rPr>
            </w:pPr>
            <w:r>
              <w:rPr>
                <w:rFonts w:hint="eastAsia" w:ascii="Times New Roman" w:hAnsi="Times New Roman"/>
                <w:sz w:val="18"/>
                <w:szCs w:val="18"/>
              </w:rPr>
              <w:t>1</w:t>
            </w:r>
          </w:p>
        </w:tc>
        <w:tc>
          <w:tcPr>
            <w:tcW w:w="2249" w:type="dxa"/>
            <w:vAlign w:val="center"/>
          </w:tcPr>
          <w:p w14:paraId="4D5F2086">
            <w:pPr>
              <w:widowControl/>
              <w:spacing w:before="60" w:after="60"/>
              <w:jc w:val="center"/>
              <w:textAlignment w:val="center"/>
              <w:rPr>
                <w:rFonts w:ascii="宋体" w:hAnsi="宋体" w:cs="宋体"/>
                <w:kern w:val="0"/>
                <w:sz w:val="18"/>
                <w:szCs w:val="18"/>
              </w:rPr>
            </w:pPr>
            <w:r>
              <w:rPr>
                <w:rFonts w:hint="eastAsia" w:ascii="宋体" w:hAnsi="宋体" w:cs="宋体"/>
                <w:kern w:val="0"/>
                <w:sz w:val="18"/>
                <w:szCs w:val="18"/>
              </w:rPr>
              <w:t>软件功能</w:t>
            </w:r>
          </w:p>
        </w:tc>
        <w:tc>
          <w:tcPr>
            <w:tcW w:w="2942" w:type="dxa"/>
            <w:vAlign w:val="center"/>
          </w:tcPr>
          <w:p w14:paraId="556F909E">
            <w:pPr>
              <w:widowControl/>
              <w:spacing w:before="60" w:after="60"/>
              <w:jc w:val="left"/>
              <w:textAlignment w:val="center"/>
              <w:rPr>
                <w:rFonts w:ascii="宋体" w:hAnsi="宋体" w:cs="宋体"/>
                <w:kern w:val="0"/>
                <w:sz w:val="18"/>
                <w:szCs w:val="18"/>
              </w:rPr>
            </w:pPr>
            <w:r>
              <w:rPr>
                <w:rFonts w:hint="eastAsia" w:ascii="宋体" w:hAnsi="宋体" w:cs="宋体"/>
                <w:kern w:val="0"/>
                <w:sz w:val="18"/>
                <w:szCs w:val="18"/>
              </w:rPr>
              <w:t>功能、技术路线及各项要求详见技术要求章节5技术要求</w:t>
            </w:r>
          </w:p>
        </w:tc>
        <w:tc>
          <w:tcPr>
            <w:tcW w:w="2487" w:type="dxa"/>
          </w:tcPr>
          <w:p w14:paraId="340BD25E">
            <w:pPr>
              <w:pStyle w:val="19"/>
              <w:spacing w:before="60" w:after="60"/>
              <w:jc w:val="center"/>
              <w:rPr>
                <w:rFonts w:ascii="Times New Roman" w:hAnsi="Times New Roman"/>
                <w:sz w:val="18"/>
                <w:szCs w:val="18"/>
              </w:rPr>
            </w:pPr>
          </w:p>
        </w:tc>
      </w:tr>
    </w:tbl>
    <w:p w14:paraId="1ADCA048">
      <w:pPr>
        <w:adjustRightInd w:val="0"/>
        <w:snapToGrid w:val="0"/>
        <w:spacing w:line="360" w:lineRule="auto"/>
        <w:jc w:val="center"/>
        <w:rPr>
          <w:szCs w:val="21"/>
        </w:rPr>
      </w:pPr>
      <w:bookmarkStart w:id="280" w:name="_Toc287602840"/>
    </w:p>
    <w:p w14:paraId="1CFDAAD2">
      <w:pPr>
        <w:adjustRightInd w:val="0"/>
        <w:snapToGrid w:val="0"/>
        <w:spacing w:line="360" w:lineRule="auto"/>
        <w:jc w:val="center"/>
        <w:rPr>
          <w:szCs w:val="21"/>
        </w:rPr>
      </w:pPr>
      <w:r>
        <w:rPr>
          <w:szCs w:val="21"/>
        </w:rPr>
        <w:t xml:space="preserve">表12  </w:t>
      </w:r>
      <w:r>
        <w:rPr>
          <w:rFonts w:hint="eastAsia"/>
          <w:szCs w:val="21"/>
        </w:rPr>
        <w:t>设备硬件</w:t>
      </w:r>
      <w:r>
        <w:rPr>
          <w:szCs w:val="21"/>
        </w:rPr>
        <w:t>技术参数和性能要求响应表</w:t>
      </w:r>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4"/>
        <w:gridCol w:w="992"/>
        <w:gridCol w:w="3703"/>
        <w:gridCol w:w="2960"/>
      </w:tblGrid>
      <w:tr w14:paraId="0053D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04" w:type="dxa"/>
          </w:tcPr>
          <w:p w14:paraId="4A8F0AC3">
            <w:r>
              <w:rPr>
                <w:rFonts w:hint="eastAsia"/>
              </w:rPr>
              <w:t>序号</w:t>
            </w:r>
          </w:p>
        </w:tc>
        <w:tc>
          <w:tcPr>
            <w:tcW w:w="992" w:type="dxa"/>
          </w:tcPr>
          <w:p w14:paraId="6C9CB7D3">
            <w:r>
              <w:rPr>
                <w:rFonts w:hint="eastAsia"/>
              </w:rPr>
              <w:t>名称</w:t>
            </w:r>
          </w:p>
        </w:tc>
        <w:tc>
          <w:tcPr>
            <w:tcW w:w="3703" w:type="dxa"/>
          </w:tcPr>
          <w:p w14:paraId="53450373">
            <w:r>
              <w:rPr>
                <w:rFonts w:hint="eastAsia"/>
              </w:rPr>
              <w:t>项目要求值</w:t>
            </w:r>
          </w:p>
        </w:tc>
        <w:tc>
          <w:tcPr>
            <w:tcW w:w="2960" w:type="dxa"/>
          </w:tcPr>
          <w:p w14:paraId="19A23EE7">
            <w:r>
              <w:rPr>
                <w:rFonts w:hint="eastAsia"/>
              </w:rPr>
              <w:t>投标方保证值</w:t>
            </w:r>
          </w:p>
        </w:tc>
      </w:tr>
      <w:tr w14:paraId="429FB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2C192840">
            <w:pPr>
              <w:pStyle w:val="46"/>
              <w:numPr>
                <w:ilvl w:val="0"/>
                <w:numId w:val="6"/>
              </w:numPr>
              <w:ind w:left="317" w:hanging="141" w:firstLineChars="0"/>
              <w:rPr>
                <w:sz w:val="20"/>
              </w:rPr>
            </w:pPr>
          </w:p>
        </w:tc>
        <w:tc>
          <w:tcPr>
            <w:tcW w:w="992" w:type="dxa"/>
            <w:vAlign w:val="center"/>
          </w:tcPr>
          <w:p w14:paraId="5C29FC29">
            <w:pPr>
              <w:widowControl/>
              <w:spacing w:before="60" w:after="60"/>
              <w:jc w:val="center"/>
              <w:textAlignment w:val="center"/>
            </w:pPr>
            <w:r>
              <w:rPr>
                <w:rFonts w:hint="eastAsia"/>
                <w:kern w:val="0"/>
                <w:sz w:val="18"/>
                <w:szCs w:val="18"/>
              </w:rPr>
              <w:t>360度全景摄像机</w:t>
            </w:r>
          </w:p>
        </w:tc>
        <w:tc>
          <w:tcPr>
            <w:tcW w:w="3703" w:type="dxa"/>
            <w:vAlign w:val="center"/>
          </w:tcPr>
          <w:p w14:paraId="51BBA21C">
            <w:pPr>
              <w:widowControl/>
              <w:spacing w:before="60" w:after="60"/>
              <w:jc w:val="left"/>
              <w:textAlignment w:val="center"/>
              <w:rPr>
                <w:sz w:val="18"/>
                <w:szCs w:val="18"/>
              </w:rPr>
            </w:pPr>
            <w:r>
              <w:rPr>
                <w:rFonts w:hint="eastAsia"/>
                <w:sz w:val="18"/>
                <w:szCs w:val="18"/>
              </w:rPr>
              <w:t>有效像素：全景≥4096 X 1800，球机≥1920 X 1080；</w:t>
            </w:r>
          </w:p>
          <w:p w14:paraId="2646F79F">
            <w:pPr>
              <w:widowControl/>
              <w:spacing w:before="60" w:after="60"/>
              <w:jc w:val="left"/>
              <w:textAlignment w:val="center"/>
              <w:rPr>
                <w:sz w:val="18"/>
                <w:szCs w:val="18"/>
              </w:rPr>
            </w:pPr>
            <w:r>
              <w:rPr>
                <w:rFonts w:hint="eastAsia"/>
                <w:sz w:val="18"/>
                <w:szCs w:val="18"/>
              </w:rPr>
              <w:t>全景镜头：支持180°显示图像；</w:t>
            </w:r>
          </w:p>
          <w:p w14:paraId="0B965460">
            <w:pPr>
              <w:widowControl/>
              <w:spacing w:before="60" w:after="60"/>
              <w:jc w:val="left"/>
              <w:textAlignment w:val="center"/>
              <w:rPr>
                <w:sz w:val="18"/>
                <w:szCs w:val="18"/>
              </w:rPr>
            </w:pPr>
            <w:r>
              <w:rPr>
                <w:rFonts w:hint="eastAsia"/>
                <w:sz w:val="18"/>
                <w:szCs w:val="18"/>
              </w:rPr>
              <w:t>球机变焦倍数：光学变焦≥30倍，数字变焦≥16倍；</w:t>
            </w:r>
          </w:p>
          <w:p w14:paraId="212F908A">
            <w:pPr>
              <w:widowControl/>
              <w:spacing w:before="60" w:after="60"/>
              <w:jc w:val="left"/>
              <w:textAlignment w:val="center"/>
              <w:rPr>
                <w:sz w:val="18"/>
                <w:szCs w:val="18"/>
              </w:rPr>
            </w:pPr>
            <w:r>
              <w:rPr>
                <w:rFonts w:hint="eastAsia"/>
                <w:sz w:val="18"/>
                <w:szCs w:val="18"/>
              </w:rPr>
              <w:t>信噪比：≥55dB；</w:t>
            </w:r>
          </w:p>
          <w:p w14:paraId="38C8B14F">
            <w:pPr>
              <w:widowControl/>
              <w:spacing w:before="60" w:after="60"/>
              <w:jc w:val="left"/>
              <w:textAlignment w:val="center"/>
              <w:rPr>
                <w:sz w:val="18"/>
                <w:szCs w:val="18"/>
              </w:rPr>
            </w:pPr>
            <w:r>
              <w:rPr>
                <w:rFonts w:hint="eastAsia"/>
                <w:sz w:val="18"/>
                <w:szCs w:val="18"/>
              </w:rPr>
              <w:t>红外补光距离：≥200m；</w:t>
            </w:r>
          </w:p>
          <w:p w14:paraId="0646FFDD">
            <w:pPr>
              <w:widowControl/>
              <w:spacing w:before="60" w:after="60"/>
              <w:jc w:val="left"/>
              <w:textAlignment w:val="center"/>
              <w:rPr>
                <w:sz w:val="18"/>
                <w:szCs w:val="18"/>
              </w:rPr>
            </w:pPr>
            <w:r>
              <w:rPr>
                <w:rFonts w:hint="eastAsia"/>
                <w:sz w:val="18"/>
                <w:szCs w:val="18"/>
              </w:rPr>
              <w:t>旋转角度：水平360°连续，垂直垂直-15°-90°（自动翻转）</w:t>
            </w:r>
          </w:p>
          <w:p w14:paraId="6CD284CB">
            <w:pPr>
              <w:widowControl/>
              <w:spacing w:before="60" w:after="60"/>
              <w:jc w:val="left"/>
              <w:textAlignment w:val="center"/>
              <w:rPr>
                <w:b/>
                <w:sz w:val="18"/>
                <w:szCs w:val="18"/>
              </w:rPr>
            </w:pPr>
            <w:r>
              <w:rPr>
                <w:rFonts w:hint="eastAsia"/>
                <w:sz w:val="18"/>
                <w:szCs w:val="18"/>
              </w:rPr>
              <w:t>旋转速度：水平≥220°/s,垂直≥180°/s；</w:t>
            </w:r>
          </w:p>
        </w:tc>
        <w:tc>
          <w:tcPr>
            <w:tcW w:w="2960" w:type="dxa"/>
            <w:vAlign w:val="center"/>
          </w:tcPr>
          <w:p w14:paraId="633D52D6"/>
        </w:tc>
      </w:tr>
      <w:tr w14:paraId="1F4AD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0405E6CE">
            <w:pPr>
              <w:pStyle w:val="46"/>
              <w:numPr>
                <w:ilvl w:val="0"/>
                <w:numId w:val="6"/>
              </w:numPr>
              <w:ind w:left="317" w:hanging="141" w:firstLineChars="0"/>
              <w:rPr>
                <w:sz w:val="18"/>
                <w:szCs w:val="18"/>
              </w:rPr>
            </w:pPr>
          </w:p>
        </w:tc>
        <w:tc>
          <w:tcPr>
            <w:tcW w:w="992" w:type="dxa"/>
            <w:vAlign w:val="center"/>
          </w:tcPr>
          <w:p w14:paraId="71741FDC">
            <w:pPr>
              <w:widowControl/>
              <w:spacing w:before="60" w:after="60"/>
              <w:jc w:val="center"/>
              <w:textAlignment w:val="center"/>
              <w:rPr>
                <w:sz w:val="18"/>
                <w:szCs w:val="18"/>
              </w:rPr>
            </w:pPr>
            <w:r>
              <w:rPr>
                <w:rFonts w:hint="eastAsia"/>
                <w:sz w:val="18"/>
                <w:szCs w:val="18"/>
              </w:rPr>
              <w:t>白光一体化云台</w:t>
            </w:r>
          </w:p>
        </w:tc>
        <w:tc>
          <w:tcPr>
            <w:tcW w:w="3703" w:type="dxa"/>
            <w:vAlign w:val="center"/>
          </w:tcPr>
          <w:p w14:paraId="0EF72F83">
            <w:pPr>
              <w:widowControl/>
              <w:spacing w:before="60" w:after="60"/>
              <w:jc w:val="left"/>
              <w:textAlignment w:val="center"/>
              <w:rPr>
                <w:sz w:val="18"/>
                <w:szCs w:val="18"/>
              </w:rPr>
            </w:pPr>
            <w:r>
              <w:rPr>
                <w:rFonts w:hint="eastAsia"/>
                <w:sz w:val="18"/>
                <w:szCs w:val="18"/>
              </w:rPr>
              <w:t>有效像素: 约240万像素</w:t>
            </w:r>
          </w:p>
          <w:p w14:paraId="3BE68058">
            <w:pPr>
              <w:widowControl/>
              <w:spacing w:before="60" w:after="60"/>
              <w:jc w:val="left"/>
              <w:textAlignment w:val="center"/>
              <w:rPr>
                <w:sz w:val="18"/>
                <w:szCs w:val="18"/>
              </w:rPr>
            </w:pPr>
            <w:r>
              <w:rPr>
                <w:rFonts w:hint="eastAsia"/>
                <w:sz w:val="18"/>
                <w:szCs w:val="18"/>
              </w:rPr>
              <w:t>焦距范围需满足该场景下的功能要求。</w:t>
            </w:r>
          </w:p>
          <w:p w14:paraId="14D67BF3">
            <w:pPr>
              <w:widowControl/>
              <w:spacing w:before="60" w:after="60"/>
              <w:jc w:val="left"/>
              <w:textAlignment w:val="center"/>
              <w:rPr>
                <w:sz w:val="18"/>
                <w:szCs w:val="18"/>
              </w:rPr>
            </w:pPr>
            <w:r>
              <w:rPr>
                <w:rFonts w:hint="eastAsia"/>
                <w:sz w:val="18"/>
                <w:szCs w:val="18"/>
              </w:rPr>
              <w:t>不小于20倍光学变倍。</w:t>
            </w:r>
          </w:p>
          <w:p w14:paraId="035DD3CD">
            <w:pPr>
              <w:widowControl/>
              <w:spacing w:before="60" w:after="60"/>
              <w:jc w:val="left"/>
              <w:textAlignment w:val="center"/>
              <w:rPr>
                <w:sz w:val="18"/>
                <w:szCs w:val="18"/>
              </w:rPr>
            </w:pPr>
            <w:r>
              <w:rPr>
                <w:rFonts w:hint="eastAsia"/>
                <w:sz w:val="18"/>
                <w:szCs w:val="18"/>
              </w:rPr>
              <w:t>支持南网PG协议和国标GB/T 28181协议。</w:t>
            </w:r>
          </w:p>
          <w:p w14:paraId="41930DA1">
            <w:pPr>
              <w:widowControl/>
              <w:spacing w:before="60" w:after="60"/>
              <w:jc w:val="left"/>
              <w:textAlignment w:val="center"/>
              <w:rPr>
                <w:sz w:val="18"/>
                <w:szCs w:val="18"/>
              </w:rPr>
            </w:pPr>
            <w:r>
              <w:rPr>
                <w:rFonts w:hint="eastAsia"/>
                <w:sz w:val="18"/>
                <w:szCs w:val="18"/>
              </w:rPr>
              <w:t>IP67防尘防水等级。</w:t>
            </w:r>
          </w:p>
          <w:p w14:paraId="3411766E">
            <w:pPr>
              <w:widowControl/>
              <w:spacing w:before="60" w:after="60"/>
              <w:jc w:val="left"/>
              <w:textAlignment w:val="center"/>
              <w:rPr>
                <w:rFonts w:hint="eastAsia"/>
                <w:sz w:val="18"/>
                <w:szCs w:val="18"/>
              </w:rPr>
            </w:pPr>
            <w:r>
              <w:rPr>
                <w:rFonts w:hint="eastAsia"/>
                <w:sz w:val="18"/>
                <w:szCs w:val="18"/>
              </w:rPr>
              <w:t>用于阀厅区域的设备必须满足在强电磁场干扰环境下使用的要求。产品需通过GB/T17626中严酷等级为4级的电磁兼容性检验：静电放电抗扰度试验、射频电磁场辐射抗扰度试验、电快速瞬变脉冲群抗扰度试验、浪涌（冲击）抗扰度试验、射频场感应的传导骚扰抗扰度、工频磁场的抗扰度试验。</w:t>
            </w:r>
          </w:p>
        </w:tc>
        <w:tc>
          <w:tcPr>
            <w:tcW w:w="2960" w:type="dxa"/>
            <w:vAlign w:val="center"/>
          </w:tcPr>
          <w:p w14:paraId="1CF933F4"/>
        </w:tc>
      </w:tr>
      <w:tr w14:paraId="3EAEC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143C659D">
            <w:pPr>
              <w:pStyle w:val="46"/>
              <w:numPr>
                <w:ilvl w:val="0"/>
                <w:numId w:val="6"/>
              </w:numPr>
              <w:ind w:left="317" w:hanging="141" w:firstLineChars="0"/>
              <w:rPr>
                <w:sz w:val="18"/>
                <w:szCs w:val="18"/>
              </w:rPr>
            </w:pPr>
          </w:p>
        </w:tc>
        <w:tc>
          <w:tcPr>
            <w:tcW w:w="992" w:type="dxa"/>
            <w:vAlign w:val="center"/>
          </w:tcPr>
          <w:p w14:paraId="6C130702">
            <w:pPr>
              <w:widowControl/>
              <w:spacing w:before="60" w:after="60"/>
              <w:jc w:val="center"/>
              <w:textAlignment w:val="center"/>
              <w:rPr>
                <w:sz w:val="18"/>
                <w:szCs w:val="18"/>
              </w:rPr>
            </w:pPr>
            <w:r>
              <w:rPr>
                <w:rFonts w:hint="eastAsia"/>
                <w:sz w:val="18"/>
                <w:szCs w:val="18"/>
              </w:rPr>
              <w:t>固定式图像采集终端（卡片机）</w:t>
            </w:r>
          </w:p>
        </w:tc>
        <w:tc>
          <w:tcPr>
            <w:tcW w:w="3703" w:type="dxa"/>
            <w:vAlign w:val="center"/>
          </w:tcPr>
          <w:p w14:paraId="3100C2CD">
            <w:pPr>
              <w:widowControl/>
              <w:spacing w:before="60" w:after="60"/>
              <w:jc w:val="left"/>
              <w:textAlignment w:val="center"/>
              <w:rPr>
                <w:sz w:val="18"/>
                <w:szCs w:val="18"/>
              </w:rPr>
            </w:pPr>
            <w:r>
              <w:rPr>
                <w:rFonts w:hint="eastAsia"/>
                <w:sz w:val="18"/>
                <w:szCs w:val="18"/>
              </w:rPr>
              <w:t>图像传感器尺寸：≥1/2.8 COMS</w:t>
            </w:r>
          </w:p>
          <w:p w14:paraId="053DFBAE">
            <w:pPr>
              <w:widowControl/>
              <w:spacing w:before="60" w:after="60"/>
              <w:jc w:val="left"/>
              <w:textAlignment w:val="center"/>
              <w:rPr>
                <w:sz w:val="18"/>
                <w:szCs w:val="18"/>
              </w:rPr>
            </w:pPr>
            <w:r>
              <w:rPr>
                <w:rFonts w:hint="eastAsia"/>
                <w:sz w:val="18"/>
                <w:szCs w:val="18"/>
              </w:rPr>
              <w:t>分辨率：≥1920×1080像素</w:t>
            </w:r>
          </w:p>
          <w:p w14:paraId="35ED0772">
            <w:pPr>
              <w:widowControl/>
              <w:spacing w:before="60" w:after="60"/>
              <w:jc w:val="left"/>
              <w:textAlignment w:val="center"/>
              <w:rPr>
                <w:sz w:val="18"/>
                <w:szCs w:val="18"/>
              </w:rPr>
            </w:pPr>
            <w:r>
              <w:rPr>
                <w:rFonts w:hint="eastAsia"/>
                <w:sz w:val="18"/>
                <w:szCs w:val="18"/>
              </w:rPr>
              <w:t>最低可用照度：彩色≤0.01Lx，黑白≤0.001Lx</w:t>
            </w:r>
          </w:p>
          <w:p w14:paraId="614373F5">
            <w:pPr>
              <w:widowControl/>
              <w:spacing w:before="60" w:after="60"/>
              <w:jc w:val="left"/>
              <w:textAlignment w:val="center"/>
              <w:rPr>
                <w:sz w:val="18"/>
                <w:szCs w:val="18"/>
              </w:rPr>
            </w:pPr>
            <w:r>
              <w:rPr>
                <w:rFonts w:hint="eastAsia"/>
                <w:sz w:val="18"/>
                <w:szCs w:val="18"/>
              </w:rPr>
              <w:t>照度适应范围(宽动态)：≥100dB</w:t>
            </w:r>
          </w:p>
          <w:p w14:paraId="73C46C25">
            <w:pPr>
              <w:widowControl/>
              <w:spacing w:before="60" w:after="60"/>
              <w:jc w:val="left"/>
              <w:textAlignment w:val="center"/>
              <w:rPr>
                <w:sz w:val="18"/>
                <w:szCs w:val="18"/>
              </w:rPr>
            </w:pPr>
            <w:r>
              <w:rPr>
                <w:rFonts w:hint="eastAsia"/>
                <w:sz w:val="18"/>
                <w:szCs w:val="18"/>
              </w:rPr>
              <w:t>色彩还原误差：△E≤15(6500K)，平均△E≤25(其他色温)</w:t>
            </w:r>
          </w:p>
          <w:p w14:paraId="5175C818">
            <w:pPr>
              <w:widowControl/>
              <w:spacing w:before="60" w:after="60"/>
              <w:jc w:val="left"/>
              <w:textAlignment w:val="center"/>
              <w:rPr>
                <w:sz w:val="18"/>
                <w:szCs w:val="18"/>
              </w:rPr>
            </w:pPr>
            <w:r>
              <w:rPr>
                <w:rFonts w:hint="eastAsia"/>
                <w:sz w:val="18"/>
                <w:szCs w:val="18"/>
              </w:rPr>
              <w:t>帧率：fps ≥25</w:t>
            </w:r>
          </w:p>
          <w:p w14:paraId="2E8A15EA">
            <w:pPr>
              <w:widowControl/>
              <w:spacing w:before="60" w:after="60"/>
              <w:jc w:val="left"/>
              <w:textAlignment w:val="center"/>
              <w:rPr>
                <w:sz w:val="18"/>
                <w:szCs w:val="18"/>
              </w:rPr>
            </w:pPr>
            <w:r>
              <w:rPr>
                <w:rFonts w:hint="eastAsia"/>
                <w:sz w:val="18"/>
                <w:szCs w:val="18"/>
              </w:rPr>
              <w:t>延时：≤100ms</w:t>
            </w:r>
          </w:p>
          <w:p w14:paraId="027779A5">
            <w:pPr>
              <w:widowControl/>
              <w:spacing w:before="60" w:after="60"/>
              <w:jc w:val="left"/>
              <w:textAlignment w:val="center"/>
              <w:rPr>
                <w:sz w:val="18"/>
                <w:szCs w:val="18"/>
              </w:rPr>
            </w:pPr>
            <w:r>
              <w:rPr>
                <w:rFonts w:hint="eastAsia"/>
                <w:sz w:val="18"/>
                <w:szCs w:val="18"/>
              </w:rPr>
              <w:t>镜头：2-5mm</w:t>
            </w:r>
          </w:p>
          <w:p w14:paraId="3C8254EE">
            <w:pPr>
              <w:widowControl/>
              <w:spacing w:before="60" w:after="60"/>
              <w:jc w:val="left"/>
              <w:textAlignment w:val="center"/>
              <w:rPr>
                <w:sz w:val="18"/>
                <w:szCs w:val="18"/>
              </w:rPr>
            </w:pPr>
            <w:r>
              <w:rPr>
                <w:rFonts w:hint="eastAsia"/>
                <w:sz w:val="18"/>
                <w:szCs w:val="18"/>
              </w:rPr>
              <w:t>环境温度：-20℃～+60℃</w:t>
            </w:r>
          </w:p>
          <w:p w14:paraId="6F010BD2">
            <w:pPr>
              <w:widowControl/>
              <w:spacing w:before="60" w:after="60"/>
              <w:jc w:val="left"/>
              <w:textAlignment w:val="center"/>
              <w:rPr>
                <w:sz w:val="18"/>
                <w:szCs w:val="18"/>
              </w:rPr>
            </w:pPr>
            <w:r>
              <w:rPr>
                <w:rFonts w:hint="eastAsia"/>
                <w:sz w:val="18"/>
                <w:szCs w:val="18"/>
              </w:rPr>
              <w:t>环境湿度：10%～95%RH，无冷凝</w:t>
            </w:r>
          </w:p>
          <w:p w14:paraId="162F7492">
            <w:pPr>
              <w:widowControl/>
              <w:spacing w:before="60" w:after="60"/>
              <w:jc w:val="left"/>
              <w:textAlignment w:val="center"/>
              <w:rPr>
                <w:sz w:val="18"/>
                <w:szCs w:val="18"/>
              </w:rPr>
            </w:pPr>
            <w:r>
              <w:rPr>
                <w:rFonts w:hint="eastAsia"/>
                <w:sz w:val="18"/>
                <w:szCs w:val="18"/>
              </w:rPr>
              <w:t>防护等级：≥IP66</w:t>
            </w:r>
          </w:p>
          <w:p w14:paraId="3597D37D">
            <w:pPr>
              <w:widowControl/>
              <w:spacing w:before="60" w:after="60"/>
              <w:jc w:val="left"/>
              <w:textAlignment w:val="center"/>
              <w:rPr>
                <w:sz w:val="18"/>
                <w:szCs w:val="18"/>
              </w:rPr>
            </w:pPr>
            <w:r>
              <w:rPr>
                <w:rFonts w:hint="eastAsia"/>
                <w:sz w:val="18"/>
                <w:szCs w:val="18"/>
              </w:rPr>
              <w:t>其它：1、可看清15cm～40cm距离的表盘指针及刻度；</w:t>
            </w:r>
          </w:p>
        </w:tc>
        <w:tc>
          <w:tcPr>
            <w:tcW w:w="2960" w:type="dxa"/>
            <w:vAlign w:val="center"/>
          </w:tcPr>
          <w:p w14:paraId="1C994312"/>
        </w:tc>
      </w:tr>
      <w:tr w14:paraId="429EC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5267BF2C">
            <w:pPr>
              <w:pStyle w:val="46"/>
              <w:numPr>
                <w:ilvl w:val="0"/>
                <w:numId w:val="6"/>
              </w:numPr>
              <w:ind w:left="317" w:hanging="141" w:firstLineChars="0"/>
              <w:rPr>
                <w:sz w:val="18"/>
                <w:szCs w:val="18"/>
              </w:rPr>
            </w:pPr>
          </w:p>
        </w:tc>
        <w:tc>
          <w:tcPr>
            <w:tcW w:w="992" w:type="dxa"/>
            <w:vAlign w:val="center"/>
          </w:tcPr>
          <w:p w14:paraId="711DEB4D">
            <w:pPr>
              <w:widowControl/>
              <w:spacing w:before="60" w:after="60"/>
              <w:jc w:val="center"/>
              <w:textAlignment w:val="center"/>
              <w:rPr>
                <w:sz w:val="18"/>
                <w:szCs w:val="18"/>
              </w:rPr>
            </w:pPr>
            <w:r>
              <w:rPr>
                <w:rFonts w:hint="eastAsia"/>
                <w:sz w:val="18"/>
                <w:szCs w:val="18"/>
              </w:rPr>
              <w:t>固定式图像采集终端（高清固定摄像头）</w:t>
            </w:r>
          </w:p>
        </w:tc>
        <w:tc>
          <w:tcPr>
            <w:tcW w:w="3703" w:type="dxa"/>
            <w:vAlign w:val="center"/>
          </w:tcPr>
          <w:p w14:paraId="23D8CD87">
            <w:pPr>
              <w:widowControl/>
              <w:spacing w:before="60" w:after="60"/>
              <w:jc w:val="left"/>
              <w:textAlignment w:val="center"/>
              <w:rPr>
                <w:sz w:val="18"/>
                <w:szCs w:val="18"/>
              </w:rPr>
            </w:pPr>
            <w:r>
              <w:rPr>
                <w:rFonts w:hint="eastAsia"/>
                <w:sz w:val="18"/>
                <w:szCs w:val="18"/>
              </w:rPr>
              <w:t>具有200万像素 1/2.7"  CMOS传感器。</w:t>
            </w:r>
          </w:p>
          <w:p w14:paraId="4F5184E4">
            <w:pPr>
              <w:widowControl/>
              <w:spacing w:before="60" w:after="60"/>
              <w:jc w:val="left"/>
              <w:textAlignment w:val="center"/>
              <w:rPr>
                <w:sz w:val="18"/>
                <w:szCs w:val="18"/>
              </w:rPr>
            </w:pPr>
            <w:r>
              <w:rPr>
                <w:rFonts w:hint="eastAsia"/>
                <w:sz w:val="18"/>
                <w:szCs w:val="18"/>
              </w:rPr>
              <w:t>焦距范围需满足该场景下的功能要求。</w:t>
            </w:r>
          </w:p>
          <w:p w14:paraId="0563F84C">
            <w:pPr>
              <w:widowControl/>
              <w:spacing w:before="60" w:after="60"/>
              <w:jc w:val="left"/>
              <w:textAlignment w:val="center"/>
              <w:rPr>
                <w:sz w:val="18"/>
                <w:szCs w:val="18"/>
              </w:rPr>
            </w:pPr>
            <w:r>
              <w:rPr>
                <w:rFonts w:hint="eastAsia"/>
                <w:sz w:val="18"/>
                <w:szCs w:val="18"/>
              </w:rPr>
              <w:t>支持南网PG协议和国标GB/T 28181协议。</w:t>
            </w:r>
          </w:p>
          <w:p w14:paraId="67392A70">
            <w:pPr>
              <w:widowControl/>
              <w:spacing w:before="60" w:after="60"/>
              <w:jc w:val="left"/>
              <w:textAlignment w:val="center"/>
              <w:rPr>
                <w:sz w:val="18"/>
                <w:szCs w:val="18"/>
              </w:rPr>
            </w:pPr>
            <w:r>
              <w:rPr>
                <w:rFonts w:hint="eastAsia"/>
                <w:sz w:val="18"/>
                <w:szCs w:val="18"/>
              </w:rPr>
              <w:t>支持三码流技术，支持主码流1920x1080@30fps、第三码流1920x1080@25fps和子码流704x576@25fps。</w:t>
            </w:r>
          </w:p>
          <w:p w14:paraId="171DF8AF">
            <w:pPr>
              <w:widowControl/>
              <w:spacing w:before="60" w:after="60"/>
              <w:jc w:val="left"/>
              <w:textAlignment w:val="center"/>
              <w:rPr>
                <w:sz w:val="18"/>
                <w:szCs w:val="18"/>
              </w:rPr>
            </w:pPr>
            <w:r>
              <w:rPr>
                <w:rFonts w:hint="eastAsia"/>
                <w:sz w:val="18"/>
                <w:szCs w:val="18"/>
              </w:rPr>
              <w:t>在1920x1080@25fps下，清晰度不小于1100TVL。</w:t>
            </w:r>
          </w:p>
          <w:p w14:paraId="73DA1DEC">
            <w:pPr>
              <w:widowControl/>
              <w:spacing w:before="60" w:after="60"/>
              <w:jc w:val="left"/>
              <w:textAlignment w:val="center"/>
              <w:rPr>
                <w:sz w:val="18"/>
                <w:szCs w:val="18"/>
              </w:rPr>
            </w:pPr>
            <w:r>
              <w:rPr>
                <w:rFonts w:hint="eastAsia"/>
                <w:sz w:val="18"/>
                <w:szCs w:val="18"/>
              </w:rPr>
              <w:t>IP67防尘防水等级。</w:t>
            </w:r>
          </w:p>
          <w:p w14:paraId="4AC170EE">
            <w:pPr>
              <w:widowControl/>
              <w:spacing w:before="60" w:after="60"/>
              <w:jc w:val="left"/>
              <w:textAlignment w:val="center"/>
              <w:rPr>
                <w:rFonts w:hint="eastAsia"/>
                <w:sz w:val="18"/>
                <w:szCs w:val="18"/>
              </w:rPr>
            </w:pPr>
            <w:r>
              <w:rPr>
                <w:rFonts w:hint="eastAsia"/>
                <w:sz w:val="18"/>
                <w:szCs w:val="18"/>
              </w:rPr>
              <w:t>用于阀厅区域的设备必须满足在强电磁场干扰环境下使用的要求。产品需通过GB/T17626中严酷等级为4级的电磁兼容性检验：静电放电抗扰度试验、射频电磁场辐射抗扰度试验、电快速瞬变脉冲群抗扰度试验、浪涌（冲击）抗扰度试验、射频场感应的传导骚扰抗扰度、工频磁场的抗扰度试验。</w:t>
            </w:r>
          </w:p>
        </w:tc>
        <w:tc>
          <w:tcPr>
            <w:tcW w:w="2960" w:type="dxa"/>
            <w:vAlign w:val="center"/>
          </w:tcPr>
          <w:p w14:paraId="7A163FE9"/>
        </w:tc>
      </w:tr>
      <w:tr w14:paraId="51515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60F59375">
            <w:pPr>
              <w:pStyle w:val="46"/>
              <w:numPr>
                <w:ilvl w:val="0"/>
                <w:numId w:val="6"/>
              </w:numPr>
              <w:ind w:left="317" w:hanging="141" w:firstLineChars="0"/>
              <w:rPr>
                <w:sz w:val="18"/>
                <w:szCs w:val="18"/>
              </w:rPr>
            </w:pPr>
          </w:p>
        </w:tc>
        <w:tc>
          <w:tcPr>
            <w:tcW w:w="992" w:type="dxa"/>
            <w:vAlign w:val="center"/>
          </w:tcPr>
          <w:p w14:paraId="4826D867">
            <w:pPr>
              <w:widowControl/>
              <w:spacing w:before="60" w:after="60"/>
              <w:jc w:val="center"/>
              <w:textAlignment w:val="center"/>
              <w:rPr>
                <w:sz w:val="18"/>
                <w:szCs w:val="18"/>
              </w:rPr>
            </w:pPr>
            <w:r>
              <w:rPr>
                <w:rFonts w:hint="eastAsia"/>
                <w:sz w:val="18"/>
                <w:szCs w:val="18"/>
              </w:rPr>
              <w:t>双光谱红外热成像球机</w:t>
            </w:r>
          </w:p>
        </w:tc>
        <w:tc>
          <w:tcPr>
            <w:tcW w:w="3703" w:type="dxa"/>
            <w:vAlign w:val="center"/>
          </w:tcPr>
          <w:p w14:paraId="1548CCA6">
            <w:pPr>
              <w:pStyle w:val="76"/>
              <w:spacing w:line="276" w:lineRule="auto"/>
              <w:jc w:val="left"/>
              <w:rPr>
                <w:rFonts w:eastAsiaTheme="minorEastAsia"/>
                <w:sz w:val="18"/>
                <w:szCs w:val="18"/>
              </w:rPr>
            </w:pPr>
            <w:r>
              <w:rPr>
                <w:rFonts w:hint="eastAsia" w:eastAsiaTheme="minorEastAsia"/>
                <w:sz w:val="18"/>
                <w:szCs w:val="18"/>
              </w:rPr>
              <w:t>红外热成像：</w:t>
            </w:r>
          </w:p>
          <w:p w14:paraId="24DFBEFE">
            <w:pPr>
              <w:pStyle w:val="76"/>
              <w:spacing w:line="276" w:lineRule="auto"/>
              <w:jc w:val="left"/>
              <w:rPr>
                <w:rFonts w:eastAsiaTheme="minorEastAsia"/>
                <w:sz w:val="18"/>
                <w:szCs w:val="18"/>
              </w:rPr>
            </w:pPr>
            <w:r>
              <w:rPr>
                <w:rFonts w:hint="eastAsia" w:eastAsiaTheme="minorEastAsia"/>
                <w:sz w:val="18"/>
                <w:szCs w:val="18"/>
              </w:rPr>
              <w:t>最大图像尺寸：640×512</w:t>
            </w:r>
          </w:p>
          <w:p w14:paraId="36AEE313">
            <w:pPr>
              <w:pStyle w:val="76"/>
              <w:spacing w:line="276" w:lineRule="auto"/>
              <w:jc w:val="left"/>
              <w:rPr>
                <w:rFonts w:eastAsiaTheme="minorEastAsia"/>
                <w:sz w:val="18"/>
                <w:szCs w:val="18"/>
              </w:rPr>
            </w:pPr>
            <w:r>
              <w:rPr>
                <w:rFonts w:hint="eastAsia" w:eastAsiaTheme="minorEastAsia"/>
                <w:sz w:val="18"/>
                <w:szCs w:val="18"/>
              </w:rPr>
              <w:t>焦距范围需满足该场景下的功能要求。</w:t>
            </w:r>
          </w:p>
          <w:p w14:paraId="6E4A30B5">
            <w:pPr>
              <w:pStyle w:val="76"/>
              <w:spacing w:line="276" w:lineRule="auto"/>
              <w:jc w:val="left"/>
              <w:rPr>
                <w:rFonts w:eastAsiaTheme="minorEastAsia"/>
                <w:sz w:val="18"/>
                <w:szCs w:val="18"/>
              </w:rPr>
            </w:pPr>
            <w:r>
              <w:rPr>
                <w:rFonts w:hint="eastAsia" w:eastAsiaTheme="minorEastAsia"/>
                <w:sz w:val="18"/>
                <w:szCs w:val="18"/>
              </w:rPr>
              <w:t>测温范围：-20℃-150℃，0℃-550℃</w:t>
            </w:r>
          </w:p>
          <w:p w14:paraId="2F3B83AB">
            <w:pPr>
              <w:pStyle w:val="76"/>
              <w:spacing w:line="276" w:lineRule="auto"/>
              <w:jc w:val="left"/>
              <w:rPr>
                <w:rFonts w:eastAsiaTheme="minorEastAsia"/>
                <w:sz w:val="18"/>
                <w:szCs w:val="18"/>
              </w:rPr>
            </w:pPr>
            <w:r>
              <w:rPr>
                <w:rFonts w:hint="eastAsia" w:eastAsiaTheme="minorEastAsia"/>
                <w:sz w:val="18"/>
                <w:szCs w:val="18"/>
              </w:rPr>
              <w:t>测温精度：±2度（或者量程的±2%）</w:t>
            </w:r>
          </w:p>
          <w:p w14:paraId="193710F6">
            <w:pPr>
              <w:pStyle w:val="76"/>
              <w:spacing w:line="276" w:lineRule="auto"/>
              <w:jc w:val="left"/>
              <w:rPr>
                <w:rFonts w:eastAsiaTheme="minorEastAsia"/>
                <w:sz w:val="18"/>
                <w:szCs w:val="18"/>
              </w:rPr>
            </w:pPr>
            <w:r>
              <w:rPr>
                <w:rFonts w:hint="eastAsia" w:eastAsiaTheme="minorEastAsia"/>
                <w:sz w:val="18"/>
                <w:szCs w:val="18"/>
              </w:rPr>
              <w:t>可见光：</w:t>
            </w:r>
          </w:p>
          <w:p w14:paraId="70927F09">
            <w:pPr>
              <w:pStyle w:val="76"/>
              <w:spacing w:line="276" w:lineRule="auto"/>
              <w:jc w:val="left"/>
              <w:rPr>
                <w:rFonts w:eastAsiaTheme="minorEastAsia"/>
                <w:sz w:val="18"/>
                <w:szCs w:val="18"/>
              </w:rPr>
            </w:pPr>
            <w:r>
              <w:rPr>
                <w:rFonts w:hint="eastAsia" w:eastAsiaTheme="minorEastAsia"/>
                <w:sz w:val="18"/>
                <w:szCs w:val="18"/>
              </w:rPr>
              <w:t>200万像素</w:t>
            </w:r>
          </w:p>
          <w:p w14:paraId="3F207C06">
            <w:pPr>
              <w:pStyle w:val="76"/>
              <w:spacing w:line="276" w:lineRule="auto"/>
              <w:jc w:val="left"/>
              <w:rPr>
                <w:rFonts w:eastAsiaTheme="minorEastAsia"/>
                <w:sz w:val="18"/>
                <w:szCs w:val="18"/>
              </w:rPr>
            </w:pPr>
            <w:r>
              <w:rPr>
                <w:rFonts w:hint="eastAsia" w:eastAsiaTheme="minorEastAsia"/>
                <w:sz w:val="18"/>
                <w:szCs w:val="18"/>
              </w:rPr>
              <w:t>焦距范围需满足该场景下的功能要求。</w:t>
            </w:r>
          </w:p>
          <w:p w14:paraId="5C42C07A">
            <w:pPr>
              <w:pStyle w:val="76"/>
              <w:spacing w:line="276" w:lineRule="auto"/>
              <w:jc w:val="left"/>
              <w:rPr>
                <w:rFonts w:eastAsiaTheme="minorEastAsia"/>
                <w:sz w:val="18"/>
                <w:szCs w:val="18"/>
              </w:rPr>
            </w:pPr>
            <w:r>
              <w:rPr>
                <w:rFonts w:hint="eastAsia" w:eastAsiaTheme="minorEastAsia"/>
                <w:sz w:val="18"/>
                <w:szCs w:val="18"/>
              </w:rPr>
              <w:t>支持南网PG协议和国标GB/T 28181协议。</w:t>
            </w:r>
          </w:p>
          <w:p w14:paraId="1145BAA4">
            <w:pPr>
              <w:pStyle w:val="76"/>
              <w:spacing w:line="276" w:lineRule="auto"/>
              <w:jc w:val="left"/>
              <w:rPr>
                <w:rFonts w:eastAsiaTheme="minorEastAsia"/>
                <w:sz w:val="18"/>
                <w:szCs w:val="18"/>
              </w:rPr>
            </w:pPr>
            <w:r>
              <w:rPr>
                <w:rFonts w:hint="eastAsia" w:eastAsiaTheme="minorEastAsia"/>
                <w:sz w:val="18"/>
                <w:szCs w:val="18"/>
              </w:rPr>
              <w:t>防护等级：IP67</w:t>
            </w:r>
          </w:p>
        </w:tc>
        <w:tc>
          <w:tcPr>
            <w:tcW w:w="2960" w:type="dxa"/>
            <w:vAlign w:val="center"/>
          </w:tcPr>
          <w:p w14:paraId="3B15E079"/>
        </w:tc>
      </w:tr>
      <w:tr w14:paraId="5ABA8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37E8420B">
            <w:pPr>
              <w:pStyle w:val="46"/>
              <w:numPr>
                <w:ilvl w:val="0"/>
                <w:numId w:val="6"/>
              </w:numPr>
              <w:ind w:left="317" w:hanging="141" w:firstLineChars="0"/>
              <w:rPr>
                <w:sz w:val="18"/>
                <w:szCs w:val="18"/>
              </w:rPr>
            </w:pPr>
          </w:p>
        </w:tc>
        <w:tc>
          <w:tcPr>
            <w:tcW w:w="992" w:type="dxa"/>
            <w:vAlign w:val="center"/>
          </w:tcPr>
          <w:p w14:paraId="643A6CF2">
            <w:pPr>
              <w:jc w:val="left"/>
              <w:rPr>
                <w:sz w:val="18"/>
                <w:szCs w:val="18"/>
              </w:rPr>
            </w:pPr>
            <w:r>
              <w:rPr>
                <w:rFonts w:hint="eastAsia"/>
                <w:sz w:val="18"/>
                <w:szCs w:val="18"/>
              </w:rPr>
              <w:t>红外网络球机</w:t>
            </w:r>
          </w:p>
        </w:tc>
        <w:tc>
          <w:tcPr>
            <w:tcW w:w="3703" w:type="dxa"/>
            <w:vAlign w:val="center"/>
          </w:tcPr>
          <w:p w14:paraId="30726EA9">
            <w:pPr>
              <w:widowControl/>
              <w:jc w:val="left"/>
              <w:textAlignment w:val="center"/>
              <w:rPr>
                <w:sz w:val="18"/>
                <w:szCs w:val="18"/>
              </w:rPr>
            </w:pPr>
            <w:r>
              <w:rPr>
                <w:rFonts w:hint="eastAsia"/>
                <w:sz w:val="18"/>
                <w:szCs w:val="18"/>
              </w:rPr>
              <w:t>有效像素：≥1920×1080光学变焦：≥30倍（室外型），≥20倍（室内型）；</w:t>
            </w:r>
          </w:p>
          <w:p w14:paraId="310C0EB4">
            <w:pPr>
              <w:widowControl/>
              <w:jc w:val="left"/>
              <w:textAlignment w:val="center"/>
              <w:rPr>
                <w:sz w:val="18"/>
                <w:szCs w:val="18"/>
              </w:rPr>
            </w:pPr>
            <w:r>
              <w:rPr>
                <w:rFonts w:hint="eastAsia"/>
                <w:sz w:val="18"/>
                <w:szCs w:val="18"/>
              </w:rPr>
              <w:t>数字变焦≥16倍（室外型），数字变焦≥12倍（室内型）；</w:t>
            </w:r>
          </w:p>
          <w:p w14:paraId="369CE9E8">
            <w:pPr>
              <w:widowControl/>
              <w:jc w:val="left"/>
              <w:textAlignment w:val="center"/>
              <w:rPr>
                <w:sz w:val="18"/>
                <w:szCs w:val="18"/>
              </w:rPr>
            </w:pPr>
            <w:r>
              <w:rPr>
                <w:rFonts w:hint="eastAsia"/>
                <w:sz w:val="18"/>
                <w:szCs w:val="18"/>
              </w:rPr>
              <w:t>最低照度：彩色0.005Lux@（50 IRE@F1.6)，黑白0.0005Lux（50 IRE@F1.6)；</w:t>
            </w:r>
          </w:p>
          <w:p w14:paraId="3CC62CF1">
            <w:pPr>
              <w:widowControl/>
              <w:jc w:val="left"/>
              <w:textAlignment w:val="center"/>
              <w:rPr>
                <w:sz w:val="18"/>
                <w:szCs w:val="18"/>
              </w:rPr>
            </w:pPr>
            <w:r>
              <w:rPr>
                <w:rFonts w:hint="eastAsia"/>
                <w:sz w:val="18"/>
                <w:szCs w:val="18"/>
              </w:rPr>
              <w:t>信噪比：≥50dB；</w:t>
            </w:r>
          </w:p>
          <w:p w14:paraId="19B6F437">
            <w:pPr>
              <w:widowControl/>
              <w:jc w:val="left"/>
              <w:textAlignment w:val="center"/>
              <w:rPr>
                <w:sz w:val="18"/>
                <w:szCs w:val="18"/>
              </w:rPr>
            </w:pPr>
            <w:r>
              <w:rPr>
                <w:rFonts w:hint="eastAsia"/>
                <w:sz w:val="18"/>
                <w:szCs w:val="18"/>
              </w:rPr>
              <w:t>红外补光距离：≥60m；</w:t>
            </w:r>
          </w:p>
          <w:p w14:paraId="1AC3B394">
            <w:pPr>
              <w:widowControl/>
              <w:jc w:val="left"/>
              <w:textAlignment w:val="center"/>
              <w:rPr>
                <w:sz w:val="18"/>
                <w:szCs w:val="18"/>
              </w:rPr>
            </w:pPr>
            <w:r>
              <w:rPr>
                <w:rFonts w:hint="eastAsia"/>
                <w:sz w:val="18"/>
                <w:szCs w:val="18"/>
              </w:rPr>
              <w:t>旋转角度：水平360°连续，垂直-15°-90°(自动翻转)；</w:t>
            </w:r>
          </w:p>
          <w:p w14:paraId="60CD072F">
            <w:pPr>
              <w:widowControl/>
              <w:jc w:val="left"/>
              <w:textAlignment w:val="center"/>
              <w:rPr>
                <w:sz w:val="18"/>
                <w:szCs w:val="18"/>
              </w:rPr>
            </w:pPr>
            <w:r>
              <w:rPr>
                <w:rFonts w:hint="eastAsia"/>
                <w:sz w:val="18"/>
                <w:szCs w:val="18"/>
              </w:rPr>
              <w:t>旋转速度：水平≥220°/s,垂直≥180°/s，速度5级以上可调；</w:t>
            </w:r>
          </w:p>
          <w:p w14:paraId="34998EC9">
            <w:pPr>
              <w:widowControl/>
              <w:jc w:val="left"/>
              <w:textAlignment w:val="center"/>
              <w:rPr>
                <w:sz w:val="18"/>
                <w:szCs w:val="18"/>
              </w:rPr>
            </w:pPr>
            <w:r>
              <w:rPr>
                <w:rFonts w:hint="eastAsia"/>
                <w:sz w:val="18"/>
                <w:szCs w:val="18"/>
              </w:rPr>
              <w:t>预置位：≥128个；</w:t>
            </w:r>
          </w:p>
          <w:p w14:paraId="02078067">
            <w:pPr>
              <w:widowControl/>
              <w:jc w:val="left"/>
              <w:textAlignment w:val="center"/>
              <w:rPr>
                <w:sz w:val="18"/>
                <w:szCs w:val="18"/>
              </w:rPr>
            </w:pPr>
            <w:r>
              <w:rPr>
                <w:rFonts w:hint="eastAsia"/>
                <w:sz w:val="18"/>
                <w:szCs w:val="18"/>
              </w:rPr>
              <w:t>隐私遮挡区域：≥4个；</w:t>
            </w:r>
          </w:p>
          <w:p w14:paraId="74D5988D">
            <w:pPr>
              <w:widowControl/>
              <w:spacing w:before="60" w:after="60"/>
              <w:jc w:val="left"/>
              <w:textAlignment w:val="center"/>
              <w:rPr>
                <w:rFonts w:hint="eastAsia"/>
                <w:sz w:val="18"/>
                <w:szCs w:val="18"/>
              </w:rPr>
            </w:pPr>
            <w:r>
              <w:rPr>
                <w:rFonts w:hint="eastAsia"/>
                <w:sz w:val="18"/>
                <w:szCs w:val="18"/>
              </w:rPr>
              <w:t>动态侦测：开/关可选，≥64个可设置区域。</w:t>
            </w:r>
          </w:p>
        </w:tc>
        <w:tc>
          <w:tcPr>
            <w:tcW w:w="2960" w:type="dxa"/>
            <w:vAlign w:val="center"/>
          </w:tcPr>
          <w:p w14:paraId="414A4EB6"/>
        </w:tc>
      </w:tr>
      <w:tr w14:paraId="39134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6850C45C">
            <w:pPr>
              <w:pStyle w:val="46"/>
              <w:numPr>
                <w:ilvl w:val="0"/>
                <w:numId w:val="6"/>
              </w:numPr>
              <w:ind w:left="317" w:hanging="141" w:firstLineChars="0"/>
              <w:rPr>
                <w:sz w:val="18"/>
                <w:szCs w:val="18"/>
              </w:rPr>
            </w:pPr>
          </w:p>
        </w:tc>
        <w:tc>
          <w:tcPr>
            <w:tcW w:w="992" w:type="dxa"/>
            <w:vAlign w:val="center"/>
          </w:tcPr>
          <w:p w14:paraId="7D89DB3B">
            <w:pPr>
              <w:jc w:val="left"/>
              <w:rPr>
                <w:rFonts w:hint="eastAsia"/>
                <w:sz w:val="18"/>
                <w:szCs w:val="18"/>
              </w:rPr>
            </w:pPr>
            <w:r>
              <w:rPr>
                <w:rFonts w:hint="eastAsia"/>
                <w:sz w:val="18"/>
                <w:szCs w:val="18"/>
              </w:rPr>
              <w:t>视频配电箱</w:t>
            </w:r>
          </w:p>
        </w:tc>
        <w:tc>
          <w:tcPr>
            <w:tcW w:w="3703" w:type="dxa"/>
            <w:vAlign w:val="center"/>
          </w:tcPr>
          <w:p w14:paraId="2CAC5029">
            <w:pPr>
              <w:widowControl/>
              <w:jc w:val="left"/>
              <w:textAlignment w:val="center"/>
              <w:rPr>
                <w:rFonts w:hint="eastAsia"/>
                <w:sz w:val="18"/>
                <w:szCs w:val="18"/>
              </w:rPr>
            </w:pPr>
            <w:r>
              <w:rPr>
                <w:rFonts w:hint="eastAsia" w:eastAsiaTheme="minorEastAsia"/>
                <w:sz w:val="18"/>
                <w:szCs w:val="18"/>
              </w:rPr>
              <w:t>含配套摄像机配电箱，不锈钢材质，内含空开、接线端子、熔纤盒、电源防雷器、光纤跳线等。</w:t>
            </w:r>
          </w:p>
        </w:tc>
        <w:tc>
          <w:tcPr>
            <w:tcW w:w="2960" w:type="dxa"/>
            <w:vAlign w:val="center"/>
          </w:tcPr>
          <w:p w14:paraId="698BF3C2"/>
        </w:tc>
      </w:tr>
      <w:tr w14:paraId="7957B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40AD6E42">
            <w:pPr>
              <w:pStyle w:val="46"/>
              <w:numPr>
                <w:ilvl w:val="0"/>
                <w:numId w:val="6"/>
              </w:numPr>
              <w:ind w:left="317" w:hanging="141" w:firstLineChars="0"/>
              <w:rPr>
                <w:sz w:val="18"/>
                <w:szCs w:val="18"/>
              </w:rPr>
            </w:pPr>
          </w:p>
        </w:tc>
        <w:tc>
          <w:tcPr>
            <w:tcW w:w="992" w:type="dxa"/>
            <w:vAlign w:val="center"/>
          </w:tcPr>
          <w:p w14:paraId="586BBC0E">
            <w:pPr>
              <w:widowControl/>
              <w:spacing w:before="60" w:after="60"/>
              <w:jc w:val="center"/>
              <w:textAlignment w:val="center"/>
              <w:rPr>
                <w:sz w:val="18"/>
                <w:szCs w:val="18"/>
              </w:rPr>
            </w:pPr>
            <w:r>
              <w:rPr>
                <w:rFonts w:hint="eastAsia"/>
                <w:sz w:val="18"/>
                <w:szCs w:val="18"/>
              </w:rPr>
              <w:t>PTN600接地在线监测系统</w:t>
            </w:r>
          </w:p>
        </w:tc>
        <w:tc>
          <w:tcPr>
            <w:tcW w:w="3703" w:type="dxa"/>
            <w:vAlign w:val="center"/>
          </w:tcPr>
          <w:p w14:paraId="381A5C5F">
            <w:pPr>
              <w:widowControl/>
              <w:spacing w:before="60" w:after="60"/>
              <w:jc w:val="left"/>
              <w:textAlignment w:val="center"/>
            </w:pPr>
            <w:r>
              <w:t>全站PTN600在二次屏集中一点与主接地网相连，通过新增N600小母线电流在线监测系统1套，实时掌握电压回路运行状况。N600小母线电流在线监测系统由1只高清度电流传感器及1套智能终端组成，输出DC 4-20mA数据至</w:t>
            </w:r>
            <w:r>
              <w:rPr>
                <w:rFonts w:hint="eastAsia"/>
              </w:rPr>
              <w:t>开入</w:t>
            </w:r>
            <w:r>
              <w:t>备用回路。</w:t>
            </w:r>
          </w:p>
          <w:p w14:paraId="665688F1">
            <w:pPr>
              <w:widowControl/>
              <w:spacing w:before="60" w:after="60"/>
              <w:jc w:val="left"/>
              <w:textAlignment w:val="center"/>
              <w:rPr>
                <w:sz w:val="18"/>
                <w:szCs w:val="18"/>
              </w:rPr>
            </w:pPr>
            <w:r>
              <w:rPr>
                <w:rFonts w:hint="eastAsia"/>
              </w:rPr>
              <w:t>本系统同时包含全站柔直变及220kV站用变铁芯夹件及接地电流监测，通过安装高精度电流传感器进行监测，信号传输并接入智能终端。</w:t>
            </w:r>
          </w:p>
        </w:tc>
        <w:tc>
          <w:tcPr>
            <w:tcW w:w="2960" w:type="dxa"/>
            <w:vAlign w:val="center"/>
          </w:tcPr>
          <w:p w14:paraId="20D07CFD"/>
        </w:tc>
      </w:tr>
      <w:tr w14:paraId="55A61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361DA934">
            <w:pPr>
              <w:pStyle w:val="46"/>
              <w:numPr>
                <w:ilvl w:val="0"/>
                <w:numId w:val="6"/>
              </w:numPr>
              <w:ind w:left="317" w:hanging="141" w:firstLineChars="0"/>
              <w:rPr>
                <w:sz w:val="18"/>
                <w:szCs w:val="18"/>
              </w:rPr>
            </w:pPr>
          </w:p>
        </w:tc>
        <w:tc>
          <w:tcPr>
            <w:tcW w:w="992" w:type="dxa"/>
            <w:vAlign w:val="center"/>
          </w:tcPr>
          <w:p w14:paraId="2AF0F8A6">
            <w:pPr>
              <w:pStyle w:val="76"/>
              <w:spacing w:line="360" w:lineRule="auto"/>
              <w:rPr>
                <w:sz w:val="18"/>
                <w:szCs w:val="18"/>
              </w:rPr>
            </w:pPr>
            <w:r>
              <w:rPr>
                <w:rFonts w:eastAsiaTheme="minorEastAsia"/>
                <w:sz w:val="18"/>
                <w:szCs w:val="18"/>
              </w:rPr>
              <w:t>微气象仪</w:t>
            </w:r>
          </w:p>
        </w:tc>
        <w:tc>
          <w:tcPr>
            <w:tcW w:w="3703" w:type="dxa"/>
            <w:vAlign w:val="center"/>
          </w:tcPr>
          <w:p w14:paraId="797FBA17">
            <w:pPr>
              <w:pStyle w:val="76"/>
              <w:spacing w:line="276" w:lineRule="auto"/>
              <w:jc w:val="left"/>
              <w:rPr>
                <w:rFonts w:eastAsiaTheme="minorEastAsia"/>
                <w:sz w:val="18"/>
                <w:szCs w:val="18"/>
              </w:rPr>
            </w:pPr>
            <w:r>
              <w:rPr>
                <w:rFonts w:hint="eastAsia" w:eastAsiaTheme="minorEastAsia"/>
                <w:sz w:val="18"/>
                <w:szCs w:val="18"/>
              </w:rPr>
              <w:t>六</w:t>
            </w:r>
            <w:r>
              <w:rPr>
                <w:rFonts w:eastAsiaTheme="minorEastAsia"/>
                <w:sz w:val="18"/>
                <w:szCs w:val="18"/>
              </w:rPr>
              <w:t>要素包含</w:t>
            </w:r>
            <w:r>
              <w:rPr>
                <w:rFonts w:hint="eastAsia" w:eastAsiaTheme="minorEastAsia"/>
                <w:sz w:val="18"/>
                <w:szCs w:val="18"/>
              </w:rPr>
              <w:t>环境温度、相对湿度、风速、风向、大气压力、光学雨量；</w:t>
            </w:r>
            <w:r>
              <w:rPr>
                <w:rFonts w:eastAsiaTheme="minorEastAsia"/>
                <w:sz w:val="18"/>
                <w:szCs w:val="18"/>
              </w:rPr>
              <w:t>免维护。</w:t>
            </w:r>
          </w:p>
        </w:tc>
        <w:tc>
          <w:tcPr>
            <w:tcW w:w="2960" w:type="dxa"/>
            <w:vAlign w:val="center"/>
          </w:tcPr>
          <w:p w14:paraId="3412F0A1"/>
        </w:tc>
      </w:tr>
      <w:tr w14:paraId="10FCD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5FAA8D1B">
            <w:pPr>
              <w:pStyle w:val="46"/>
              <w:numPr>
                <w:ilvl w:val="0"/>
                <w:numId w:val="6"/>
              </w:numPr>
              <w:ind w:left="317" w:hanging="141" w:firstLineChars="0"/>
              <w:rPr>
                <w:sz w:val="18"/>
                <w:szCs w:val="18"/>
              </w:rPr>
            </w:pPr>
          </w:p>
        </w:tc>
        <w:tc>
          <w:tcPr>
            <w:tcW w:w="992" w:type="dxa"/>
            <w:vAlign w:val="center"/>
          </w:tcPr>
          <w:p w14:paraId="2CF41E59">
            <w:pPr>
              <w:widowControl/>
              <w:spacing w:before="60" w:after="60"/>
              <w:jc w:val="center"/>
              <w:textAlignment w:val="center"/>
              <w:rPr>
                <w:sz w:val="18"/>
                <w:szCs w:val="18"/>
              </w:rPr>
            </w:pPr>
            <w:r>
              <w:rPr>
                <w:rFonts w:hint="eastAsia"/>
                <w:sz w:val="18"/>
                <w:szCs w:val="18"/>
              </w:rPr>
              <w:t>水浸传感器</w:t>
            </w:r>
          </w:p>
        </w:tc>
        <w:tc>
          <w:tcPr>
            <w:tcW w:w="3703" w:type="dxa"/>
            <w:vAlign w:val="center"/>
          </w:tcPr>
          <w:p w14:paraId="2C3D187F">
            <w:pPr>
              <w:widowControl/>
              <w:spacing w:before="60" w:after="60"/>
              <w:jc w:val="left"/>
              <w:textAlignment w:val="center"/>
              <w:rPr>
                <w:sz w:val="18"/>
                <w:szCs w:val="18"/>
              </w:rPr>
            </w:pPr>
            <w:r>
              <w:rPr>
                <w:sz w:val="18"/>
                <w:szCs w:val="18"/>
              </w:rPr>
              <w:t>供电电源：AC24V±10%</w:t>
            </w:r>
          </w:p>
          <w:p w14:paraId="3EE183A6">
            <w:pPr>
              <w:widowControl/>
              <w:spacing w:before="60" w:after="60"/>
              <w:jc w:val="left"/>
              <w:textAlignment w:val="center"/>
              <w:rPr>
                <w:sz w:val="18"/>
                <w:szCs w:val="18"/>
              </w:rPr>
            </w:pPr>
            <w:r>
              <w:rPr>
                <w:sz w:val="18"/>
                <w:szCs w:val="18"/>
              </w:rPr>
              <w:t>组成：电极片（或感应绳）、信号变换器</w:t>
            </w:r>
          </w:p>
          <w:p w14:paraId="6C844407">
            <w:pPr>
              <w:widowControl/>
              <w:spacing w:before="60" w:after="60"/>
              <w:jc w:val="left"/>
              <w:textAlignment w:val="center"/>
              <w:rPr>
                <w:sz w:val="18"/>
                <w:szCs w:val="18"/>
              </w:rPr>
            </w:pPr>
            <w:r>
              <w:rPr>
                <w:sz w:val="18"/>
                <w:szCs w:val="18"/>
              </w:rPr>
              <w:t>感应绳长度:可定制</w:t>
            </w:r>
          </w:p>
          <w:p w14:paraId="2932C0BF">
            <w:pPr>
              <w:widowControl/>
              <w:spacing w:before="60" w:after="60"/>
              <w:jc w:val="left"/>
              <w:textAlignment w:val="center"/>
              <w:rPr>
                <w:sz w:val="18"/>
                <w:szCs w:val="18"/>
              </w:rPr>
            </w:pPr>
            <w:r>
              <w:rPr>
                <w:sz w:val="18"/>
                <w:szCs w:val="18"/>
              </w:rPr>
              <w:t>输出形式：正常输出，灯为绿色，闪烁；告警输出，灯为红色，蜂鸣器报警</w:t>
            </w:r>
          </w:p>
          <w:p w14:paraId="1B193123">
            <w:pPr>
              <w:widowControl/>
              <w:spacing w:before="60" w:after="60"/>
              <w:jc w:val="left"/>
              <w:textAlignment w:val="center"/>
              <w:rPr>
                <w:sz w:val="18"/>
                <w:szCs w:val="18"/>
              </w:rPr>
            </w:pPr>
            <w:r>
              <w:rPr>
                <w:sz w:val="18"/>
                <w:szCs w:val="18"/>
              </w:rPr>
              <w:t>工作环境：-40~85</w:t>
            </w:r>
            <w:r>
              <w:rPr>
                <w:rFonts w:hint="eastAsia" w:ascii="宋体" w:hAnsi="宋体" w:cs="宋体"/>
                <w:sz w:val="18"/>
                <w:szCs w:val="18"/>
              </w:rPr>
              <w:t>℃</w:t>
            </w:r>
            <w:r>
              <w:rPr>
                <w:sz w:val="18"/>
                <w:szCs w:val="18"/>
              </w:rPr>
              <w:t>，10%RH~95%RH</w:t>
            </w:r>
          </w:p>
          <w:p w14:paraId="307EC5B6">
            <w:pPr>
              <w:widowControl/>
              <w:spacing w:before="60" w:after="60"/>
              <w:jc w:val="left"/>
              <w:textAlignment w:val="center"/>
              <w:rPr>
                <w:sz w:val="18"/>
                <w:szCs w:val="18"/>
              </w:rPr>
            </w:pPr>
            <w:r>
              <w:rPr>
                <w:sz w:val="18"/>
                <w:szCs w:val="18"/>
              </w:rPr>
              <w:t>误报率：&lt;100ppm</w:t>
            </w:r>
          </w:p>
        </w:tc>
        <w:tc>
          <w:tcPr>
            <w:tcW w:w="2960" w:type="dxa"/>
            <w:vAlign w:val="center"/>
          </w:tcPr>
          <w:p w14:paraId="0A73A13A"/>
        </w:tc>
      </w:tr>
      <w:tr w14:paraId="692EB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4E578133">
            <w:pPr>
              <w:pStyle w:val="46"/>
              <w:numPr>
                <w:ilvl w:val="0"/>
                <w:numId w:val="6"/>
              </w:numPr>
              <w:ind w:left="317" w:hanging="141" w:firstLineChars="0"/>
              <w:rPr>
                <w:sz w:val="18"/>
                <w:szCs w:val="18"/>
              </w:rPr>
            </w:pPr>
          </w:p>
        </w:tc>
        <w:tc>
          <w:tcPr>
            <w:tcW w:w="992" w:type="dxa"/>
            <w:vAlign w:val="center"/>
          </w:tcPr>
          <w:p w14:paraId="0E044DCF">
            <w:pPr>
              <w:widowControl/>
              <w:spacing w:before="60" w:after="60"/>
              <w:jc w:val="center"/>
              <w:textAlignment w:val="center"/>
              <w:rPr>
                <w:sz w:val="18"/>
                <w:szCs w:val="18"/>
              </w:rPr>
            </w:pPr>
            <w:r>
              <w:rPr>
                <w:rFonts w:hint="eastAsia"/>
                <w:sz w:val="18"/>
                <w:szCs w:val="18"/>
              </w:rPr>
              <w:t>温湿度传感器</w:t>
            </w:r>
          </w:p>
        </w:tc>
        <w:tc>
          <w:tcPr>
            <w:tcW w:w="3703" w:type="dxa"/>
            <w:vAlign w:val="center"/>
          </w:tcPr>
          <w:p w14:paraId="5629AE3A">
            <w:pPr>
              <w:widowControl/>
              <w:jc w:val="left"/>
              <w:rPr>
                <w:sz w:val="18"/>
                <w:szCs w:val="18"/>
              </w:rPr>
            </w:pPr>
            <w:r>
              <w:rPr>
                <w:rFonts w:hint="eastAsia"/>
                <w:sz w:val="18"/>
                <w:szCs w:val="18"/>
              </w:rPr>
              <w:t>温度测量范围： -20℃～+100℃；</w:t>
            </w:r>
          </w:p>
          <w:p w14:paraId="180DD179">
            <w:pPr>
              <w:widowControl/>
              <w:jc w:val="left"/>
              <w:rPr>
                <w:sz w:val="18"/>
                <w:szCs w:val="18"/>
              </w:rPr>
            </w:pPr>
            <w:r>
              <w:rPr>
                <w:rFonts w:hint="eastAsia"/>
                <w:sz w:val="18"/>
                <w:szCs w:val="18"/>
              </w:rPr>
              <w:t>温度测量精度：0.5℃；</w:t>
            </w:r>
          </w:p>
          <w:p w14:paraId="6529BFBC">
            <w:pPr>
              <w:widowControl/>
              <w:jc w:val="left"/>
              <w:rPr>
                <w:sz w:val="18"/>
                <w:szCs w:val="18"/>
              </w:rPr>
            </w:pPr>
            <w:r>
              <w:rPr>
                <w:rFonts w:hint="eastAsia"/>
                <w:sz w:val="18"/>
                <w:szCs w:val="18"/>
              </w:rPr>
              <w:t>湿度测量范围：0%～100%RH；</w:t>
            </w:r>
          </w:p>
          <w:p w14:paraId="0DAD72A8">
            <w:pPr>
              <w:widowControl/>
              <w:jc w:val="left"/>
              <w:rPr>
                <w:sz w:val="18"/>
                <w:szCs w:val="18"/>
              </w:rPr>
            </w:pPr>
            <w:r>
              <w:rPr>
                <w:rFonts w:hint="eastAsia"/>
                <w:sz w:val="18"/>
                <w:szCs w:val="18"/>
              </w:rPr>
              <w:t>湿度测量精度：±1%RH（25℃）；</w:t>
            </w:r>
          </w:p>
          <w:p w14:paraId="521444F6">
            <w:pPr>
              <w:widowControl/>
              <w:jc w:val="left"/>
              <w:rPr>
                <w:sz w:val="18"/>
                <w:szCs w:val="18"/>
              </w:rPr>
            </w:pPr>
            <w:r>
              <w:rPr>
                <w:rFonts w:hint="eastAsia"/>
                <w:sz w:val="18"/>
                <w:szCs w:val="18"/>
              </w:rPr>
              <w:t>响应时间：≤2s；</w:t>
            </w:r>
          </w:p>
          <w:p w14:paraId="6EA67877">
            <w:pPr>
              <w:widowControl/>
              <w:jc w:val="left"/>
              <w:rPr>
                <w:sz w:val="18"/>
                <w:szCs w:val="18"/>
              </w:rPr>
            </w:pPr>
            <w:r>
              <w:rPr>
                <w:rFonts w:hint="eastAsia"/>
                <w:sz w:val="18"/>
                <w:szCs w:val="18"/>
              </w:rPr>
              <w:t>数据传输距离：≥800m；</w:t>
            </w:r>
          </w:p>
          <w:p w14:paraId="03686B0A">
            <w:pPr>
              <w:widowControl/>
              <w:jc w:val="left"/>
              <w:rPr>
                <w:sz w:val="18"/>
                <w:szCs w:val="18"/>
              </w:rPr>
            </w:pPr>
            <w:r>
              <w:rPr>
                <w:rFonts w:hint="eastAsia"/>
                <w:sz w:val="18"/>
                <w:szCs w:val="18"/>
              </w:rPr>
              <w:t>环境温度： -20℃～+70℃；</w:t>
            </w:r>
          </w:p>
          <w:p w14:paraId="57DF1135">
            <w:pPr>
              <w:widowControl/>
              <w:jc w:val="left"/>
              <w:rPr>
                <w:sz w:val="18"/>
                <w:szCs w:val="18"/>
              </w:rPr>
            </w:pPr>
            <w:r>
              <w:rPr>
                <w:rFonts w:hint="eastAsia"/>
                <w:sz w:val="18"/>
                <w:szCs w:val="18"/>
              </w:rPr>
              <w:t>环境湿度：10%～95%RH ；</w:t>
            </w:r>
          </w:p>
          <w:p w14:paraId="23A40F66">
            <w:pPr>
              <w:widowControl/>
              <w:jc w:val="left"/>
              <w:rPr>
                <w:sz w:val="18"/>
                <w:szCs w:val="18"/>
              </w:rPr>
            </w:pPr>
            <w:r>
              <w:rPr>
                <w:rFonts w:hint="eastAsia"/>
                <w:sz w:val="18"/>
                <w:szCs w:val="18"/>
              </w:rPr>
              <w:t>输出方式：4 mA ~20mA或RS-485/232接口；</w:t>
            </w:r>
          </w:p>
        </w:tc>
        <w:tc>
          <w:tcPr>
            <w:tcW w:w="2960" w:type="dxa"/>
            <w:vAlign w:val="center"/>
          </w:tcPr>
          <w:p w14:paraId="67EF7A2B"/>
        </w:tc>
      </w:tr>
      <w:tr w14:paraId="234D3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3FB14321">
            <w:pPr>
              <w:pStyle w:val="46"/>
              <w:numPr>
                <w:ilvl w:val="0"/>
                <w:numId w:val="6"/>
              </w:numPr>
              <w:ind w:left="317" w:hanging="141" w:firstLineChars="0"/>
              <w:rPr>
                <w:sz w:val="18"/>
                <w:szCs w:val="18"/>
              </w:rPr>
            </w:pPr>
          </w:p>
        </w:tc>
        <w:tc>
          <w:tcPr>
            <w:tcW w:w="992" w:type="dxa"/>
            <w:vAlign w:val="center"/>
          </w:tcPr>
          <w:p w14:paraId="0E69260D">
            <w:pPr>
              <w:widowControl/>
              <w:spacing w:before="60" w:after="60"/>
              <w:jc w:val="center"/>
              <w:textAlignment w:val="center"/>
              <w:rPr>
                <w:sz w:val="18"/>
                <w:szCs w:val="18"/>
              </w:rPr>
            </w:pPr>
            <w:r>
              <w:rPr>
                <w:rFonts w:hint="eastAsia"/>
                <w:sz w:val="18"/>
                <w:szCs w:val="18"/>
              </w:rPr>
              <w:t>环境数据综合处理单元</w:t>
            </w:r>
          </w:p>
        </w:tc>
        <w:tc>
          <w:tcPr>
            <w:tcW w:w="3703" w:type="dxa"/>
            <w:vAlign w:val="center"/>
          </w:tcPr>
          <w:p w14:paraId="72E58B20">
            <w:pPr>
              <w:widowControl/>
              <w:jc w:val="left"/>
              <w:rPr>
                <w:sz w:val="18"/>
                <w:szCs w:val="18"/>
              </w:rPr>
            </w:pPr>
            <w:r>
              <w:rPr>
                <w:rFonts w:hint="eastAsia"/>
                <w:sz w:val="18"/>
                <w:szCs w:val="18"/>
              </w:rPr>
              <w:t>接入范围：环境采集单元负责环境信息接入；</w:t>
            </w:r>
          </w:p>
          <w:p w14:paraId="6B1732A0">
            <w:pPr>
              <w:widowControl/>
              <w:jc w:val="left"/>
              <w:rPr>
                <w:sz w:val="18"/>
                <w:szCs w:val="18"/>
              </w:rPr>
            </w:pPr>
            <w:r>
              <w:rPr>
                <w:rFonts w:hint="eastAsia"/>
                <w:sz w:val="18"/>
                <w:szCs w:val="18"/>
              </w:rPr>
              <w:t>接入能力：应具备16路4~20mA的标准电流环信号的接入能力，具备8路RS-485/232接口；</w:t>
            </w:r>
          </w:p>
          <w:p w14:paraId="73FE0275">
            <w:pPr>
              <w:widowControl/>
              <w:jc w:val="left"/>
              <w:rPr>
                <w:sz w:val="18"/>
                <w:szCs w:val="18"/>
              </w:rPr>
            </w:pPr>
            <w:r>
              <w:rPr>
                <w:rFonts w:hint="eastAsia"/>
                <w:sz w:val="18"/>
                <w:szCs w:val="18"/>
              </w:rPr>
              <w:t>接入方式：环境信息的采集应支持集中、分布等接入方式，可集中在RPU实现，可就地布置环境信息采集单元分布式实现，也可就近接入IP摄像机；</w:t>
            </w:r>
          </w:p>
          <w:p w14:paraId="72B136B7">
            <w:pPr>
              <w:widowControl/>
              <w:jc w:val="left"/>
              <w:rPr>
                <w:sz w:val="18"/>
                <w:szCs w:val="18"/>
              </w:rPr>
            </w:pPr>
            <w:r>
              <w:rPr>
                <w:rFonts w:hint="eastAsia"/>
                <w:sz w:val="18"/>
                <w:szCs w:val="18"/>
              </w:rPr>
              <w:t>接入协议：宜采用Modbus、BACnet、南方电网104规约或IEC61850 MMS协议等方式与就近安装的IP摄像机或RPU进行交互通信。</w:t>
            </w:r>
          </w:p>
        </w:tc>
        <w:tc>
          <w:tcPr>
            <w:tcW w:w="2960" w:type="dxa"/>
            <w:vAlign w:val="center"/>
          </w:tcPr>
          <w:p w14:paraId="138D0032"/>
        </w:tc>
      </w:tr>
      <w:tr w14:paraId="0C062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65871A74">
            <w:pPr>
              <w:pStyle w:val="46"/>
              <w:numPr>
                <w:ilvl w:val="0"/>
                <w:numId w:val="6"/>
              </w:numPr>
              <w:ind w:left="317" w:hanging="141" w:firstLineChars="0"/>
              <w:rPr>
                <w:sz w:val="18"/>
                <w:szCs w:val="18"/>
              </w:rPr>
            </w:pPr>
          </w:p>
        </w:tc>
        <w:tc>
          <w:tcPr>
            <w:tcW w:w="992" w:type="dxa"/>
            <w:vAlign w:val="center"/>
          </w:tcPr>
          <w:p w14:paraId="0B0EB686">
            <w:pPr>
              <w:widowControl/>
              <w:spacing w:before="60" w:after="60"/>
              <w:jc w:val="center"/>
              <w:textAlignment w:val="center"/>
              <w:rPr>
                <w:rFonts w:eastAsiaTheme="minorEastAsia"/>
                <w:sz w:val="18"/>
                <w:szCs w:val="18"/>
              </w:rPr>
            </w:pPr>
            <w:r>
              <w:rPr>
                <w:rFonts w:hint="eastAsia"/>
                <w:sz w:val="18"/>
                <w:szCs w:val="18"/>
              </w:rPr>
              <w:t>风机、水泵远方控制模块</w:t>
            </w:r>
          </w:p>
        </w:tc>
        <w:tc>
          <w:tcPr>
            <w:tcW w:w="3703" w:type="dxa"/>
            <w:vAlign w:val="center"/>
          </w:tcPr>
          <w:p w14:paraId="4E7CF91D">
            <w:pPr>
              <w:widowControl/>
              <w:jc w:val="left"/>
              <w:rPr>
                <w:sz w:val="18"/>
                <w:szCs w:val="18"/>
              </w:rPr>
            </w:pPr>
            <w:r>
              <w:rPr>
                <w:rFonts w:hint="eastAsia"/>
                <w:sz w:val="18"/>
                <w:szCs w:val="18"/>
              </w:rPr>
              <w:t>（1）风机控制器参数满足</w:t>
            </w:r>
          </w:p>
          <w:p w14:paraId="2B6D9D7C">
            <w:pPr>
              <w:widowControl/>
              <w:jc w:val="left"/>
              <w:rPr>
                <w:sz w:val="18"/>
                <w:szCs w:val="18"/>
              </w:rPr>
            </w:pPr>
            <w:r>
              <w:rPr>
                <w:rFonts w:hint="eastAsia"/>
                <w:sz w:val="18"/>
                <w:szCs w:val="18"/>
              </w:rPr>
              <w:t>a、支持远程控制；</w:t>
            </w:r>
          </w:p>
          <w:p w14:paraId="273F709F">
            <w:pPr>
              <w:widowControl/>
              <w:jc w:val="left"/>
              <w:rPr>
                <w:sz w:val="18"/>
                <w:szCs w:val="18"/>
              </w:rPr>
            </w:pPr>
            <w:r>
              <w:rPr>
                <w:rFonts w:hint="eastAsia"/>
                <w:sz w:val="18"/>
                <w:szCs w:val="18"/>
              </w:rPr>
              <w:t>b、适用于交流50Hz，额定电压220V/380V,额定电流16A的线路中[3000W(容性负载900W)]；</w:t>
            </w:r>
          </w:p>
          <w:p w14:paraId="47D03DAE">
            <w:pPr>
              <w:widowControl/>
              <w:jc w:val="left"/>
              <w:rPr>
                <w:sz w:val="18"/>
                <w:szCs w:val="18"/>
              </w:rPr>
            </w:pPr>
            <w:r>
              <w:rPr>
                <w:rFonts w:hint="eastAsia"/>
                <w:sz w:val="18"/>
                <w:szCs w:val="18"/>
              </w:rPr>
              <w:t>c、运行温度：-25℃~+65℃；</w:t>
            </w:r>
          </w:p>
          <w:p w14:paraId="1ADB25B6">
            <w:pPr>
              <w:widowControl/>
              <w:jc w:val="left"/>
              <w:rPr>
                <w:sz w:val="18"/>
                <w:szCs w:val="18"/>
              </w:rPr>
            </w:pPr>
            <w:r>
              <w:rPr>
                <w:rFonts w:hint="eastAsia"/>
                <w:sz w:val="18"/>
                <w:szCs w:val="18"/>
              </w:rPr>
              <w:t>d、额定短路分断能力：6kA；</w:t>
            </w:r>
          </w:p>
          <w:p w14:paraId="6442875D">
            <w:pPr>
              <w:widowControl/>
              <w:jc w:val="left"/>
              <w:rPr>
                <w:sz w:val="18"/>
                <w:szCs w:val="18"/>
              </w:rPr>
            </w:pPr>
            <w:r>
              <w:rPr>
                <w:rFonts w:hint="eastAsia"/>
                <w:sz w:val="18"/>
                <w:szCs w:val="18"/>
              </w:rPr>
              <w:t>e、额定冲击耐受电压：6kV；</w:t>
            </w:r>
          </w:p>
          <w:p w14:paraId="674FE93A">
            <w:pPr>
              <w:widowControl/>
              <w:jc w:val="left"/>
              <w:rPr>
                <w:sz w:val="18"/>
                <w:szCs w:val="18"/>
              </w:rPr>
            </w:pPr>
            <w:r>
              <w:rPr>
                <w:rFonts w:hint="eastAsia"/>
                <w:sz w:val="18"/>
                <w:szCs w:val="18"/>
              </w:rPr>
              <w:t>f、机械寿命：大于10000次；</w:t>
            </w:r>
          </w:p>
          <w:p w14:paraId="7FB34C3B">
            <w:pPr>
              <w:widowControl/>
              <w:jc w:val="left"/>
              <w:rPr>
                <w:sz w:val="18"/>
                <w:szCs w:val="18"/>
              </w:rPr>
            </w:pPr>
            <w:r>
              <w:rPr>
                <w:rFonts w:hint="eastAsia"/>
                <w:sz w:val="18"/>
                <w:szCs w:val="18"/>
              </w:rPr>
              <w:t>g、电气寿命：大于6000次；</w:t>
            </w:r>
          </w:p>
          <w:p w14:paraId="1C805E6F">
            <w:pPr>
              <w:widowControl/>
              <w:jc w:val="left"/>
              <w:rPr>
                <w:sz w:val="18"/>
                <w:szCs w:val="18"/>
              </w:rPr>
            </w:pPr>
            <w:r>
              <w:rPr>
                <w:rFonts w:hint="eastAsia"/>
                <w:sz w:val="18"/>
                <w:szCs w:val="18"/>
              </w:rPr>
              <w:t>h、最大接线能力：50mm²；</w:t>
            </w:r>
          </w:p>
          <w:p w14:paraId="03B38A7D">
            <w:pPr>
              <w:widowControl/>
              <w:jc w:val="left"/>
              <w:rPr>
                <w:sz w:val="18"/>
                <w:szCs w:val="18"/>
              </w:rPr>
            </w:pPr>
            <w:r>
              <w:rPr>
                <w:rFonts w:hint="eastAsia"/>
                <w:sz w:val="18"/>
                <w:szCs w:val="18"/>
              </w:rPr>
              <w:t>i、防护等级：IP20；</w:t>
            </w:r>
          </w:p>
          <w:p w14:paraId="19D49FCD">
            <w:pPr>
              <w:widowControl/>
              <w:jc w:val="left"/>
              <w:rPr>
                <w:sz w:val="18"/>
                <w:szCs w:val="18"/>
              </w:rPr>
            </w:pPr>
            <w:r>
              <w:rPr>
                <w:rFonts w:hint="eastAsia"/>
                <w:sz w:val="18"/>
                <w:szCs w:val="18"/>
              </w:rPr>
              <w:t>j、远程控制协议：RS485；</w:t>
            </w:r>
          </w:p>
          <w:p w14:paraId="0D032C67">
            <w:pPr>
              <w:widowControl/>
              <w:jc w:val="left"/>
              <w:rPr>
                <w:sz w:val="18"/>
                <w:szCs w:val="18"/>
              </w:rPr>
            </w:pPr>
            <w:r>
              <w:rPr>
                <w:rFonts w:hint="eastAsia"/>
                <w:sz w:val="18"/>
                <w:szCs w:val="18"/>
              </w:rPr>
              <w:t>（2）水泵控制器参数满足</w:t>
            </w:r>
          </w:p>
          <w:p w14:paraId="4DCB3659">
            <w:pPr>
              <w:widowControl/>
              <w:jc w:val="left"/>
              <w:rPr>
                <w:sz w:val="18"/>
                <w:szCs w:val="18"/>
              </w:rPr>
            </w:pPr>
            <w:r>
              <w:rPr>
                <w:rFonts w:hint="eastAsia"/>
                <w:sz w:val="18"/>
                <w:szCs w:val="18"/>
              </w:rPr>
              <w:t>a.电源： AC220V 50Hz，&lt;5W（此处为PUC200自身功耗，不含控制回路线圈功耗）；尺寸：212*140*60（mm）；</w:t>
            </w:r>
          </w:p>
          <w:p w14:paraId="07F0C063">
            <w:pPr>
              <w:widowControl/>
              <w:jc w:val="left"/>
              <w:rPr>
                <w:sz w:val="18"/>
                <w:szCs w:val="18"/>
              </w:rPr>
            </w:pPr>
            <w:r>
              <w:rPr>
                <w:rFonts w:hint="eastAsia"/>
                <w:sz w:val="18"/>
                <w:szCs w:val="18"/>
              </w:rPr>
              <w:t>b.工作环境：温度：-20℃~70℃；湿度：0~99%RH；模拟水位测量：量程：0~5米，接口：DC24V两线4~20mA 电流环；精度：1%；</w:t>
            </w:r>
          </w:p>
          <w:p w14:paraId="3A115774">
            <w:pPr>
              <w:widowControl/>
              <w:jc w:val="left"/>
              <w:rPr>
                <w:sz w:val="18"/>
                <w:szCs w:val="18"/>
              </w:rPr>
            </w:pPr>
            <w:r>
              <w:rPr>
                <w:rFonts w:hint="eastAsia"/>
                <w:sz w:val="18"/>
                <w:szCs w:val="18"/>
              </w:rPr>
              <w:t>浮球开关（浮球与水泵的联动需满足就地及远程控制）：</w:t>
            </w:r>
          </w:p>
          <w:p w14:paraId="4654CD8A">
            <w:pPr>
              <w:widowControl/>
              <w:jc w:val="left"/>
              <w:rPr>
                <w:sz w:val="18"/>
                <w:szCs w:val="18"/>
              </w:rPr>
            </w:pPr>
            <w:r>
              <w:rPr>
                <w:rFonts w:hint="eastAsia"/>
                <w:sz w:val="18"/>
                <w:szCs w:val="18"/>
              </w:rPr>
              <w:t>上浮球：常开触点输入（水位越限时触点闭合）下浮球：常开触点输入（水位越限时触点闭合）超警戒水位浮球：常开触点输入（水位越限时触点闭合），支持超警戒水位报警信息上送至主站系统显示；</w:t>
            </w:r>
          </w:p>
          <w:p w14:paraId="3E5DFD27">
            <w:pPr>
              <w:widowControl/>
              <w:jc w:val="left"/>
              <w:rPr>
                <w:sz w:val="18"/>
                <w:szCs w:val="18"/>
              </w:rPr>
            </w:pPr>
            <w:r>
              <w:rPr>
                <w:rFonts w:hint="eastAsia"/>
                <w:sz w:val="18"/>
                <w:szCs w:val="18"/>
              </w:rPr>
              <w:t>c.输出：常开触点输出；</w:t>
            </w:r>
          </w:p>
          <w:p w14:paraId="36C588BA">
            <w:pPr>
              <w:widowControl/>
              <w:jc w:val="left"/>
              <w:rPr>
                <w:sz w:val="18"/>
                <w:szCs w:val="18"/>
              </w:rPr>
            </w:pPr>
            <w:r>
              <w:rPr>
                <w:rFonts w:hint="eastAsia"/>
                <w:sz w:val="18"/>
                <w:szCs w:val="18"/>
              </w:rPr>
              <w:t>d.节点容量：5A  250VAC；</w:t>
            </w:r>
          </w:p>
          <w:p w14:paraId="531B0CF4">
            <w:pPr>
              <w:widowControl/>
              <w:jc w:val="left"/>
              <w:rPr>
                <w:sz w:val="18"/>
                <w:szCs w:val="18"/>
              </w:rPr>
            </w:pPr>
            <w:r>
              <w:rPr>
                <w:rFonts w:hint="eastAsia"/>
                <w:sz w:val="18"/>
                <w:szCs w:val="18"/>
              </w:rPr>
              <w:t>e.通信端口：两线RS485，9600bps；</w:t>
            </w:r>
          </w:p>
          <w:p w14:paraId="4FCCCE1F">
            <w:pPr>
              <w:widowControl/>
              <w:jc w:val="left"/>
              <w:rPr>
                <w:sz w:val="18"/>
                <w:szCs w:val="18"/>
              </w:rPr>
            </w:pPr>
            <w:r>
              <w:rPr>
                <w:rFonts w:hint="eastAsia"/>
                <w:sz w:val="18"/>
                <w:szCs w:val="18"/>
              </w:rPr>
              <w:t>f.通信地址：1~255；</w:t>
            </w:r>
          </w:p>
          <w:p w14:paraId="7F0C6129">
            <w:pPr>
              <w:widowControl/>
              <w:jc w:val="left"/>
              <w:rPr>
                <w:rFonts w:eastAsiaTheme="minorEastAsia"/>
                <w:sz w:val="18"/>
                <w:szCs w:val="18"/>
              </w:rPr>
            </w:pPr>
            <w:r>
              <w:rPr>
                <w:rFonts w:hint="eastAsia"/>
                <w:sz w:val="18"/>
                <w:szCs w:val="18"/>
              </w:rPr>
              <w:t>g.通信协议：RS 485。</w:t>
            </w:r>
            <w:r>
              <w:rPr>
                <w:rFonts w:hint="eastAsia"/>
                <w:sz w:val="18"/>
                <w:szCs w:val="18"/>
              </w:rPr>
              <w:br w:type="textWrapping"/>
            </w:r>
            <w:r>
              <w:rPr>
                <w:rFonts w:hint="eastAsia"/>
                <w:sz w:val="18"/>
                <w:szCs w:val="18"/>
              </w:rPr>
              <w:t>（3）安装范围需覆盖全站所有排污泵、风机的远方控制需求（不包含消防水泵、消防风机）</w:t>
            </w:r>
          </w:p>
        </w:tc>
        <w:tc>
          <w:tcPr>
            <w:tcW w:w="2960" w:type="dxa"/>
            <w:vAlign w:val="center"/>
          </w:tcPr>
          <w:p w14:paraId="18F8634C"/>
        </w:tc>
      </w:tr>
      <w:tr w14:paraId="48783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6356859F">
            <w:pPr>
              <w:pStyle w:val="46"/>
              <w:numPr>
                <w:ilvl w:val="0"/>
                <w:numId w:val="6"/>
              </w:numPr>
              <w:ind w:left="317" w:hanging="141" w:firstLineChars="0"/>
              <w:rPr>
                <w:sz w:val="18"/>
                <w:szCs w:val="18"/>
              </w:rPr>
            </w:pPr>
          </w:p>
        </w:tc>
        <w:tc>
          <w:tcPr>
            <w:tcW w:w="992" w:type="dxa"/>
            <w:vAlign w:val="center"/>
          </w:tcPr>
          <w:p w14:paraId="09511B3A">
            <w:pPr>
              <w:widowControl/>
              <w:spacing w:before="60" w:after="60"/>
              <w:jc w:val="center"/>
              <w:textAlignment w:val="center"/>
              <w:rPr>
                <w:rFonts w:eastAsiaTheme="minorEastAsia"/>
                <w:sz w:val="18"/>
                <w:szCs w:val="18"/>
              </w:rPr>
            </w:pPr>
            <w:r>
              <w:rPr>
                <w:rFonts w:hint="eastAsia"/>
                <w:sz w:val="18"/>
                <w:szCs w:val="18"/>
              </w:rPr>
              <w:t>电子巡查装置</w:t>
            </w:r>
          </w:p>
        </w:tc>
        <w:tc>
          <w:tcPr>
            <w:tcW w:w="3703" w:type="dxa"/>
            <w:vAlign w:val="center"/>
          </w:tcPr>
          <w:p w14:paraId="078E3A38">
            <w:pPr>
              <w:widowControl/>
              <w:jc w:val="left"/>
              <w:rPr>
                <w:rFonts w:eastAsiaTheme="minorEastAsia"/>
                <w:sz w:val="18"/>
                <w:szCs w:val="18"/>
              </w:rPr>
            </w:pPr>
            <w:r>
              <w:rPr>
                <w:rFonts w:hint="eastAsia"/>
                <w:sz w:val="18"/>
                <w:szCs w:val="18"/>
              </w:rPr>
              <w:t>满足站内三级反恐需求</w:t>
            </w:r>
          </w:p>
        </w:tc>
        <w:tc>
          <w:tcPr>
            <w:tcW w:w="2960" w:type="dxa"/>
            <w:vAlign w:val="center"/>
          </w:tcPr>
          <w:p w14:paraId="765C2805"/>
        </w:tc>
      </w:tr>
      <w:tr w14:paraId="5ABC3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46257F88">
            <w:pPr>
              <w:pStyle w:val="46"/>
              <w:numPr>
                <w:ilvl w:val="0"/>
                <w:numId w:val="6"/>
              </w:numPr>
              <w:ind w:left="317" w:hanging="141" w:firstLineChars="0"/>
              <w:rPr>
                <w:sz w:val="18"/>
                <w:szCs w:val="18"/>
              </w:rPr>
            </w:pPr>
          </w:p>
        </w:tc>
        <w:tc>
          <w:tcPr>
            <w:tcW w:w="992" w:type="dxa"/>
            <w:vAlign w:val="center"/>
          </w:tcPr>
          <w:p w14:paraId="279A5794">
            <w:pPr>
              <w:widowControl/>
              <w:spacing w:before="60" w:after="60"/>
              <w:jc w:val="center"/>
              <w:textAlignment w:val="center"/>
              <w:rPr>
                <w:sz w:val="18"/>
                <w:szCs w:val="18"/>
              </w:rPr>
            </w:pPr>
            <w:r>
              <w:rPr>
                <w:rFonts w:hint="eastAsia"/>
                <w:sz w:val="18"/>
                <w:szCs w:val="18"/>
              </w:rPr>
              <w:t>站端数据接口转发装置</w:t>
            </w:r>
          </w:p>
        </w:tc>
        <w:tc>
          <w:tcPr>
            <w:tcW w:w="3703" w:type="dxa"/>
            <w:vAlign w:val="center"/>
          </w:tcPr>
          <w:p w14:paraId="671E9411">
            <w:pPr>
              <w:widowControl/>
              <w:jc w:val="left"/>
              <w:rPr>
                <w:sz w:val="18"/>
                <w:szCs w:val="18"/>
              </w:rPr>
            </w:pPr>
            <w:r>
              <w:rPr>
                <w:rFonts w:hint="eastAsia"/>
                <w:sz w:val="18"/>
                <w:szCs w:val="18"/>
              </w:rPr>
              <w:t>I区数据单向采集装置</w:t>
            </w:r>
          </w:p>
          <w:p w14:paraId="1B233F12">
            <w:pPr>
              <w:widowControl/>
              <w:jc w:val="left"/>
              <w:rPr>
                <w:sz w:val="18"/>
                <w:szCs w:val="18"/>
              </w:rPr>
            </w:pPr>
            <w:r>
              <w:rPr>
                <w:rFonts w:hint="eastAsia"/>
                <w:sz w:val="18"/>
                <w:szCs w:val="18"/>
              </w:rPr>
              <w:t>2*CPU（国产化）（核心≧8，线程≧16，主频≧2.1GHz）</w:t>
            </w:r>
          </w:p>
          <w:p w14:paraId="323768C9">
            <w:pPr>
              <w:widowControl/>
              <w:jc w:val="left"/>
              <w:rPr>
                <w:sz w:val="18"/>
                <w:szCs w:val="18"/>
              </w:rPr>
            </w:pPr>
            <w:r>
              <w:rPr>
                <w:rFonts w:hint="eastAsia"/>
                <w:sz w:val="18"/>
                <w:szCs w:val="18"/>
              </w:rPr>
              <w:t>内存≧128G</w:t>
            </w:r>
          </w:p>
          <w:p w14:paraId="12BBB94B">
            <w:pPr>
              <w:widowControl/>
              <w:jc w:val="left"/>
              <w:rPr>
                <w:sz w:val="18"/>
                <w:szCs w:val="18"/>
              </w:rPr>
            </w:pPr>
            <w:r>
              <w:rPr>
                <w:rFonts w:hint="eastAsia"/>
                <w:sz w:val="18"/>
                <w:szCs w:val="18"/>
              </w:rPr>
              <w:t>双口千兆以太网</w:t>
            </w:r>
          </w:p>
          <w:p w14:paraId="46C036A8">
            <w:pPr>
              <w:widowControl/>
              <w:jc w:val="left"/>
              <w:rPr>
                <w:sz w:val="18"/>
                <w:szCs w:val="18"/>
              </w:rPr>
            </w:pPr>
            <w:r>
              <w:rPr>
                <w:rFonts w:hint="eastAsia"/>
                <w:sz w:val="18"/>
                <w:szCs w:val="18"/>
              </w:rPr>
              <w:t>满足电力标准机柜安装</w:t>
            </w:r>
          </w:p>
        </w:tc>
        <w:tc>
          <w:tcPr>
            <w:tcW w:w="2960" w:type="dxa"/>
            <w:vAlign w:val="center"/>
          </w:tcPr>
          <w:p w14:paraId="56FD9EA6"/>
        </w:tc>
      </w:tr>
      <w:tr w14:paraId="40253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02404E0B">
            <w:pPr>
              <w:pStyle w:val="46"/>
              <w:numPr>
                <w:ilvl w:val="0"/>
                <w:numId w:val="6"/>
              </w:numPr>
              <w:ind w:left="317" w:hanging="141" w:firstLineChars="0"/>
              <w:rPr>
                <w:sz w:val="18"/>
                <w:szCs w:val="18"/>
              </w:rPr>
            </w:pPr>
          </w:p>
        </w:tc>
        <w:tc>
          <w:tcPr>
            <w:tcW w:w="992" w:type="dxa"/>
            <w:vAlign w:val="center"/>
          </w:tcPr>
          <w:p w14:paraId="77FEAB1F">
            <w:pPr>
              <w:widowControl/>
              <w:spacing w:before="60" w:after="60"/>
              <w:jc w:val="center"/>
              <w:textAlignment w:val="center"/>
              <w:rPr>
                <w:sz w:val="18"/>
                <w:szCs w:val="18"/>
              </w:rPr>
            </w:pPr>
            <w:r>
              <w:rPr>
                <w:rFonts w:hint="eastAsia"/>
                <w:sz w:val="18"/>
                <w:szCs w:val="18"/>
              </w:rPr>
              <w:t>II区智能网关</w:t>
            </w:r>
          </w:p>
        </w:tc>
        <w:tc>
          <w:tcPr>
            <w:tcW w:w="3703" w:type="dxa"/>
            <w:vAlign w:val="center"/>
          </w:tcPr>
          <w:p w14:paraId="7FF7CE21">
            <w:pPr>
              <w:widowControl/>
              <w:jc w:val="left"/>
              <w:rPr>
                <w:rFonts w:eastAsiaTheme="minorEastAsia"/>
                <w:sz w:val="18"/>
                <w:szCs w:val="18"/>
              </w:rPr>
            </w:pPr>
            <w:r>
              <w:rPr>
                <w:rFonts w:hint="eastAsia" w:eastAsiaTheme="minorEastAsia"/>
                <w:sz w:val="18"/>
                <w:szCs w:val="18"/>
              </w:rPr>
              <w:t>支持按照《广东电网变电设备在线监测系统数据通信技术要求》采集变电设备在线监测数据，并以广东电网变电设备在线监测系统数据通信规约、MQTT等规约向省级生产监控指挥中心及全域物联网平台上层应用推送实时数据。</w:t>
            </w:r>
          </w:p>
          <w:p w14:paraId="60ABC14C">
            <w:pPr>
              <w:widowControl/>
              <w:jc w:val="left"/>
              <w:rPr>
                <w:rFonts w:eastAsiaTheme="minorEastAsia"/>
                <w:sz w:val="18"/>
                <w:szCs w:val="18"/>
              </w:rPr>
            </w:pPr>
            <w:r>
              <w:rPr>
                <w:rFonts w:hint="eastAsia" w:eastAsiaTheme="minorEastAsia"/>
                <w:sz w:val="18"/>
                <w:szCs w:val="18"/>
              </w:rPr>
              <w:t>CPU</w:t>
            </w:r>
            <w:r>
              <w:rPr>
                <w:rFonts w:hint="eastAsia" w:eastAsiaTheme="minorEastAsia"/>
                <w:sz w:val="18"/>
                <w:szCs w:val="18"/>
              </w:rPr>
              <w:tab/>
            </w:r>
            <w:r>
              <w:rPr>
                <w:rFonts w:hint="eastAsia" w:eastAsiaTheme="minorEastAsia"/>
                <w:sz w:val="18"/>
                <w:szCs w:val="18"/>
              </w:rPr>
              <w:t>主频≧  2.0GHz 核心数量≧  4 cores</w:t>
            </w:r>
          </w:p>
          <w:p w14:paraId="38235D72">
            <w:pPr>
              <w:widowControl/>
              <w:jc w:val="left"/>
              <w:rPr>
                <w:rFonts w:eastAsiaTheme="minorEastAsia"/>
                <w:sz w:val="18"/>
                <w:szCs w:val="18"/>
              </w:rPr>
            </w:pPr>
            <w:r>
              <w:rPr>
                <w:rFonts w:hint="eastAsia" w:eastAsiaTheme="minorEastAsia"/>
                <w:sz w:val="18"/>
                <w:szCs w:val="18"/>
              </w:rPr>
              <w:t>内存</w:t>
            </w:r>
            <w:r>
              <w:rPr>
                <w:rFonts w:hint="eastAsia" w:eastAsiaTheme="minorEastAsia"/>
                <w:sz w:val="18"/>
                <w:szCs w:val="18"/>
              </w:rPr>
              <w:tab/>
            </w:r>
            <w:r>
              <w:rPr>
                <w:rFonts w:hint="eastAsia" w:eastAsiaTheme="minorEastAsia"/>
                <w:sz w:val="18"/>
                <w:szCs w:val="18"/>
              </w:rPr>
              <w:t>≧  8G，DDR4</w:t>
            </w:r>
          </w:p>
          <w:p w14:paraId="3FC4BA47">
            <w:pPr>
              <w:widowControl/>
              <w:jc w:val="left"/>
              <w:rPr>
                <w:rFonts w:eastAsiaTheme="minorEastAsia"/>
                <w:sz w:val="18"/>
                <w:szCs w:val="18"/>
              </w:rPr>
            </w:pPr>
            <w:r>
              <w:rPr>
                <w:rFonts w:hint="eastAsia" w:eastAsiaTheme="minorEastAsia"/>
                <w:sz w:val="18"/>
                <w:szCs w:val="18"/>
              </w:rPr>
              <w:t>存储容量</w:t>
            </w:r>
            <w:r>
              <w:rPr>
                <w:rFonts w:hint="eastAsia" w:eastAsiaTheme="minorEastAsia"/>
                <w:sz w:val="18"/>
                <w:szCs w:val="18"/>
              </w:rPr>
              <w:tab/>
            </w:r>
            <w:r>
              <w:rPr>
                <w:rFonts w:hint="eastAsia" w:eastAsiaTheme="minorEastAsia"/>
                <w:sz w:val="18"/>
                <w:szCs w:val="18"/>
              </w:rPr>
              <w:t>≧  2个硬盘插槽，插槽支持的单块硬盘容量为256G及以上，硬盘总容量按需要配置，不少于512G</w:t>
            </w:r>
          </w:p>
          <w:p w14:paraId="792B03CA">
            <w:pPr>
              <w:widowControl/>
              <w:jc w:val="left"/>
              <w:rPr>
                <w:rFonts w:eastAsiaTheme="minorEastAsia"/>
                <w:sz w:val="18"/>
                <w:szCs w:val="18"/>
              </w:rPr>
            </w:pPr>
            <w:r>
              <w:rPr>
                <w:rFonts w:hint="eastAsia" w:eastAsiaTheme="minorEastAsia"/>
                <w:sz w:val="18"/>
                <w:szCs w:val="18"/>
              </w:rPr>
              <w:t>南向接入能力：部署在安全II区，支持全站在线监测装置接入</w:t>
            </w:r>
          </w:p>
          <w:p w14:paraId="023D5FF6">
            <w:pPr>
              <w:widowControl/>
              <w:jc w:val="left"/>
              <w:rPr>
                <w:rFonts w:eastAsiaTheme="minorEastAsia"/>
                <w:sz w:val="18"/>
                <w:szCs w:val="18"/>
              </w:rPr>
            </w:pPr>
            <w:r>
              <w:rPr>
                <w:rFonts w:hint="eastAsia" w:eastAsiaTheme="minorEastAsia"/>
                <w:sz w:val="18"/>
                <w:szCs w:val="18"/>
              </w:rPr>
              <w:t>数据集成能力</w:t>
            </w:r>
            <w:r>
              <w:rPr>
                <w:rFonts w:hint="eastAsia" w:eastAsiaTheme="minorEastAsia"/>
                <w:sz w:val="18"/>
                <w:szCs w:val="18"/>
              </w:rPr>
              <w:tab/>
            </w:r>
            <w:r>
              <w:rPr>
                <w:rFonts w:hint="eastAsia" w:eastAsiaTheme="minorEastAsia"/>
                <w:sz w:val="18"/>
                <w:szCs w:val="18"/>
              </w:rPr>
              <w:t>汇聚整合站端在线监测数据，提供数据查询和推送服务</w:t>
            </w:r>
          </w:p>
          <w:p w14:paraId="07971259">
            <w:pPr>
              <w:widowControl/>
              <w:jc w:val="left"/>
              <w:rPr>
                <w:rFonts w:eastAsiaTheme="minorEastAsia"/>
                <w:sz w:val="18"/>
                <w:szCs w:val="18"/>
              </w:rPr>
            </w:pPr>
            <w:r>
              <w:rPr>
                <w:rFonts w:hint="eastAsia" w:eastAsiaTheme="minorEastAsia"/>
                <w:sz w:val="18"/>
                <w:szCs w:val="18"/>
              </w:rPr>
              <w:t>北向接入能力：根据需要接入全域物联网平台、省级生产监控指挥中心、广州局试研院/电科院等在线监测主站。</w:t>
            </w:r>
          </w:p>
          <w:p w14:paraId="49A799BB">
            <w:pPr>
              <w:widowControl/>
              <w:jc w:val="left"/>
              <w:rPr>
                <w:sz w:val="18"/>
                <w:szCs w:val="18"/>
              </w:rPr>
            </w:pPr>
            <w:r>
              <w:rPr>
                <w:rFonts w:hint="eastAsia" w:eastAsiaTheme="minorEastAsia"/>
                <w:sz w:val="18"/>
                <w:szCs w:val="18"/>
              </w:rPr>
              <w:t>接口运维：包含接口管理 、接口监控、接口鉴权认证、接口在线帮助。</w:t>
            </w:r>
          </w:p>
        </w:tc>
        <w:tc>
          <w:tcPr>
            <w:tcW w:w="2960" w:type="dxa"/>
            <w:vAlign w:val="center"/>
          </w:tcPr>
          <w:p w14:paraId="3DC16AA6"/>
        </w:tc>
      </w:tr>
      <w:tr w14:paraId="0978D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6EBDB1E8">
            <w:pPr>
              <w:pStyle w:val="46"/>
              <w:numPr>
                <w:ilvl w:val="0"/>
                <w:numId w:val="6"/>
              </w:numPr>
              <w:ind w:left="317" w:hanging="141" w:firstLineChars="0"/>
              <w:rPr>
                <w:sz w:val="18"/>
                <w:szCs w:val="18"/>
              </w:rPr>
            </w:pPr>
          </w:p>
        </w:tc>
        <w:tc>
          <w:tcPr>
            <w:tcW w:w="992" w:type="dxa"/>
            <w:vAlign w:val="center"/>
          </w:tcPr>
          <w:p w14:paraId="7E5EF65B">
            <w:pPr>
              <w:pStyle w:val="76"/>
              <w:spacing w:line="360" w:lineRule="auto"/>
              <w:rPr>
                <w:sz w:val="18"/>
                <w:szCs w:val="18"/>
              </w:rPr>
            </w:pPr>
            <w:r>
              <w:rPr>
                <w:rFonts w:hint="eastAsia" w:eastAsiaTheme="minorEastAsia"/>
                <w:sz w:val="18"/>
                <w:szCs w:val="18"/>
              </w:rPr>
              <w:t>III区智能网关</w:t>
            </w:r>
          </w:p>
        </w:tc>
        <w:tc>
          <w:tcPr>
            <w:tcW w:w="3703" w:type="dxa"/>
            <w:vAlign w:val="center"/>
          </w:tcPr>
          <w:p w14:paraId="1C1E029D">
            <w:pPr>
              <w:widowControl/>
              <w:jc w:val="left"/>
              <w:rPr>
                <w:rFonts w:hint="eastAsia" w:eastAsiaTheme="minorEastAsia"/>
                <w:sz w:val="18"/>
                <w:szCs w:val="18"/>
                <w:lang w:val="en-US" w:eastAsia="zh-CN"/>
              </w:rPr>
            </w:pPr>
            <w:r>
              <w:rPr>
                <w:rFonts w:hint="eastAsia" w:eastAsiaTheme="minorEastAsia"/>
                <w:sz w:val="18"/>
                <w:szCs w:val="18"/>
                <w:lang w:val="en-US" w:eastAsia="zh-CN"/>
              </w:rPr>
              <w:t>CPU：国产安全可控ARM架构芯片，CPU主频≥2.4GHz，核数≥16核。需通过中国信息安全测评中心的安全可靠测评，其结果可在中国信息安全测评中心（https://www.itsec.gov.cn）查询；</w:t>
            </w:r>
          </w:p>
          <w:p w14:paraId="4656F6C2">
            <w:pPr>
              <w:widowControl/>
              <w:jc w:val="left"/>
              <w:rPr>
                <w:rFonts w:hint="eastAsia" w:eastAsiaTheme="minorEastAsia"/>
                <w:sz w:val="18"/>
                <w:szCs w:val="18"/>
                <w:lang w:val="en-US" w:eastAsia="zh-CN"/>
              </w:rPr>
            </w:pPr>
            <w:r>
              <w:rPr>
                <w:rFonts w:hint="eastAsia" w:eastAsiaTheme="minorEastAsia"/>
                <w:sz w:val="18"/>
                <w:szCs w:val="18"/>
                <w:lang w:val="en-US" w:eastAsia="zh-CN"/>
              </w:rPr>
              <w:t>内存：≥128GB DDR5；支持不少于2个DDR5内存卡槽；</w:t>
            </w:r>
          </w:p>
          <w:p w14:paraId="33D0C03E">
            <w:pPr>
              <w:widowControl/>
              <w:jc w:val="left"/>
              <w:rPr>
                <w:rFonts w:hint="eastAsia" w:eastAsiaTheme="minorEastAsia"/>
                <w:sz w:val="18"/>
                <w:szCs w:val="18"/>
                <w:lang w:val="en-US" w:eastAsia="zh-CN"/>
              </w:rPr>
            </w:pPr>
            <w:r>
              <w:rPr>
                <w:rFonts w:hint="eastAsia" w:eastAsiaTheme="minorEastAsia"/>
                <w:sz w:val="18"/>
                <w:szCs w:val="18"/>
                <w:lang w:val="en-US" w:eastAsia="zh-CN"/>
              </w:rPr>
              <w:t>硬盘：≥400G SSD 固态存储，≥4TB 机械存储；</w:t>
            </w:r>
          </w:p>
          <w:p w14:paraId="6A6BDFB7">
            <w:pPr>
              <w:widowControl/>
              <w:jc w:val="left"/>
              <w:rPr>
                <w:rFonts w:hint="eastAsia" w:eastAsiaTheme="minorEastAsia"/>
                <w:sz w:val="18"/>
                <w:szCs w:val="18"/>
                <w:lang w:val="en-US" w:eastAsia="zh-CN"/>
              </w:rPr>
            </w:pPr>
            <w:r>
              <w:rPr>
                <w:rFonts w:hint="eastAsia" w:eastAsiaTheme="minorEastAsia"/>
                <w:sz w:val="18"/>
                <w:szCs w:val="18"/>
                <w:lang w:val="en-US" w:eastAsia="zh-CN"/>
              </w:rPr>
              <w:t>网口：≥4个RJ45千兆网口；</w:t>
            </w:r>
          </w:p>
          <w:p w14:paraId="1E66C121">
            <w:pPr>
              <w:widowControl/>
              <w:jc w:val="left"/>
              <w:rPr>
                <w:rFonts w:hint="eastAsia" w:eastAsiaTheme="minorEastAsia"/>
                <w:sz w:val="18"/>
                <w:szCs w:val="18"/>
                <w:lang w:val="en-US" w:eastAsia="zh-CN"/>
              </w:rPr>
            </w:pPr>
            <w:r>
              <w:rPr>
                <w:rFonts w:hint="eastAsia" w:eastAsiaTheme="minorEastAsia"/>
                <w:sz w:val="18"/>
                <w:szCs w:val="18"/>
                <w:lang w:val="en-US" w:eastAsia="zh-CN"/>
              </w:rPr>
              <w:t>设备尺寸：设备可安装于19英寸标准机柜，设备</w:t>
            </w:r>
            <w:r>
              <w:rPr>
                <w:rFonts w:hint="eastAsia" w:eastAsiaTheme="minorEastAsia"/>
                <w:sz w:val="18"/>
                <w:szCs w:val="18"/>
                <w:lang w:val="en-US" w:eastAsia="zh-CN"/>
              </w:rPr>
              <w:t>深度不超过480mm，支持电力标准尺寸机柜2260*800*600mm安装；</w:t>
            </w:r>
          </w:p>
          <w:p w14:paraId="4200BE1F">
            <w:pPr>
              <w:widowControl/>
              <w:jc w:val="left"/>
              <w:rPr>
                <w:rFonts w:hint="eastAsia" w:eastAsiaTheme="minorEastAsia"/>
                <w:sz w:val="18"/>
                <w:szCs w:val="18"/>
                <w:lang w:val="en-US" w:eastAsia="zh-CN"/>
              </w:rPr>
            </w:pPr>
            <w:r>
              <w:rPr>
                <w:rFonts w:hint="eastAsia" w:eastAsiaTheme="minorEastAsia"/>
                <w:sz w:val="18"/>
                <w:szCs w:val="18"/>
                <w:lang w:val="en-US" w:eastAsia="zh-CN"/>
              </w:rPr>
              <w:t>AI算力：应预留不少于150TOPS INT8 AI推理卡位置，应根据项目实际需求选配合适算力的AI推理卡；</w:t>
            </w:r>
          </w:p>
          <w:p w14:paraId="2BE3DCBD">
            <w:pPr>
              <w:widowControl/>
              <w:jc w:val="left"/>
              <w:rPr>
                <w:rFonts w:hint="eastAsia" w:eastAsiaTheme="minorEastAsia"/>
                <w:sz w:val="18"/>
                <w:szCs w:val="18"/>
                <w:lang w:val="en-US" w:eastAsia="zh-CN"/>
              </w:rPr>
            </w:pPr>
            <w:r>
              <w:rPr>
                <w:rFonts w:hint="eastAsia" w:eastAsiaTheme="minorEastAsia"/>
                <w:sz w:val="18"/>
                <w:szCs w:val="18"/>
                <w:lang w:val="en-US" w:eastAsia="zh-CN"/>
              </w:rPr>
              <w:t>近场运维：内置近场运维硬件模块，与运维终端身份双向校验，实现近场运维、通信加密、身份标识。</w:t>
            </w:r>
          </w:p>
          <w:p w14:paraId="07EBA206">
            <w:pPr>
              <w:widowControl/>
              <w:jc w:val="left"/>
              <w:rPr>
                <w:rFonts w:hint="eastAsia" w:eastAsiaTheme="minorEastAsia"/>
                <w:sz w:val="18"/>
                <w:szCs w:val="18"/>
                <w:lang w:val="en-US" w:eastAsia="zh-CN"/>
              </w:rPr>
            </w:pPr>
            <w:r>
              <w:rPr>
                <w:rFonts w:hint="eastAsia" w:eastAsiaTheme="minorEastAsia"/>
                <w:sz w:val="18"/>
                <w:szCs w:val="18"/>
                <w:lang w:val="en-US" w:eastAsia="zh-CN"/>
              </w:rPr>
              <w:t>操作系统：采用电鸿物联操作系统；</w:t>
            </w:r>
          </w:p>
          <w:p w14:paraId="52D20050">
            <w:pPr>
              <w:widowControl/>
              <w:jc w:val="left"/>
              <w:rPr>
                <w:rFonts w:hint="default" w:eastAsiaTheme="minorEastAsia"/>
                <w:sz w:val="18"/>
                <w:szCs w:val="18"/>
                <w:lang w:val="en-US" w:eastAsia="zh-CN"/>
              </w:rPr>
            </w:pPr>
            <w:r>
              <w:rPr>
                <w:rFonts w:hint="eastAsia" w:eastAsiaTheme="minorEastAsia"/>
                <w:sz w:val="18"/>
                <w:szCs w:val="18"/>
                <w:lang w:val="en-US" w:eastAsia="zh-CN"/>
              </w:rPr>
              <w:t>数据库：应使用安全可控的国产数据库，并通过中国信息安全测评</w:t>
            </w:r>
            <w:bookmarkStart w:id="292" w:name="_GoBack"/>
            <w:bookmarkEnd w:id="292"/>
            <w:r>
              <w:rPr>
                <w:rFonts w:hint="eastAsia" w:eastAsiaTheme="minorEastAsia"/>
                <w:sz w:val="18"/>
                <w:szCs w:val="18"/>
                <w:lang w:val="en-US" w:eastAsia="zh-CN"/>
              </w:rPr>
              <w:t>中心的安全可靠测评，其结果可在中国信息安全测评中心（https://www.itsec.gov.cn）查询。</w:t>
            </w:r>
          </w:p>
        </w:tc>
        <w:tc>
          <w:tcPr>
            <w:tcW w:w="2960" w:type="dxa"/>
            <w:vAlign w:val="center"/>
          </w:tcPr>
          <w:p w14:paraId="47725D7A"/>
        </w:tc>
      </w:tr>
      <w:tr w14:paraId="28B58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7CDCECD7">
            <w:pPr>
              <w:pStyle w:val="46"/>
              <w:numPr>
                <w:ilvl w:val="0"/>
                <w:numId w:val="6"/>
              </w:numPr>
              <w:ind w:left="317" w:hanging="141" w:firstLineChars="0"/>
              <w:rPr>
                <w:sz w:val="18"/>
                <w:szCs w:val="18"/>
              </w:rPr>
            </w:pPr>
          </w:p>
        </w:tc>
        <w:tc>
          <w:tcPr>
            <w:tcW w:w="992" w:type="dxa"/>
            <w:vAlign w:val="center"/>
          </w:tcPr>
          <w:p w14:paraId="427700BF">
            <w:pPr>
              <w:pStyle w:val="76"/>
              <w:spacing w:line="360" w:lineRule="auto"/>
              <w:rPr>
                <w:sz w:val="18"/>
                <w:szCs w:val="18"/>
              </w:rPr>
            </w:pPr>
            <w:r>
              <w:rPr>
                <w:rFonts w:hint="eastAsia" w:eastAsiaTheme="minorEastAsia"/>
                <w:sz w:val="18"/>
                <w:szCs w:val="18"/>
              </w:rPr>
              <w:t>规约转换装置</w:t>
            </w:r>
          </w:p>
        </w:tc>
        <w:tc>
          <w:tcPr>
            <w:tcW w:w="3703" w:type="dxa"/>
            <w:vAlign w:val="center"/>
          </w:tcPr>
          <w:p w14:paraId="6A6476FA">
            <w:pPr>
              <w:widowControl/>
              <w:jc w:val="left"/>
              <w:rPr>
                <w:rFonts w:eastAsiaTheme="minorEastAsia"/>
                <w:sz w:val="18"/>
                <w:szCs w:val="18"/>
              </w:rPr>
            </w:pPr>
            <w:r>
              <w:rPr>
                <w:rFonts w:hint="eastAsia" w:eastAsiaTheme="minorEastAsia"/>
                <w:sz w:val="18"/>
                <w:szCs w:val="18"/>
              </w:rPr>
              <w:t>消防等接入数据规约转换</w:t>
            </w:r>
          </w:p>
          <w:p w14:paraId="2B353BA0">
            <w:pPr>
              <w:widowControl/>
              <w:jc w:val="left"/>
              <w:rPr>
                <w:sz w:val="18"/>
                <w:szCs w:val="18"/>
              </w:rPr>
            </w:pPr>
            <w:r>
              <w:rPr>
                <w:rFonts w:hint="eastAsia" w:eastAsiaTheme="minorEastAsia"/>
                <w:sz w:val="18"/>
                <w:szCs w:val="18"/>
              </w:rPr>
              <w:t>1U标准机箱，Cortex-A5处理器，2路光纤接口，2个网口，8路RS485接口，1路RS232，16路开入，8路开出，12路4-20mA直流小信号，36路反馈输入及动作输入，支持校时</w:t>
            </w:r>
          </w:p>
        </w:tc>
        <w:tc>
          <w:tcPr>
            <w:tcW w:w="2960" w:type="dxa"/>
            <w:vAlign w:val="center"/>
          </w:tcPr>
          <w:p w14:paraId="343D24B2"/>
        </w:tc>
      </w:tr>
      <w:tr w14:paraId="6DCB0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56885FFA">
            <w:pPr>
              <w:pStyle w:val="46"/>
              <w:numPr>
                <w:ilvl w:val="0"/>
                <w:numId w:val="6"/>
              </w:numPr>
              <w:ind w:left="317" w:hanging="141" w:firstLineChars="0"/>
              <w:rPr>
                <w:sz w:val="18"/>
                <w:szCs w:val="18"/>
              </w:rPr>
            </w:pPr>
          </w:p>
        </w:tc>
        <w:tc>
          <w:tcPr>
            <w:tcW w:w="992" w:type="dxa"/>
            <w:vAlign w:val="center"/>
          </w:tcPr>
          <w:p w14:paraId="48D6F082">
            <w:pPr>
              <w:widowControl/>
              <w:spacing w:before="60" w:after="60"/>
              <w:jc w:val="center"/>
              <w:textAlignment w:val="center"/>
              <w:rPr>
                <w:rFonts w:eastAsiaTheme="minorEastAsia"/>
                <w:sz w:val="18"/>
                <w:szCs w:val="18"/>
              </w:rPr>
            </w:pPr>
            <w:r>
              <w:rPr>
                <w:rFonts w:hint="eastAsia"/>
                <w:sz w:val="18"/>
                <w:szCs w:val="18"/>
              </w:rPr>
              <w:t>信号传输单元（含路由器、核心交换机等）</w:t>
            </w:r>
          </w:p>
        </w:tc>
        <w:tc>
          <w:tcPr>
            <w:tcW w:w="3703" w:type="dxa"/>
            <w:vAlign w:val="center"/>
          </w:tcPr>
          <w:p w14:paraId="226FCA64">
            <w:pPr>
              <w:widowControl/>
              <w:jc w:val="left"/>
              <w:rPr>
                <w:sz w:val="18"/>
                <w:szCs w:val="18"/>
              </w:rPr>
            </w:pPr>
            <w:r>
              <w:rPr>
                <w:rFonts w:hint="eastAsia"/>
                <w:sz w:val="18"/>
                <w:szCs w:val="18"/>
              </w:rPr>
              <w:t>信号传输所需路由器；</w:t>
            </w:r>
          </w:p>
          <w:p w14:paraId="78D57A46">
            <w:pPr>
              <w:widowControl/>
              <w:jc w:val="left"/>
              <w:rPr>
                <w:rFonts w:eastAsiaTheme="minorEastAsia"/>
                <w:sz w:val="18"/>
                <w:szCs w:val="18"/>
              </w:rPr>
            </w:pPr>
            <w:r>
              <w:rPr>
                <w:rFonts w:hint="eastAsia"/>
                <w:sz w:val="18"/>
                <w:szCs w:val="18"/>
              </w:rPr>
              <w:t>2台千兆24电口交换机以及1台三层电口交换机</w:t>
            </w:r>
          </w:p>
        </w:tc>
        <w:tc>
          <w:tcPr>
            <w:tcW w:w="2960" w:type="dxa"/>
            <w:vAlign w:val="center"/>
          </w:tcPr>
          <w:p w14:paraId="30C0C179"/>
        </w:tc>
      </w:tr>
      <w:tr w14:paraId="3E264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2069BF7A">
            <w:pPr>
              <w:pStyle w:val="46"/>
              <w:numPr>
                <w:ilvl w:val="0"/>
                <w:numId w:val="6"/>
              </w:numPr>
              <w:ind w:left="317" w:hanging="141" w:firstLineChars="0"/>
              <w:rPr>
                <w:sz w:val="18"/>
                <w:szCs w:val="18"/>
              </w:rPr>
            </w:pPr>
          </w:p>
        </w:tc>
        <w:tc>
          <w:tcPr>
            <w:tcW w:w="992" w:type="dxa"/>
            <w:vAlign w:val="center"/>
          </w:tcPr>
          <w:p w14:paraId="13E37760">
            <w:pPr>
              <w:widowControl/>
              <w:spacing w:before="60" w:after="60"/>
              <w:jc w:val="center"/>
              <w:textAlignment w:val="center"/>
              <w:rPr>
                <w:sz w:val="18"/>
                <w:szCs w:val="18"/>
              </w:rPr>
            </w:pPr>
            <w:r>
              <w:rPr>
                <w:rFonts w:hint="eastAsia"/>
                <w:sz w:val="18"/>
                <w:szCs w:val="18"/>
              </w:rPr>
              <w:t>防火墙</w:t>
            </w:r>
          </w:p>
        </w:tc>
        <w:tc>
          <w:tcPr>
            <w:tcW w:w="3703" w:type="dxa"/>
            <w:vAlign w:val="center"/>
          </w:tcPr>
          <w:p w14:paraId="18675F5D">
            <w:pPr>
              <w:widowControl/>
              <w:jc w:val="left"/>
              <w:rPr>
                <w:sz w:val="18"/>
                <w:szCs w:val="18"/>
              </w:rPr>
            </w:pPr>
            <w:r>
              <w:rPr>
                <w:rFonts w:hint="eastAsia"/>
                <w:sz w:val="18"/>
                <w:szCs w:val="18"/>
              </w:rPr>
              <w:t>网络端口：4个10/100/1000M自适应电口,≧2个千兆光口,1U机架式；</w:t>
            </w:r>
          </w:p>
          <w:p w14:paraId="50C2432F">
            <w:pPr>
              <w:widowControl/>
              <w:jc w:val="left"/>
              <w:rPr>
                <w:sz w:val="18"/>
                <w:szCs w:val="18"/>
              </w:rPr>
            </w:pPr>
            <w:r>
              <w:rPr>
                <w:rFonts w:hint="eastAsia"/>
                <w:sz w:val="18"/>
                <w:szCs w:val="18"/>
              </w:rPr>
              <w:t>安全标准：Portal认证 RADIUS认HWTACACS认证 PKI/CA(X.509格式)认证 域认证 CHAP验证 PAP验证</w:t>
            </w:r>
          </w:p>
          <w:p w14:paraId="47983817">
            <w:pPr>
              <w:widowControl/>
              <w:jc w:val="left"/>
              <w:rPr>
                <w:rFonts w:eastAsiaTheme="minorEastAsia"/>
                <w:sz w:val="18"/>
                <w:szCs w:val="18"/>
              </w:rPr>
            </w:pPr>
            <w:r>
              <w:rPr>
                <w:rFonts w:hint="eastAsia"/>
                <w:sz w:val="18"/>
                <w:szCs w:val="18"/>
              </w:rPr>
              <w:t>管理：支持基于命令行的配置管理 支持Web方式进行远程配置管理 支持H3C SSM安全管理中心进行设备管理 支持标准网管 SNMPv3，并且兼容SNMP v1和v2 智能安全策略</w:t>
            </w:r>
          </w:p>
        </w:tc>
        <w:tc>
          <w:tcPr>
            <w:tcW w:w="2960" w:type="dxa"/>
            <w:vAlign w:val="center"/>
          </w:tcPr>
          <w:p w14:paraId="35ACB847"/>
        </w:tc>
      </w:tr>
      <w:tr w14:paraId="2ECAD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5C9F3CD4">
            <w:pPr>
              <w:pStyle w:val="46"/>
              <w:numPr>
                <w:ilvl w:val="0"/>
                <w:numId w:val="6"/>
              </w:numPr>
              <w:ind w:left="317" w:hanging="141" w:firstLineChars="0"/>
              <w:rPr>
                <w:sz w:val="18"/>
                <w:szCs w:val="18"/>
              </w:rPr>
            </w:pPr>
          </w:p>
        </w:tc>
        <w:tc>
          <w:tcPr>
            <w:tcW w:w="992" w:type="dxa"/>
            <w:vAlign w:val="center"/>
          </w:tcPr>
          <w:p w14:paraId="63ED76EB">
            <w:pPr>
              <w:widowControl/>
              <w:spacing w:before="60" w:after="60"/>
              <w:jc w:val="center"/>
              <w:textAlignment w:val="center"/>
              <w:rPr>
                <w:sz w:val="18"/>
                <w:szCs w:val="18"/>
              </w:rPr>
            </w:pPr>
            <w:r>
              <w:rPr>
                <w:rFonts w:hint="eastAsia"/>
                <w:sz w:val="18"/>
                <w:szCs w:val="18"/>
              </w:rPr>
              <w:t>正向隔离装置</w:t>
            </w:r>
          </w:p>
        </w:tc>
        <w:tc>
          <w:tcPr>
            <w:tcW w:w="3703" w:type="dxa"/>
            <w:vAlign w:val="center"/>
          </w:tcPr>
          <w:p w14:paraId="27F7F069">
            <w:pPr>
              <w:widowControl/>
              <w:jc w:val="left"/>
              <w:rPr>
                <w:sz w:val="18"/>
                <w:szCs w:val="18"/>
              </w:rPr>
            </w:pPr>
            <w:r>
              <w:rPr>
                <w:rFonts w:hint="eastAsia"/>
                <w:sz w:val="18"/>
                <w:szCs w:val="18"/>
              </w:rPr>
              <w:t>正向型网络隔离装置(百兆)电源:AC220V,2U整层宽机箱,机架安装, 网络端口: 内网口 2个 外网口 2个；</w:t>
            </w:r>
          </w:p>
        </w:tc>
        <w:tc>
          <w:tcPr>
            <w:tcW w:w="2960" w:type="dxa"/>
            <w:vAlign w:val="center"/>
          </w:tcPr>
          <w:p w14:paraId="6DCEBA38"/>
        </w:tc>
      </w:tr>
      <w:tr w14:paraId="1CB6F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372E1AFA">
            <w:pPr>
              <w:pStyle w:val="46"/>
              <w:numPr>
                <w:ilvl w:val="0"/>
                <w:numId w:val="6"/>
              </w:numPr>
              <w:ind w:left="317" w:hanging="141" w:firstLineChars="0"/>
              <w:rPr>
                <w:sz w:val="18"/>
                <w:szCs w:val="18"/>
              </w:rPr>
            </w:pPr>
          </w:p>
        </w:tc>
        <w:tc>
          <w:tcPr>
            <w:tcW w:w="992" w:type="dxa"/>
            <w:vAlign w:val="center"/>
          </w:tcPr>
          <w:p w14:paraId="7ECDA98E">
            <w:pPr>
              <w:widowControl/>
              <w:spacing w:before="60" w:after="60"/>
              <w:jc w:val="center"/>
              <w:textAlignment w:val="center"/>
              <w:rPr>
                <w:sz w:val="18"/>
                <w:szCs w:val="18"/>
              </w:rPr>
            </w:pPr>
            <w:r>
              <w:rPr>
                <w:rFonts w:hint="eastAsia"/>
                <w:sz w:val="18"/>
                <w:szCs w:val="18"/>
              </w:rPr>
              <w:t>反向隔离装置</w:t>
            </w:r>
          </w:p>
        </w:tc>
        <w:tc>
          <w:tcPr>
            <w:tcW w:w="3703" w:type="dxa"/>
            <w:vAlign w:val="center"/>
          </w:tcPr>
          <w:p w14:paraId="32EEAA64">
            <w:pPr>
              <w:widowControl/>
              <w:jc w:val="left"/>
              <w:rPr>
                <w:sz w:val="18"/>
                <w:szCs w:val="18"/>
              </w:rPr>
            </w:pPr>
            <w:r>
              <w:rPr>
                <w:rFonts w:hint="eastAsia"/>
                <w:sz w:val="18"/>
                <w:szCs w:val="18"/>
              </w:rPr>
              <w:t>反向型网络隔离装置(百兆)电源:AC220V,2U整层宽机箱,机架安装, 网络端口: 内网口 2个 外网口 2个；</w:t>
            </w:r>
          </w:p>
        </w:tc>
        <w:tc>
          <w:tcPr>
            <w:tcW w:w="2960" w:type="dxa"/>
            <w:vAlign w:val="center"/>
          </w:tcPr>
          <w:p w14:paraId="090B9746"/>
        </w:tc>
      </w:tr>
      <w:tr w14:paraId="06F5D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330ECEF3">
            <w:pPr>
              <w:pStyle w:val="46"/>
              <w:numPr>
                <w:ilvl w:val="0"/>
                <w:numId w:val="6"/>
              </w:numPr>
              <w:ind w:left="317" w:hanging="141" w:firstLineChars="0"/>
              <w:rPr>
                <w:sz w:val="18"/>
                <w:szCs w:val="18"/>
              </w:rPr>
            </w:pPr>
          </w:p>
        </w:tc>
        <w:tc>
          <w:tcPr>
            <w:tcW w:w="992" w:type="dxa"/>
            <w:vAlign w:val="center"/>
          </w:tcPr>
          <w:p w14:paraId="5A260A01">
            <w:pPr>
              <w:pStyle w:val="76"/>
              <w:spacing w:line="360" w:lineRule="auto"/>
              <w:rPr>
                <w:sz w:val="18"/>
                <w:szCs w:val="18"/>
              </w:rPr>
            </w:pPr>
            <w:r>
              <w:rPr>
                <w:rFonts w:hint="eastAsia" w:eastAsiaTheme="minorEastAsia"/>
                <w:sz w:val="18"/>
                <w:szCs w:val="18"/>
              </w:rPr>
              <w:t>站端硬件辅材</w:t>
            </w:r>
          </w:p>
        </w:tc>
        <w:tc>
          <w:tcPr>
            <w:tcW w:w="3703" w:type="dxa"/>
            <w:vAlign w:val="center"/>
          </w:tcPr>
          <w:p w14:paraId="005ABE61">
            <w:pPr>
              <w:widowControl/>
              <w:jc w:val="left"/>
              <w:rPr>
                <w:sz w:val="18"/>
                <w:szCs w:val="18"/>
              </w:rPr>
            </w:pPr>
            <w:r>
              <w:rPr>
                <w:rFonts w:hint="eastAsia" w:eastAsiaTheme="minorEastAsia"/>
                <w:sz w:val="18"/>
                <w:szCs w:val="18"/>
              </w:rPr>
              <w:t>包含各类服务器、屏柜内所需线缆等辅材</w:t>
            </w:r>
          </w:p>
        </w:tc>
        <w:tc>
          <w:tcPr>
            <w:tcW w:w="2960" w:type="dxa"/>
            <w:vAlign w:val="center"/>
          </w:tcPr>
          <w:p w14:paraId="344645F0"/>
        </w:tc>
      </w:tr>
      <w:tr w14:paraId="36031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1F9CE13F">
            <w:pPr>
              <w:pStyle w:val="46"/>
              <w:numPr>
                <w:ilvl w:val="0"/>
                <w:numId w:val="6"/>
              </w:numPr>
              <w:ind w:left="317" w:hanging="141" w:firstLineChars="0"/>
              <w:rPr>
                <w:sz w:val="18"/>
                <w:szCs w:val="18"/>
              </w:rPr>
            </w:pPr>
          </w:p>
        </w:tc>
        <w:tc>
          <w:tcPr>
            <w:tcW w:w="992" w:type="dxa"/>
            <w:vAlign w:val="center"/>
          </w:tcPr>
          <w:p w14:paraId="6079E110">
            <w:pPr>
              <w:widowControl/>
              <w:spacing w:before="60" w:after="60"/>
              <w:jc w:val="center"/>
              <w:textAlignment w:val="center"/>
              <w:rPr>
                <w:sz w:val="18"/>
                <w:szCs w:val="18"/>
              </w:rPr>
            </w:pPr>
            <w:r>
              <w:rPr>
                <w:rFonts w:hint="eastAsia"/>
                <w:sz w:val="18"/>
                <w:szCs w:val="18"/>
              </w:rPr>
              <w:t>三维引擎服务器</w:t>
            </w:r>
          </w:p>
        </w:tc>
        <w:tc>
          <w:tcPr>
            <w:tcW w:w="3703" w:type="dxa"/>
            <w:vAlign w:val="center"/>
          </w:tcPr>
          <w:p w14:paraId="3EBBFEFA">
            <w:pPr>
              <w:widowControl/>
              <w:jc w:val="left"/>
              <w:rPr>
                <w:sz w:val="18"/>
                <w:szCs w:val="18"/>
              </w:rPr>
            </w:pPr>
            <w:r>
              <w:rPr>
                <w:rFonts w:hint="eastAsia"/>
                <w:sz w:val="18"/>
                <w:szCs w:val="18"/>
              </w:rPr>
              <w:t>(1)处理器：国产化处理器，性能不低于：2颗，单颗16核，支持超线程，缓存25MB，原始主频2.0GHz，支撑系统的图形处理任务，并进行快速运算；</w:t>
            </w:r>
          </w:p>
          <w:p w14:paraId="4D318055">
            <w:pPr>
              <w:widowControl/>
              <w:jc w:val="left"/>
              <w:rPr>
                <w:sz w:val="18"/>
                <w:szCs w:val="18"/>
              </w:rPr>
            </w:pPr>
            <w:r>
              <w:rPr>
                <w:rFonts w:hint="eastAsia"/>
                <w:sz w:val="18"/>
                <w:szCs w:val="18"/>
              </w:rPr>
              <w:t>(2)内存：128GB，保证图形数据计算速率；</w:t>
            </w:r>
          </w:p>
          <w:p w14:paraId="7F15099A">
            <w:pPr>
              <w:widowControl/>
              <w:jc w:val="left"/>
              <w:rPr>
                <w:sz w:val="18"/>
                <w:szCs w:val="18"/>
              </w:rPr>
            </w:pPr>
            <w:r>
              <w:rPr>
                <w:rFonts w:hint="eastAsia"/>
                <w:sz w:val="18"/>
                <w:szCs w:val="18"/>
              </w:rPr>
              <w:t>(3)外存储器：SSD固态硬盘256G + 机械硬盘2T，保证图形数据的存储及交换；</w:t>
            </w:r>
          </w:p>
          <w:p w14:paraId="651E5925">
            <w:pPr>
              <w:widowControl/>
              <w:jc w:val="left"/>
              <w:rPr>
                <w:sz w:val="18"/>
                <w:szCs w:val="18"/>
              </w:rPr>
            </w:pPr>
            <w:r>
              <w:rPr>
                <w:rFonts w:hint="eastAsia"/>
                <w:sz w:val="18"/>
                <w:szCs w:val="18"/>
              </w:rPr>
              <w:t>网卡：4块千兆以太网卡，支持系统中图形数据交互传输速率，满足人机交互；</w:t>
            </w:r>
          </w:p>
          <w:p w14:paraId="584ED88D">
            <w:pPr>
              <w:widowControl/>
              <w:jc w:val="left"/>
              <w:rPr>
                <w:sz w:val="18"/>
                <w:szCs w:val="18"/>
              </w:rPr>
            </w:pPr>
            <w:r>
              <w:rPr>
                <w:rFonts w:hint="eastAsia"/>
                <w:sz w:val="18"/>
                <w:szCs w:val="18"/>
              </w:rPr>
              <w:t>(4)显卡：2块FP32浮点性能73.54 TFLOPS，显存24G，显存带宽1008GB/s的显卡，预留至少2条PCI-E扩展插槽，保证高精度的图形处理要求和算力需求；</w:t>
            </w:r>
          </w:p>
        </w:tc>
        <w:tc>
          <w:tcPr>
            <w:tcW w:w="2960" w:type="dxa"/>
            <w:vAlign w:val="center"/>
          </w:tcPr>
          <w:p w14:paraId="63D67994"/>
        </w:tc>
      </w:tr>
      <w:tr w14:paraId="4A069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2F05B0ED">
            <w:pPr>
              <w:pStyle w:val="46"/>
              <w:numPr>
                <w:ilvl w:val="0"/>
                <w:numId w:val="6"/>
              </w:numPr>
              <w:ind w:left="317" w:hanging="141" w:firstLineChars="0"/>
              <w:rPr>
                <w:sz w:val="18"/>
                <w:szCs w:val="18"/>
              </w:rPr>
            </w:pPr>
          </w:p>
        </w:tc>
        <w:tc>
          <w:tcPr>
            <w:tcW w:w="992" w:type="dxa"/>
            <w:vAlign w:val="center"/>
          </w:tcPr>
          <w:p w14:paraId="08613C8F">
            <w:pPr>
              <w:widowControl/>
              <w:spacing w:before="60" w:after="60"/>
              <w:jc w:val="center"/>
              <w:textAlignment w:val="center"/>
              <w:rPr>
                <w:sz w:val="18"/>
                <w:szCs w:val="18"/>
              </w:rPr>
            </w:pPr>
            <w:r>
              <w:rPr>
                <w:rFonts w:hint="eastAsia"/>
                <w:sz w:val="18"/>
                <w:szCs w:val="18"/>
              </w:rPr>
              <w:t>应用服务器</w:t>
            </w:r>
          </w:p>
        </w:tc>
        <w:tc>
          <w:tcPr>
            <w:tcW w:w="3703" w:type="dxa"/>
            <w:vAlign w:val="center"/>
          </w:tcPr>
          <w:p w14:paraId="155CDFDE">
            <w:pPr>
              <w:widowControl/>
              <w:jc w:val="left"/>
              <w:rPr>
                <w:sz w:val="18"/>
                <w:szCs w:val="18"/>
              </w:rPr>
            </w:pPr>
            <w:r>
              <w:rPr>
                <w:rFonts w:hint="eastAsia"/>
                <w:sz w:val="18"/>
                <w:szCs w:val="18"/>
              </w:rPr>
              <w:t>(1)2*CPU（国产化）（核心≧16，线程≧32，主频≧2.1GHz）</w:t>
            </w:r>
          </w:p>
          <w:p w14:paraId="2704F7AE">
            <w:pPr>
              <w:widowControl/>
              <w:jc w:val="left"/>
              <w:rPr>
                <w:sz w:val="18"/>
                <w:szCs w:val="18"/>
              </w:rPr>
            </w:pPr>
            <w:r>
              <w:rPr>
                <w:rFonts w:hint="eastAsia"/>
                <w:sz w:val="18"/>
                <w:szCs w:val="18"/>
              </w:rPr>
              <w:t xml:space="preserve">(2)内存≥128Gb </w:t>
            </w:r>
          </w:p>
          <w:p w14:paraId="049E9240">
            <w:pPr>
              <w:widowControl/>
              <w:jc w:val="left"/>
              <w:rPr>
                <w:sz w:val="18"/>
                <w:szCs w:val="18"/>
              </w:rPr>
            </w:pPr>
            <w:r>
              <w:rPr>
                <w:rFonts w:hint="eastAsia"/>
                <w:sz w:val="18"/>
                <w:szCs w:val="18"/>
              </w:rPr>
              <w:t>(3)硬盘≥10TB 10K SAS Raid 5</w:t>
            </w:r>
          </w:p>
          <w:p w14:paraId="525D5207">
            <w:pPr>
              <w:widowControl/>
              <w:jc w:val="left"/>
              <w:rPr>
                <w:sz w:val="18"/>
                <w:szCs w:val="18"/>
              </w:rPr>
            </w:pPr>
            <w:r>
              <w:rPr>
                <w:rFonts w:hint="eastAsia"/>
                <w:sz w:val="18"/>
                <w:szCs w:val="18"/>
              </w:rPr>
              <w:t>(4)千兆以太网≥2个</w:t>
            </w:r>
          </w:p>
          <w:p w14:paraId="6120B9E5">
            <w:pPr>
              <w:widowControl/>
              <w:jc w:val="left"/>
              <w:rPr>
                <w:sz w:val="18"/>
                <w:szCs w:val="18"/>
              </w:rPr>
            </w:pPr>
            <w:r>
              <w:rPr>
                <w:rFonts w:hint="eastAsia"/>
                <w:sz w:val="18"/>
                <w:szCs w:val="18"/>
              </w:rPr>
              <w:t>(5)2U 机架式</w:t>
            </w:r>
          </w:p>
          <w:p w14:paraId="3F8880D9">
            <w:pPr>
              <w:widowControl/>
              <w:jc w:val="left"/>
              <w:rPr>
                <w:sz w:val="18"/>
                <w:szCs w:val="18"/>
              </w:rPr>
            </w:pPr>
            <w:r>
              <w:rPr>
                <w:rFonts w:hint="eastAsia"/>
                <w:sz w:val="18"/>
                <w:szCs w:val="18"/>
              </w:rPr>
              <w:t>(6)配置双热插拔冗余电源</w:t>
            </w:r>
          </w:p>
          <w:p w14:paraId="72C3EBEE">
            <w:pPr>
              <w:widowControl/>
              <w:jc w:val="left"/>
              <w:rPr>
                <w:sz w:val="18"/>
                <w:szCs w:val="18"/>
              </w:rPr>
            </w:pPr>
            <w:r>
              <w:rPr>
                <w:rFonts w:hint="eastAsia"/>
                <w:sz w:val="18"/>
                <w:szCs w:val="18"/>
              </w:rPr>
              <w:t>(7)满足7×24h运行需要</w:t>
            </w:r>
          </w:p>
        </w:tc>
        <w:tc>
          <w:tcPr>
            <w:tcW w:w="2960" w:type="dxa"/>
            <w:vAlign w:val="center"/>
          </w:tcPr>
          <w:p w14:paraId="613F0744"/>
        </w:tc>
      </w:tr>
      <w:tr w14:paraId="7B9D5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798148B7">
            <w:pPr>
              <w:pStyle w:val="46"/>
              <w:numPr>
                <w:ilvl w:val="0"/>
                <w:numId w:val="6"/>
              </w:numPr>
              <w:ind w:left="317" w:hanging="141" w:firstLineChars="0"/>
              <w:rPr>
                <w:sz w:val="18"/>
                <w:szCs w:val="18"/>
              </w:rPr>
            </w:pPr>
          </w:p>
        </w:tc>
        <w:tc>
          <w:tcPr>
            <w:tcW w:w="992" w:type="dxa"/>
            <w:vAlign w:val="center"/>
          </w:tcPr>
          <w:p w14:paraId="6FCF9F52">
            <w:pPr>
              <w:widowControl/>
              <w:spacing w:before="60" w:after="60"/>
              <w:jc w:val="center"/>
              <w:textAlignment w:val="center"/>
              <w:rPr>
                <w:sz w:val="18"/>
                <w:szCs w:val="18"/>
              </w:rPr>
            </w:pPr>
            <w:r>
              <w:rPr>
                <w:rFonts w:hint="eastAsia"/>
                <w:sz w:val="18"/>
                <w:szCs w:val="18"/>
              </w:rPr>
              <w:t>GPU计算服务器</w:t>
            </w:r>
          </w:p>
        </w:tc>
        <w:tc>
          <w:tcPr>
            <w:tcW w:w="3703" w:type="dxa"/>
            <w:vAlign w:val="center"/>
          </w:tcPr>
          <w:p w14:paraId="0B1FFCF6">
            <w:pPr>
              <w:widowControl/>
              <w:jc w:val="left"/>
              <w:rPr>
                <w:sz w:val="18"/>
                <w:szCs w:val="18"/>
              </w:rPr>
            </w:pPr>
            <w:r>
              <w:rPr>
                <w:rFonts w:hint="eastAsia"/>
                <w:sz w:val="18"/>
                <w:szCs w:val="18"/>
              </w:rPr>
              <w:t>(1)处理器:支持双路第四代Intel@Xeon®可扩展处理器(2)芯片组:英特尔@C741芯片组</w:t>
            </w:r>
          </w:p>
          <w:p w14:paraId="653819B2">
            <w:pPr>
              <w:widowControl/>
              <w:jc w:val="left"/>
              <w:rPr>
                <w:sz w:val="18"/>
                <w:szCs w:val="18"/>
              </w:rPr>
            </w:pPr>
            <w:r>
              <w:rPr>
                <w:rFonts w:hint="eastAsia"/>
                <w:sz w:val="18"/>
                <w:szCs w:val="18"/>
              </w:rPr>
              <w:t>(3)内存:32个内存插槽高达8TB内存;4800MHZECCDDR5(不少于32G*12)。</w:t>
            </w:r>
          </w:p>
          <w:p w14:paraId="343EA193">
            <w:pPr>
              <w:widowControl/>
              <w:jc w:val="left"/>
              <w:rPr>
                <w:sz w:val="18"/>
                <w:szCs w:val="18"/>
              </w:rPr>
            </w:pPr>
            <w:r>
              <w:rPr>
                <w:rFonts w:hint="eastAsia"/>
                <w:sz w:val="18"/>
                <w:szCs w:val="18"/>
              </w:rPr>
              <w:t>(4)拓展插槽:支持8个双宽显卡</w:t>
            </w:r>
          </w:p>
          <w:p w14:paraId="61C94B0F">
            <w:pPr>
              <w:widowControl/>
              <w:jc w:val="left"/>
              <w:rPr>
                <w:sz w:val="18"/>
                <w:szCs w:val="18"/>
              </w:rPr>
            </w:pPr>
            <w:r>
              <w:rPr>
                <w:rFonts w:hint="eastAsia"/>
                <w:sz w:val="18"/>
                <w:szCs w:val="18"/>
              </w:rPr>
              <w:t>(5)远程管理:IPMI2.0，支持局域网虚拟媒体和KVM-over-LAN</w:t>
            </w:r>
          </w:p>
          <w:p w14:paraId="0251634F">
            <w:pPr>
              <w:widowControl/>
              <w:jc w:val="left"/>
              <w:rPr>
                <w:sz w:val="18"/>
                <w:szCs w:val="18"/>
              </w:rPr>
            </w:pPr>
            <w:r>
              <w:rPr>
                <w:rFonts w:hint="eastAsia"/>
                <w:sz w:val="18"/>
                <w:szCs w:val="18"/>
              </w:rPr>
              <w:t>(6)电源:2400w2+2</w:t>
            </w:r>
          </w:p>
          <w:p w14:paraId="075B6D8C">
            <w:pPr>
              <w:widowControl/>
              <w:jc w:val="left"/>
              <w:rPr>
                <w:sz w:val="18"/>
                <w:szCs w:val="18"/>
              </w:rPr>
            </w:pPr>
            <w:r>
              <w:rPr>
                <w:rFonts w:hint="eastAsia"/>
                <w:sz w:val="18"/>
                <w:szCs w:val="18"/>
              </w:rPr>
              <w:t>(7)硬盘:8个热插拔2.5英寸驱动器托架;不小于7.68T NVME U.2 （SSD）</w:t>
            </w:r>
          </w:p>
          <w:p w14:paraId="59864EE7">
            <w:pPr>
              <w:widowControl/>
              <w:jc w:val="left"/>
              <w:rPr>
                <w:sz w:val="18"/>
                <w:szCs w:val="18"/>
              </w:rPr>
            </w:pPr>
            <w:r>
              <w:rPr>
                <w:rFonts w:hint="eastAsia"/>
                <w:sz w:val="18"/>
                <w:szCs w:val="18"/>
              </w:rPr>
              <w:t>(8)网络:四口千兆网卡</w:t>
            </w:r>
          </w:p>
          <w:p w14:paraId="108DE9D9">
            <w:pPr>
              <w:widowControl/>
              <w:jc w:val="left"/>
              <w:rPr>
                <w:sz w:val="18"/>
                <w:szCs w:val="18"/>
              </w:rPr>
            </w:pPr>
            <w:r>
              <w:rPr>
                <w:rFonts w:hint="eastAsia"/>
                <w:sz w:val="18"/>
                <w:szCs w:val="18"/>
              </w:rPr>
              <w:t>(9)尺寸:800mm x440mm x 174.5 mm 4U(10)支持Ubuntu/Cent0S/Windows 10 pro/Windows Sever等众多系统</w:t>
            </w:r>
          </w:p>
          <w:p w14:paraId="2F50F0A4">
            <w:pPr>
              <w:widowControl/>
              <w:jc w:val="left"/>
              <w:rPr>
                <w:sz w:val="18"/>
                <w:szCs w:val="18"/>
              </w:rPr>
            </w:pPr>
            <w:r>
              <w:rPr>
                <w:rFonts w:hint="eastAsia"/>
                <w:sz w:val="18"/>
                <w:szCs w:val="18"/>
              </w:rPr>
              <w:t>(10)显卡：不小于NVIDIA TESL A100 80G*2</w:t>
            </w:r>
          </w:p>
        </w:tc>
        <w:tc>
          <w:tcPr>
            <w:tcW w:w="2960" w:type="dxa"/>
            <w:vAlign w:val="center"/>
          </w:tcPr>
          <w:p w14:paraId="4F2C9001"/>
        </w:tc>
      </w:tr>
      <w:tr w14:paraId="2AC29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5EAD1A75">
            <w:pPr>
              <w:pStyle w:val="46"/>
              <w:numPr>
                <w:ilvl w:val="0"/>
                <w:numId w:val="6"/>
              </w:numPr>
              <w:ind w:left="317" w:hanging="141" w:firstLineChars="0"/>
              <w:rPr>
                <w:sz w:val="18"/>
                <w:szCs w:val="18"/>
              </w:rPr>
            </w:pPr>
          </w:p>
        </w:tc>
        <w:tc>
          <w:tcPr>
            <w:tcW w:w="992" w:type="dxa"/>
            <w:vAlign w:val="center"/>
          </w:tcPr>
          <w:p w14:paraId="31DCD28C">
            <w:pPr>
              <w:widowControl/>
              <w:spacing w:before="60" w:after="60"/>
              <w:jc w:val="center"/>
              <w:textAlignment w:val="center"/>
              <w:rPr>
                <w:sz w:val="18"/>
                <w:szCs w:val="18"/>
              </w:rPr>
            </w:pPr>
            <w:r>
              <w:rPr>
                <w:rFonts w:hint="eastAsia"/>
                <w:sz w:val="18"/>
                <w:szCs w:val="18"/>
              </w:rPr>
              <w:t>高性能仿真服务器</w:t>
            </w:r>
          </w:p>
        </w:tc>
        <w:tc>
          <w:tcPr>
            <w:tcW w:w="3703" w:type="dxa"/>
            <w:vAlign w:val="center"/>
          </w:tcPr>
          <w:p w14:paraId="7F8608BE">
            <w:pPr>
              <w:widowControl/>
              <w:jc w:val="left"/>
              <w:rPr>
                <w:sz w:val="18"/>
                <w:szCs w:val="18"/>
              </w:rPr>
            </w:pPr>
            <w:r>
              <w:rPr>
                <w:rFonts w:hint="eastAsia"/>
                <w:sz w:val="18"/>
                <w:szCs w:val="18"/>
              </w:rPr>
              <w:t>2*CPU（国产化，鲲鹏 920 ）（单颗核心≧16，线程≧32，主频≧2.1GHz），显卡性能不低于双RTX4080+≥96显存，内存≥128Gb ，硬盘≥10TB 10K SAS Raid 5</w:t>
            </w:r>
          </w:p>
        </w:tc>
        <w:tc>
          <w:tcPr>
            <w:tcW w:w="2960" w:type="dxa"/>
            <w:vAlign w:val="center"/>
          </w:tcPr>
          <w:p w14:paraId="540A5097"/>
        </w:tc>
      </w:tr>
      <w:tr w14:paraId="6C241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06FBC18F">
            <w:pPr>
              <w:pStyle w:val="46"/>
              <w:numPr>
                <w:ilvl w:val="0"/>
                <w:numId w:val="6"/>
              </w:numPr>
              <w:ind w:left="317" w:hanging="141" w:firstLineChars="0"/>
              <w:rPr>
                <w:sz w:val="18"/>
                <w:szCs w:val="18"/>
              </w:rPr>
            </w:pPr>
          </w:p>
        </w:tc>
        <w:tc>
          <w:tcPr>
            <w:tcW w:w="992" w:type="dxa"/>
            <w:vAlign w:val="center"/>
          </w:tcPr>
          <w:p w14:paraId="033D4E9D">
            <w:pPr>
              <w:widowControl/>
              <w:spacing w:before="60" w:after="60"/>
              <w:jc w:val="center"/>
              <w:textAlignment w:val="center"/>
              <w:rPr>
                <w:sz w:val="18"/>
                <w:szCs w:val="18"/>
              </w:rPr>
            </w:pPr>
            <w:r>
              <w:rPr>
                <w:rFonts w:hint="eastAsia" w:eastAsiaTheme="minorEastAsia"/>
                <w:sz w:val="18"/>
                <w:szCs w:val="18"/>
              </w:rPr>
              <w:t>三维应用及展示主机</w:t>
            </w:r>
          </w:p>
        </w:tc>
        <w:tc>
          <w:tcPr>
            <w:tcW w:w="3703" w:type="dxa"/>
            <w:vAlign w:val="center"/>
          </w:tcPr>
          <w:p w14:paraId="61FD9155">
            <w:pPr>
              <w:widowControl/>
              <w:jc w:val="left"/>
              <w:rPr>
                <w:rFonts w:eastAsiaTheme="minorEastAsia"/>
                <w:sz w:val="18"/>
                <w:szCs w:val="18"/>
              </w:rPr>
            </w:pPr>
            <w:r>
              <w:rPr>
                <w:rFonts w:hint="eastAsia"/>
                <w:sz w:val="18"/>
                <w:szCs w:val="18"/>
              </w:rPr>
              <w:t>(1)</w:t>
            </w:r>
            <w:r>
              <w:rPr>
                <w:rFonts w:hint="eastAsia" w:eastAsiaTheme="minorEastAsia"/>
                <w:sz w:val="18"/>
                <w:szCs w:val="18"/>
              </w:rPr>
              <w:t>CPU：国产化</w:t>
            </w:r>
          </w:p>
          <w:p w14:paraId="57BD61D7">
            <w:pPr>
              <w:widowControl/>
              <w:jc w:val="left"/>
              <w:rPr>
                <w:rFonts w:eastAsiaTheme="minorEastAsia"/>
                <w:sz w:val="18"/>
                <w:szCs w:val="18"/>
              </w:rPr>
            </w:pPr>
            <w:r>
              <w:rPr>
                <w:rFonts w:hint="eastAsia"/>
                <w:sz w:val="18"/>
                <w:szCs w:val="18"/>
              </w:rPr>
              <w:t>(2)</w:t>
            </w:r>
            <w:r>
              <w:rPr>
                <w:rFonts w:hint="eastAsia" w:eastAsiaTheme="minorEastAsia"/>
                <w:sz w:val="18"/>
                <w:szCs w:val="18"/>
              </w:rPr>
              <w:t>内存：≥32GB</w:t>
            </w:r>
          </w:p>
          <w:p w14:paraId="175F5E88">
            <w:pPr>
              <w:widowControl/>
              <w:jc w:val="left"/>
              <w:rPr>
                <w:rFonts w:eastAsiaTheme="minorEastAsia"/>
                <w:sz w:val="18"/>
                <w:szCs w:val="18"/>
              </w:rPr>
            </w:pPr>
            <w:r>
              <w:rPr>
                <w:rFonts w:hint="eastAsia"/>
                <w:sz w:val="18"/>
                <w:szCs w:val="18"/>
              </w:rPr>
              <w:t>(3)</w:t>
            </w:r>
            <w:r>
              <w:rPr>
                <w:rFonts w:hint="eastAsia" w:eastAsiaTheme="minorEastAsia"/>
                <w:sz w:val="18"/>
                <w:szCs w:val="18"/>
              </w:rPr>
              <w:t>硬盘：500Gb SSD</w:t>
            </w:r>
          </w:p>
          <w:p w14:paraId="40BA50B0">
            <w:pPr>
              <w:widowControl/>
              <w:jc w:val="left"/>
              <w:rPr>
                <w:rFonts w:eastAsiaTheme="minorEastAsia"/>
                <w:sz w:val="18"/>
                <w:szCs w:val="18"/>
              </w:rPr>
            </w:pPr>
            <w:r>
              <w:rPr>
                <w:rFonts w:hint="eastAsia"/>
                <w:sz w:val="18"/>
                <w:szCs w:val="18"/>
              </w:rPr>
              <w:t>(4)</w:t>
            </w:r>
            <w:r>
              <w:rPr>
                <w:rFonts w:hint="eastAsia" w:eastAsiaTheme="minorEastAsia"/>
                <w:sz w:val="18"/>
                <w:szCs w:val="18"/>
              </w:rPr>
              <w:t>显卡GTX3060，8G显存及以上；</w:t>
            </w:r>
          </w:p>
          <w:p w14:paraId="46B63C24">
            <w:pPr>
              <w:widowControl/>
              <w:jc w:val="left"/>
              <w:rPr>
                <w:rFonts w:eastAsiaTheme="minorEastAsia"/>
                <w:sz w:val="18"/>
                <w:szCs w:val="18"/>
              </w:rPr>
            </w:pPr>
            <w:r>
              <w:rPr>
                <w:rFonts w:hint="eastAsia"/>
                <w:sz w:val="18"/>
                <w:szCs w:val="18"/>
              </w:rPr>
              <w:t>(5)</w:t>
            </w:r>
            <w:r>
              <w:rPr>
                <w:rFonts w:hint="eastAsia" w:eastAsiaTheme="minorEastAsia"/>
                <w:sz w:val="18"/>
                <w:szCs w:val="18"/>
              </w:rPr>
              <w:t>配置不少于2个100M/1000M自适应网口；显示器分辨率不低于2k，支持4个及以上DVI、HDMI、DP等接口，与显卡接口配套；</w:t>
            </w:r>
          </w:p>
          <w:p w14:paraId="582E0080">
            <w:pPr>
              <w:widowControl/>
              <w:jc w:val="left"/>
              <w:rPr>
                <w:sz w:val="18"/>
                <w:szCs w:val="18"/>
              </w:rPr>
            </w:pPr>
            <w:r>
              <w:rPr>
                <w:rFonts w:hint="eastAsia"/>
                <w:sz w:val="18"/>
                <w:szCs w:val="18"/>
              </w:rPr>
              <w:t>(6)</w:t>
            </w:r>
            <w:r>
              <w:rPr>
                <w:rFonts w:hint="eastAsia" w:eastAsiaTheme="minorEastAsia"/>
                <w:sz w:val="18"/>
                <w:szCs w:val="18"/>
              </w:rPr>
              <w:t>满足7×24h运行需要</w:t>
            </w:r>
            <w:r>
              <w:rPr>
                <w:rFonts w:eastAsiaTheme="minorEastAsia"/>
                <w:sz w:val="18"/>
                <w:szCs w:val="18"/>
              </w:rPr>
              <w:br w:type="textWrapping"/>
            </w:r>
            <w:r>
              <w:rPr>
                <w:rFonts w:hint="eastAsia" w:eastAsiaTheme="minorEastAsia"/>
                <w:sz w:val="18"/>
                <w:szCs w:val="18"/>
              </w:rPr>
              <w:t>（7）服务器机架式安装</w:t>
            </w:r>
          </w:p>
        </w:tc>
        <w:tc>
          <w:tcPr>
            <w:tcW w:w="2960" w:type="dxa"/>
            <w:vAlign w:val="center"/>
          </w:tcPr>
          <w:p w14:paraId="77D61D04"/>
        </w:tc>
      </w:tr>
      <w:tr w14:paraId="32A0B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40DC7E28">
            <w:pPr>
              <w:pStyle w:val="46"/>
              <w:numPr>
                <w:ilvl w:val="0"/>
                <w:numId w:val="6"/>
              </w:numPr>
              <w:ind w:left="317" w:hanging="141" w:firstLineChars="0"/>
              <w:rPr>
                <w:sz w:val="18"/>
                <w:szCs w:val="18"/>
              </w:rPr>
            </w:pPr>
          </w:p>
        </w:tc>
        <w:tc>
          <w:tcPr>
            <w:tcW w:w="992" w:type="dxa"/>
            <w:vAlign w:val="center"/>
          </w:tcPr>
          <w:p w14:paraId="65E09514">
            <w:pPr>
              <w:widowControl/>
              <w:spacing w:before="60" w:after="60"/>
              <w:jc w:val="center"/>
              <w:textAlignment w:val="center"/>
              <w:rPr>
                <w:sz w:val="18"/>
                <w:szCs w:val="18"/>
              </w:rPr>
            </w:pPr>
            <w:r>
              <w:rPr>
                <w:rFonts w:hint="eastAsia"/>
                <w:sz w:val="18"/>
                <w:szCs w:val="18"/>
              </w:rPr>
              <w:t>屏柜</w:t>
            </w:r>
          </w:p>
        </w:tc>
        <w:tc>
          <w:tcPr>
            <w:tcW w:w="3703" w:type="dxa"/>
            <w:vAlign w:val="center"/>
          </w:tcPr>
          <w:p w14:paraId="73C40438">
            <w:pPr>
              <w:widowControl/>
              <w:jc w:val="left"/>
              <w:rPr>
                <w:sz w:val="18"/>
                <w:szCs w:val="18"/>
              </w:rPr>
            </w:pPr>
            <w:r>
              <w:rPr>
                <w:rFonts w:hint="eastAsia" w:eastAsiaTheme="minorEastAsia"/>
                <w:sz w:val="18"/>
                <w:szCs w:val="18"/>
              </w:rPr>
              <w:t>外壳防护等级≥IP31，尺寸为4面800*600*2260（宽*深*高）、2面800*</w:t>
            </w:r>
            <w:r>
              <w:rPr>
                <w:rFonts w:eastAsiaTheme="minorEastAsia"/>
                <w:sz w:val="18"/>
                <w:szCs w:val="18"/>
              </w:rPr>
              <w:t>1000</w:t>
            </w:r>
            <w:r>
              <w:rPr>
                <w:rFonts w:hint="eastAsia" w:eastAsiaTheme="minorEastAsia"/>
                <w:sz w:val="18"/>
                <w:szCs w:val="18"/>
              </w:rPr>
              <w:t>*2260，可灵活安装标准19英寸机架式设备，前门采用玻璃门，后门采用双开门。柜体材质应采用优质钢板，厚度不小于1.5mm</w:t>
            </w:r>
            <w:r>
              <w:rPr>
                <w:rFonts w:hint="eastAsia"/>
                <w:sz w:val="18"/>
                <w:szCs w:val="18"/>
              </w:rPr>
              <w:t>（含电源分配模块、电源切换装置）</w:t>
            </w:r>
          </w:p>
        </w:tc>
        <w:tc>
          <w:tcPr>
            <w:tcW w:w="2960" w:type="dxa"/>
            <w:vAlign w:val="center"/>
          </w:tcPr>
          <w:p w14:paraId="41E2BE06"/>
        </w:tc>
      </w:tr>
      <w:tr w14:paraId="71863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59E8615F">
            <w:pPr>
              <w:pStyle w:val="46"/>
              <w:numPr>
                <w:ilvl w:val="0"/>
                <w:numId w:val="6"/>
              </w:numPr>
              <w:ind w:left="317" w:hanging="141" w:firstLineChars="0"/>
              <w:rPr>
                <w:sz w:val="18"/>
                <w:szCs w:val="18"/>
              </w:rPr>
            </w:pPr>
          </w:p>
        </w:tc>
        <w:tc>
          <w:tcPr>
            <w:tcW w:w="992" w:type="dxa"/>
            <w:vAlign w:val="center"/>
          </w:tcPr>
          <w:p w14:paraId="42EC5872">
            <w:pPr>
              <w:widowControl/>
              <w:spacing w:before="60" w:after="60"/>
              <w:jc w:val="center"/>
              <w:textAlignment w:val="center"/>
              <w:rPr>
                <w:sz w:val="18"/>
                <w:szCs w:val="18"/>
              </w:rPr>
            </w:pPr>
            <w:r>
              <w:rPr>
                <w:rFonts w:hint="eastAsia"/>
                <w:sz w:val="18"/>
                <w:szCs w:val="18"/>
              </w:rPr>
              <w:t>二层电口交换机</w:t>
            </w:r>
          </w:p>
        </w:tc>
        <w:tc>
          <w:tcPr>
            <w:tcW w:w="3703" w:type="dxa"/>
            <w:vAlign w:val="center"/>
          </w:tcPr>
          <w:p w14:paraId="0009EC94">
            <w:pPr>
              <w:widowControl/>
              <w:jc w:val="left"/>
              <w:rPr>
                <w:rFonts w:eastAsiaTheme="minorEastAsia"/>
                <w:sz w:val="18"/>
                <w:szCs w:val="18"/>
              </w:rPr>
            </w:pPr>
            <w:r>
              <w:rPr>
                <w:rFonts w:hint="eastAsia" w:eastAsiaTheme="minorEastAsia"/>
                <w:sz w:val="18"/>
                <w:szCs w:val="18"/>
              </w:rPr>
              <w:t>双电源千兆2层交换机</w:t>
            </w:r>
          </w:p>
          <w:p w14:paraId="17C5911B">
            <w:pPr>
              <w:widowControl/>
              <w:jc w:val="left"/>
              <w:rPr>
                <w:rFonts w:eastAsiaTheme="minorEastAsia"/>
                <w:sz w:val="18"/>
                <w:szCs w:val="18"/>
              </w:rPr>
            </w:pPr>
            <w:r>
              <w:rPr>
                <w:rFonts w:hint="eastAsia" w:eastAsiaTheme="minorEastAsia"/>
                <w:sz w:val="18"/>
                <w:szCs w:val="18"/>
              </w:rPr>
              <w:t>以太网电口≥24</w:t>
            </w:r>
          </w:p>
          <w:p w14:paraId="115C7A27">
            <w:pPr>
              <w:widowControl/>
              <w:jc w:val="left"/>
              <w:rPr>
                <w:rFonts w:eastAsiaTheme="minorEastAsia"/>
                <w:sz w:val="18"/>
                <w:szCs w:val="18"/>
              </w:rPr>
            </w:pPr>
            <w:r>
              <w:rPr>
                <w:rFonts w:hint="eastAsia" w:eastAsiaTheme="minorEastAsia"/>
                <w:sz w:val="18"/>
                <w:szCs w:val="18"/>
              </w:rPr>
              <w:t>千兆光口≥4</w:t>
            </w:r>
          </w:p>
          <w:p w14:paraId="23C6D3EC">
            <w:pPr>
              <w:widowControl/>
              <w:jc w:val="left"/>
              <w:rPr>
                <w:sz w:val="18"/>
                <w:szCs w:val="18"/>
              </w:rPr>
            </w:pPr>
            <w:r>
              <w:rPr>
                <w:rFonts w:hint="eastAsia" w:eastAsiaTheme="minorEastAsia"/>
                <w:sz w:val="18"/>
                <w:szCs w:val="18"/>
              </w:rPr>
              <w:t>机架式安装</w:t>
            </w:r>
          </w:p>
        </w:tc>
        <w:tc>
          <w:tcPr>
            <w:tcW w:w="2960" w:type="dxa"/>
            <w:vAlign w:val="center"/>
          </w:tcPr>
          <w:p w14:paraId="1DBCDD65"/>
        </w:tc>
      </w:tr>
      <w:tr w14:paraId="797E8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4549198C">
            <w:pPr>
              <w:pStyle w:val="46"/>
              <w:numPr>
                <w:ilvl w:val="0"/>
                <w:numId w:val="6"/>
              </w:numPr>
              <w:ind w:left="317" w:hanging="141" w:firstLineChars="0"/>
              <w:rPr>
                <w:sz w:val="18"/>
                <w:szCs w:val="18"/>
              </w:rPr>
            </w:pPr>
          </w:p>
        </w:tc>
        <w:tc>
          <w:tcPr>
            <w:tcW w:w="992" w:type="dxa"/>
            <w:vAlign w:val="center"/>
          </w:tcPr>
          <w:p w14:paraId="2065E2CF">
            <w:pPr>
              <w:widowControl/>
              <w:spacing w:before="60" w:after="60"/>
              <w:jc w:val="center"/>
              <w:textAlignment w:val="center"/>
              <w:rPr>
                <w:sz w:val="18"/>
                <w:szCs w:val="18"/>
              </w:rPr>
            </w:pPr>
            <w:r>
              <w:rPr>
                <w:rFonts w:hint="eastAsia"/>
                <w:sz w:val="18"/>
                <w:szCs w:val="18"/>
              </w:rPr>
              <w:t>二层光口交换机</w:t>
            </w:r>
          </w:p>
        </w:tc>
        <w:tc>
          <w:tcPr>
            <w:tcW w:w="3703" w:type="dxa"/>
            <w:vAlign w:val="center"/>
          </w:tcPr>
          <w:p w14:paraId="7FBAD598">
            <w:pPr>
              <w:widowControl/>
              <w:jc w:val="left"/>
              <w:rPr>
                <w:rFonts w:eastAsiaTheme="minorEastAsia"/>
                <w:sz w:val="18"/>
                <w:szCs w:val="18"/>
              </w:rPr>
            </w:pPr>
            <w:r>
              <w:rPr>
                <w:rFonts w:hint="eastAsia" w:eastAsiaTheme="minorEastAsia"/>
                <w:sz w:val="18"/>
                <w:szCs w:val="18"/>
              </w:rPr>
              <w:t>双电源千兆2层交换机</w:t>
            </w:r>
          </w:p>
          <w:p w14:paraId="3DA1237A">
            <w:pPr>
              <w:widowControl/>
              <w:jc w:val="left"/>
              <w:rPr>
                <w:rFonts w:eastAsiaTheme="minorEastAsia"/>
                <w:sz w:val="18"/>
                <w:szCs w:val="18"/>
              </w:rPr>
            </w:pPr>
            <w:r>
              <w:rPr>
                <w:rFonts w:hint="eastAsia" w:eastAsiaTheme="minorEastAsia"/>
                <w:sz w:val="18"/>
                <w:szCs w:val="18"/>
              </w:rPr>
              <w:t>千兆光口≥24</w:t>
            </w:r>
          </w:p>
          <w:p w14:paraId="69DAD184">
            <w:pPr>
              <w:widowControl/>
              <w:jc w:val="left"/>
              <w:rPr>
                <w:rFonts w:eastAsiaTheme="minorEastAsia"/>
                <w:sz w:val="18"/>
                <w:szCs w:val="18"/>
              </w:rPr>
            </w:pPr>
            <w:r>
              <w:rPr>
                <w:rFonts w:hint="eastAsia" w:eastAsiaTheme="minorEastAsia"/>
                <w:sz w:val="18"/>
                <w:szCs w:val="18"/>
              </w:rPr>
              <w:t>以太网电口≥4</w:t>
            </w:r>
          </w:p>
          <w:p w14:paraId="0AA498C3">
            <w:pPr>
              <w:widowControl/>
              <w:jc w:val="left"/>
              <w:rPr>
                <w:sz w:val="18"/>
                <w:szCs w:val="18"/>
              </w:rPr>
            </w:pPr>
            <w:r>
              <w:rPr>
                <w:rFonts w:hint="eastAsia" w:eastAsiaTheme="minorEastAsia"/>
                <w:sz w:val="18"/>
                <w:szCs w:val="18"/>
              </w:rPr>
              <w:t>机架式安装</w:t>
            </w:r>
          </w:p>
        </w:tc>
        <w:tc>
          <w:tcPr>
            <w:tcW w:w="2960" w:type="dxa"/>
            <w:vAlign w:val="center"/>
          </w:tcPr>
          <w:p w14:paraId="67852237"/>
        </w:tc>
      </w:tr>
      <w:tr w14:paraId="67164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06E94889">
            <w:pPr>
              <w:pStyle w:val="46"/>
              <w:numPr>
                <w:ilvl w:val="0"/>
                <w:numId w:val="6"/>
              </w:numPr>
              <w:ind w:left="317" w:hanging="141" w:firstLineChars="0"/>
              <w:rPr>
                <w:sz w:val="18"/>
                <w:szCs w:val="18"/>
              </w:rPr>
            </w:pPr>
          </w:p>
        </w:tc>
        <w:tc>
          <w:tcPr>
            <w:tcW w:w="992" w:type="dxa"/>
            <w:vAlign w:val="center"/>
          </w:tcPr>
          <w:p w14:paraId="3E907394">
            <w:pPr>
              <w:widowControl/>
              <w:spacing w:before="60" w:after="60"/>
              <w:jc w:val="center"/>
              <w:textAlignment w:val="center"/>
              <w:rPr>
                <w:sz w:val="18"/>
                <w:szCs w:val="18"/>
              </w:rPr>
            </w:pPr>
            <w:r>
              <w:rPr>
                <w:rFonts w:hint="eastAsia"/>
                <w:sz w:val="18"/>
                <w:szCs w:val="18"/>
              </w:rPr>
              <w:t>视频存储系统（含256路视频存储单元、存储硬盘、视频汇聚交换机等）</w:t>
            </w:r>
          </w:p>
        </w:tc>
        <w:tc>
          <w:tcPr>
            <w:tcW w:w="3703" w:type="dxa"/>
            <w:vAlign w:val="center"/>
          </w:tcPr>
          <w:p w14:paraId="46AEDD5E">
            <w:pPr>
              <w:widowControl/>
              <w:jc w:val="left"/>
              <w:rPr>
                <w:rFonts w:eastAsiaTheme="minorEastAsia"/>
                <w:sz w:val="18"/>
                <w:szCs w:val="18"/>
              </w:rPr>
            </w:pPr>
            <w:r>
              <w:rPr>
                <w:rFonts w:hint="eastAsia" w:eastAsiaTheme="minorEastAsia"/>
                <w:sz w:val="18"/>
                <w:szCs w:val="18"/>
              </w:rPr>
              <w:t>机架式IP视频存储2台：</w:t>
            </w:r>
          </w:p>
          <w:p w14:paraId="3D6F2881">
            <w:pPr>
              <w:widowControl/>
              <w:jc w:val="left"/>
              <w:rPr>
                <w:rFonts w:eastAsiaTheme="minorEastAsia"/>
                <w:sz w:val="18"/>
                <w:szCs w:val="18"/>
              </w:rPr>
            </w:pPr>
            <w:r>
              <w:rPr>
                <w:rFonts w:hint="eastAsia" w:eastAsiaTheme="minorEastAsia"/>
                <w:sz w:val="18"/>
                <w:szCs w:val="18"/>
              </w:rPr>
              <w:t>X86架构</w:t>
            </w:r>
          </w:p>
          <w:p w14:paraId="6C71B008">
            <w:pPr>
              <w:widowControl/>
              <w:jc w:val="left"/>
              <w:rPr>
                <w:rFonts w:eastAsiaTheme="minorEastAsia"/>
                <w:sz w:val="18"/>
                <w:szCs w:val="18"/>
              </w:rPr>
            </w:pPr>
            <w:r>
              <w:rPr>
                <w:rFonts w:hint="eastAsia" w:eastAsiaTheme="minorEastAsia"/>
                <w:sz w:val="18"/>
                <w:szCs w:val="18"/>
              </w:rPr>
              <w:t>24盘位（内置24块8T硬盘）</w:t>
            </w:r>
          </w:p>
          <w:p w14:paraId="607B1492">
            <w:pPr>
              <w:widowControl/>
              <w:jc w:val="left"/>
              <w:rPr>
                <w:rFonts w:eastAsiaTheme="minorEastAsia"/>
                <w:sz w:val="18"/>
                <w:szCs w:val="18"/>
              </w:rPr>
            </w:pPr>
            <w:r>
              <w:rPr>
                <w:rFonts w:hint="eastAsia" w:eastAsiaTheme="minorEastAsia"/>
                <w:sz w:val="18"/>
                <w:szCs w:val="18"/>
              </w:rPr>
              <w:t>256路H.265\H.264混合接入</w:t>
            </w:r>
          </w:p>
          <w:p w14:paraId="6CD11401">
            <w:pPr>
              <w:widowControl/>
              <w:jc w:val="left"/>
              <w:rPr>
                <w:rFonts w:eastAsiaTheme="minorEastAsia"/>
                <w:sz w:val="18"/>
                <w:szCs w:val="18"/>
              </w:rPr>
            </w:pPr>
            <w:r>
              <w:rPr>
                <w:rFonts w:hint="eastAsia" w:eastAsiaTheme="minorEastAsia"/>
                <w:sz w:val="18"/>
                <w:szCs w:val="18"/>
              </w:rPr>
              <w:t>支持Raid</w:t>
            </w:r>
          </w:p>
          <w:p w14:paraId="2BF96AF1">
            <w:pPr>
              <w:widowControl/>
              <w:jc w:val="left"/>
              <w:rPr>
                <w:rFonts w:eastAsiaTheme="minorEastAsia"/>
                <w:sz w:val="18"/>
                <w:szCs w:val="18"/>
              </w:rPr>
            </w:pPr>
            <w:r>
              <w:rPr>
                <w:rFonts w:hint="eastAsia" w:eastAsiaTheme="minorEastAsia"/>
                <w:sz w:val="18"/>
                <w:szCs w:val="18"/>
              </w:rPr>
              <w:t>整机热备</w:t>
            </w:r>
          </w:p>
          <w:p w14:paraId="1A886DB4">
            <w:pPr>
              <w:widowControl/>
              <w:jc w:val="left"/>
              <w:rPr>
                <w:rFonts w:eastAsiaTheme="minorEastAsia"/>
                <w:sz w:val="18"/>
                <w:szCs w:val="18"/>
              </w:rPr>
            </w:pPr>
            <w:r>
              <w:rPr>
                <w:rFonts w:hint="eastAsia" w:eastAsiaTheme="minorEastAsia"/>
                <w:sz w:val="18"/>
                <w:szCs w:val="18"/>
              </w:rPr>
              <w:t>千兆以太网≥2个</w:t>
            </w:r>
          </w:p>
          <w:p w14:paraId="7EE5572C">
            <w:pPr>
              <w:widowControl/>
              <w:jc w:val="left"/>
              <w:rPr>
                <w:rFonts w:eastAsiaTheme="minorEastAsia"/>
                <w:sz w:val="18"/>
                <w:szCs w:val="18"/>
              </w:rPr>
            </w:pPr>
            <w:r>
              <w:rPr>
                <w:rFonts w:hint="eastAsia" w:eastAsiaTheme="minorEastAsia"/>
                <w:sz w:val="18"/>
                <w:szCs w:val="18"/>
              </w:rPr>
              <w:t>4U 机架式</w:t>
            </w:r>
          </w:p>
          <w:p w14:paraId="3F4E2972">
            <w:pPr>
              <w:widowControl/>
              <w:jc w:val="left"/>
              <w:rPr>
                <w:sz w:val="18"/>
                <w:szCs w:val="18"/>
              </w:rPr>
            </w:pPr>
            <w:r>
              <w:rPr>
                <w:rFonts w:hint="eastAsia" w:eastAsiaTheme="minorEastAsia"/>
                <w:sz w:val="18"/>
                <w:szCs w:val="18"/>
              </w:rPr>
              <w:t>视频汇聚交换机2台（三层光口交换机）</w:t>
            </w:r>
          </w:p>
        </w:tc>
        <w:tc>
          <w:tcPr>
            <w:tcW w:w="2960" w:type="dxa"/>
            <w:vAlign w:val="center"/>
          </w:tcPr>
          <w:p w14:paraId="3498DAFF"/>
        </w:tc>
      </w:tr>
      <w:tr w14:paraId="6CC49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05255A61">
            <w:pPr>
              <w:pStyle w:val="46"/>
              <w:numPr>
                <w:ilvl w:val="0"/>
                <w:numId w:val="6"/>
              </w:numPr>
              <w:ind w:left="317" w:hanging="141" w:firstLineChars="0"/>
              <w:rPr>
                <w:sz w:val="18"/>
                <w:szCs w:val="18"/>
              </w:rPr>
            </w:pPr>
          </w:p>
        </w:tc>
        <w:tc>
          <w:tcPr>
            <w:tcW w:w="992" w:type="dxa"/>
            <w:vAlign w:val="center"/>
          </w:tcPr>
          <w:p w14:paraId="0508E7C0">
            <w:pPr>
              <w:jc w:val="center"/>
              <w:rPr>
                <w:sz w:val="18"/>
                <w:szCs w:val="18"/>
              </w:rPr>
            </w:pPr>
            <w:r>
              <w:rPr>
                <w:rFonts w:hint="eastAsia"/>
                <w:sz w:val="18"/>
                <w:szCs w:val="18"/>
              </w:rPr>
              <w:t>控制电缆4*1.0</w:t>
            </w:r>
          </w:p>
        </w:tc>
        <w:tc>
          <w:tcPr>
            <w:tcW w:w="3703" w:type="dxa"/>
            <w:vAlign w:val="center"/>
          </w:tcPr>
          <w:p w14:paraId="002B17C9">
            <w:pPr>
              <w:widowControl/>
              <w:jc w:val="left"/>
              <w:rPr>
                <w:sz w:val="18"/>
                <w:szCs w:val="18"/>
              </w:rPr>
            </w:pPr>
            <w:r>
              <w:rPr>
                <w:rFonts w:hint="eastAsia"/>
                <w:sz w:val="18"/>
                <w:szCs w:val="18"/>
              </w:rPr>
              <w:t>控制电缆 ZA-RVVP22-4*1.0</w:t>
            </w:r>
          </w:p>
        </w:tc>
        <w:tc>
          <w:tcPr>
            <w:tcW w:w="2960" w:type="dxa"/>
            <w:vAlign w:val="center"/>
          </w:tcPr>
          <w:p w14:paraId="103C1A2B"/>
        </w:tc>
      </w:tr>
      <w:tr w14:paraId="485B8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4C755F2A">
            <w:pPr>
              <w:pStyle w:val="46"/>
              <w:numPr>
                <w:ilvl w:val="0"/>
                <w:numId w:val="6"/>
              </w:numPr>
              <w:ind w:left="317" w:hanging="141" w:firstLineChars="0"/>
              <w:rPr>
                <w:sz w:val="18"/>
                <w:szCs w:val="18"/>
              </w:rPr>
            </w:pPr>
          </w:p>
        </w:tc>
        <w:tc>
          <w:tcPr>
            <w:tcW w:w="992" w:type="dxa"/>
            <w:vAlign w:val="center"/>
          </w:tcPr>
          <w:p w14:paraId="4DD0B1FD">
            <w:pPr>
              <w:jc w:val="center"/>
              <w:rPr>
                <w:sz w:val="18"/>
                <w:szCs w:val="18"/>
              </w:rPr>
            </w:pPr>
            <w:r>
              <w:rPr>
                <w:rFonts w:hint="eastAsia"/>
                <w:sz w:val="18"/>
                <w:szCs w:val="18"/>
              </w:rPr>
              <w:t>电源电缆3*1.5</w:t>
            </w:r>
          </w:p>
        </w:tc>
        <w:tc>
          <w:tcPr>
            <w:tcW w:w="3703" w:type="dxa"/>
            <w:vAlign w:val="center"/>
          </w:tcPr>
          <w:p w14:paraId="503DE53E">
            <w:pPr>
              <w:widowControl/>
              <w:jc w:val="left"/>
              <w:rPr>
                <w:sz w:val="18"/>
                <w:szCs w:val="18"/>
              </w:rPr>
            </w:pPr>
            <w:r>
              <w:rPr>
                <w:rFonts w:hint="eastAsia"/>
                <w:sz w:val="18"/>
                <w:szCs w:val="18"/>
              </w:rPr>
              <w:t>电源电缆 ZA-RVV-3*1.5</w:t>
            </w:r>
          </w:p>
        </w:tc>
        <w:tc>
          <w:tcPr>
            <w:tcW w:w="2960" w:type="dxa"/>
            <w:vAlign w:val="center"/>
          </w:tcPr>
          <w:p w14:paraId="7190500A"/>
        </w:tc>
      </w:tr>
      <w:tr w14:paraId="7B891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7B08DDBA">
            <w:pPr>
              <w:pStyle w:val="46"/>
              <w:numPr>
                <w:ilvl w:val="0"/>
                <w:numId w:val="6"/>
              </w:numPr>
              <w:ind w:left="317" w:hanging="141" w:firstLineChars="0"/>
              <w:rPr>
                <w:sz w:val="18"/>
                <w:szCs w:val="18"/>
              </w:rPr>
            </w:pPr>
          </w:p>
        </w:tc>
        <w:tc>
          <w:tcPr>
            <w:tcW w:w="992" w:type="dxa"/>
            <w:vAlign w:val="center"/>
          </w:tcPr>
          <w:p w14:paraId="1E2F2FE5">
            <w:pPr>
              <w:jc w:val="center"/>
              <w:rPr>
                <w:sz w:val="18"/>
                <w:szCs w:val="18"/>
              </w:rPr>
            </w:pPr>
            <w:r>
              <w:rPr>
                <w:rFonts w:hint="eastAsia"/>
                <w:sz w:val="18"/>
                <w:szCs w:val="18"/>
              </w:rPr>
              <w:t>电源电缆4*4</w:t>
            </w:r>
          </w:p>
        </w:tc>
        <w:tc>
          <w:tcPr>
            <w:tcW w:w="3703" w:type="dxa"/>
            <w:vAlign w:val="center"/>
          </w:tcPr>
          <w:p w14:paraId="23ECB812">
            <w:pPr>
              <w:widowControl/>
              <w:jc w:val="left"/>
              <w:rPr>
                <w:sz w:val="18"/>
                <w:szCs w:val="18"/>
              </w:rPr>
            </w:pPr>
            <w:r>
              <w:rPr>
                <w:rFonts w:hint="eastAsia"/>
                <w:sz w:val="18"/>
                <w:szCs w:val="18"/>
              </w:rPr>
              <w:t>电源电缆 ZA-KVVP2/22-4*4</w:t>
            </w:r>
          </w:p>
        </w:tc>
        <w:tc>
          <w:tcPr>
            <w:tcW w:w="2960" w:type="dxa"/>
            <w:vAlign w:val="center"/>
          </w:tcPr>
          <w:p w14:paraId="4B5E4BA7"/>
        </w:tc>
      </w:tr>
      <w:tr w14:paraId="27972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55A77A1D">
            <w:pPr>
              <w:pStyle w:val="46"/>
              <w:numPr>
                <w:ilvl w:val="0"/>
                <w:numId w:val="6"/>
              </w:numPr>
              <w:ind w:left="317" w:hanging="141" w:firstLineChars="0"/>
              <w:rPr>
                <w:sz w:val="18"/>
                <w:szCs w:val="18"/>
              </w:rPr>
            </w:pPr>
          </w:p>
        </w:tc>
        <w:tc>
          <w:tcPr>
            <w:tcW w:w="992" w:type="dxa"/>
            <w:vAlign w:val="center"/>
          </w:tcPr>
          <w:p w14:paraId="150496A9">
            <w:pPr>
              <w:jc w:val="center"/>
              <w:rPr>
                <w:sz w:val="18"/>
                <w:szCs w:val="18"/>
              </w:rPr>
            </w:pPr>
            <w:r>
              <w:rPr>
                <w:rFonts w:hint="eastAsia"/>
                <w:sz w:val="18"/>
                <w:szCs w:val="18"/>
              </w:rPr>
              <w:t>超五类网线</w:t>
            </w:r>
          </w:p>
        </w:tc>
        <w:tc>
          <w:tcPr>
            <w:tcW w:w="3703" w:type="dxa"/>
            <w:vAlign w:val="center"/>
          </w:tcPr>
          <w:p w14:paraId="6AD84991">
            <w:pPr>
              <w:widowControl/>
              <w:jc w:val="left"/>
              <w:rPr>
                <w:sz w:val="18"/>
                <w:szCs w:val="18"/>
              </w:rPr>
            </w:pPr>
            <w:r>
              <w:rPr>
                <w:rFonts w:hint="eastAsia"/>
                <w:sz w:val="18"/>
                <w:szCs w:val="18"/>
              </w:rPr>
              <w:t>超五类网线</w:t>
            </w:r>
          </w:p>
        </w:tc>
        <w:tc>
          <w:tcPr>
            <w:tcW w:w="2960" w:type="dxa"/>
            <w:vAlign w:val="center"/>
          </w:tcPr>
          <w:p w14:paraId="068B4307"/>
        </w:tc>
      </w:tr>
      <w:tr w14:paraId="574F2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6CC210CF">
            <w:pPr>
              <w:pStyle w:val="46"/>
              <w:numPr>
                <w:ilvl w:val="0"/>
                <w:numId w:val="6"/>
              </w:numPr>
              <w:ind w:left="317" w:hanging="141" w:firstLineChars="0"/>
              <w:rPr>
                <w:sz w:val="18"/>
                <w:szCs w:val="18"/>
              </w:rPr>
            </w:pPr>
          </w:p>
        </w:tc>
        <w:tc>
          <w:tcPr>
            <w:tcW w:w="992" w:type="dxa"/>
            <w:vAlign w:val="center"/>
          </w:tcPr>
          <w:p w14:paraId="6C0BD566">
            <w:pPr>
              <w:jc w:val="center"/>
              <w:rPr>
                <w:sz w:val="18"/>
                <w:szCs w:val="18"/>
              </w:rPr>
            </w:pPr>
            <w:r>
              <w:rPr>
                <w:rFonts w:hint="eastAsia"/>
                <w:sz w:val="18"/>
                <w:szCs w:val="18"/>
              </w:rPr>
              <w:t>光纤</w:t>
            </w:r>
          </w:p>
        </w:tc>
        <w:tc>
          <w:tcPr>
            <w:tcW w:w="3703" w:type="dxa"/>
            <w:vAlign w:val="center"/>
          </w:tcPr>
          <w:p w14:paraId="1D06A22B">
            <w:pPr>
              <w:widowControl/>
              <w:jc w:val="left"/>
              <w:rPr>
                <w:sz w:val="18"/>
                <w:szCs w:val="18"/>
              </w:rPr>
            </w:pPr>
            <w:r>
              <w:rPr>
                <w:rFonts w:hint="eastAsia"/>
                <w:sz w:val="18"/>
                <w:szCs w:val="18"/>
              </w:rPr>
              <w:t>单模4芯光缆，铠装、阻燃、防鼠咬</w:t>
            </w:r>
          </w:p>
        </w:tc>
        <w:tc>
          <w:tcPr>
            <w:tcW w:w="2960" w:type="dxa"/>
            <w:vAlign w:val="center"/>
          </w:tcPr>
          <w:p w14:paraId="228805B1"/>
        </w:tc>
      </w:tr>
      <w:tr w14:paraId="7B6F4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12CCB2E2">
            <w:pPr>
              <w:pStyle w:val="46"/>
              <w:numPr>
                <w:ilvl w:val="0"/>
                <w:numId w:val="6"/>
              </w:numPr>
              <w:ind w:left="317" w:hanging="141" w:firstLineChars="0"/>
              <w:rPr>
                <w:sz w:val="18"/>
                <w:szCs w:val="18"/>
              </w:rPr>
            </w:pPr>
          </w:p>
        </w:tc>
        <w:tc>
          <w:tcPr>
            <w:tcW w:w="992" w:type="dxa"/>
            <w:vAlign w:val="center"/>
          </w:tcPr>
          <w:p w14:paraId="51F750EE">
            <w:pPr>
              <w:jc w:val="center"/>
              <w:rPr>
                <w:sz w:val="18"/>
                <w:szCs w:val="18"/>
              </w:rPr>
            </w:pPr>
            <w:r>
              <w:rPr>
                <w:rFonts w:hint="eastAsia"/>
                <w:sz w:val="18"/>
                <w:szCs w:val="18"/>
              </w:rPr>
              <w:t>座立式视频汇聚箱</w:t>
            </w:r>
          </w:p>
        </w:tc>
        <w:tc>
          <w:tcPr>
            <w:tcW w:w="3703" w:type="dxa"/>
            <w:vAlign w:val="center"/>
          </w:tcPr>
          <w:p w14:paraId="2F60814E">
            <w:pPr>
              <w:widowControl/>
              <w:jc w:val="left"/>
              <w:rPr>
                <w:sz w:val="18"/>
                <w:szCs w:val="18"/>
              </w:rPr>
            </w:pPr>
            <w:r>
              <w:rPr>
                <w:rFonts w:hint="eastAsia"/>
                <w:sz w:val="18"/>
                <w:szCs w:val="18"/>
              </w:rPr>
              <w:t>316不锈钢</w:t>
            </w:r>
          </w:p>
          <w:p w14:paraId="244D6A2D">
            <w:pPr>
              <w:widowControl/>
              <w:jc w:val="left"/>
              <w:rPr>
                <w:sz w:val="18"/>
                <w:szCs w:val="18"/>
              </w:rPr>
            </w:pPr>
            <w:r>
              <w:rPr>
                <w:rFonts w:hint="eastAsia"/>
                <w:sz w:val="18"/>
                <w:szCs w:val="18"/>
              </w:rPr>
              <w:t>（高*宽*深）1400*600*600</w:t>
            </w:r>
          </w:p>
          <w:p w14:paraId="48EEF5D9">
            <w:pPr>
              <w:widowControl/>
              <w:jc w:val="left"/>
              <w:rPr>
                <w:sz w:val="18"/>
                <w:szCs w:val="18"/>
              </w:rPr>
            </w:pPr>
            <w:r>
              <w:rPr>
                <w:rFonts w:hint="eastAsia"/>
                <w:sz w:val="18"/>
                <w:szCs w:val="18"/>
              </w:rPr>
              <w:t>浅灰色（RAL7035）</w:t>
            </w:r>
          </w:p>
          <w:p w14:paraId="4D7E4F47">
            <w:pPr>
              <w:widowControl/>
              <w:jc w:val="left"/>
              <w:rPr>
                <w:sz w:val="18"/>
                <w:szCs w:val="18"/>
              </w:rPr>
            </w:pPr>
            <w:r>
              <w:rPr>
                <w:rFonts w:hint="eastAsia"/>
                <w:sz w:val="18"/>
                <w:szCs w:val="18"/>
              </w:rPr>
              <w:t>带升高座，含空开、插座、接线端子排、空调。</w:t>
            </w:r>
          </w:p>
        </w:tc>
        <w:tc>
          <w:tcPr>
            <w:tcW w:w="2960" w:type="dxa"/>
            <w:vAlign w:val="center"/>
          </w:tcPr>
          <w:p w14:paraId="01B442B2"/>
        </w:tc>
      </w:tr>
      <w:tr w14:paraId="5EBC1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775E05B8">
            <w:pPr>
              <w:pStyle w:val="46"/>
              <w:numPr>
                <w:ilvl w:val="0"/>
                <w:numId w:val="6"/>
              </w:numPr>
              <w:ind w:left="317" w:hanging="141" w:firstLineChars="0"/>
              <w:rPr>
                <w:sz w:val="18"/>
                <w:szCs w:val="18"/>
              </w:rPr>
            </w:pPr>
          </w:p>
        </w:tc>
        <w:tc>
          <w:tcPr>
            <w:tcW w:w="992" w:type="dxa"/>
            <w:vAlign w:val="center"/>
          </w:tcPr>
          <w:p w14:paraId="6D0E56B5">
            <w:pPr>
              <w:jc w:val="center"/>
              <w:rPr>
                <w:sz w:val="18"/>
                <w:szCs w:val="18"/>
              </w:rPr>
            </w:pPr>
            <w:r>
              <w:rPr>
                <w:rFonts w:hint="eastAsia"/>
                <w:sz w:val="18"/>
                <w:szCs w:val="18"/>
              </w:rPr>
              <w:t>壁挂式视频汇聚箱</w:t>
            </w:r>
          </w:p>
        </w:tc>
        <w:tc>
          <w:tcPr>
            <w:tcW w:w="3703" w:type="dxa"/>
          </w:tcPr>
          <w:p w14:paraId="2E4EEF97">
            <w:pPr>
              <w:widowControl/>
              <w:jc w:val="left"/>
              <w:rPr>
                <w:sz w:val="18"/>
                <w:szCs w:val="18"/>
              </w:rPr>
            </w:pPr>
            <w:r>
              <w:rPr>
                <w:rFonts w:hint="eastAsia"/>
                <w:sz w:val="18"/>
                <w:szCs w:val="18"/>
              </w:rPr>
              <w:t>柜体、立柱采用不锈钢304材质，板厚1.2MM</w:t>
            </w:r>
          </w:p>
          <w:p w14:paraId="254A4C33">
            <w:pPr>
              <w:widowControl/>
              <w:jc w:val="left"/>
              <w:rPr>
                <w:sz w:val="18"/>
                <w:szCs w:val="18"/>
              </w:rPr>
            </w:pPr>
            <w:r>
              <w:rPr>
                <w:rFonts w:hint="eastAsia"/>
                <w:sz w:val="18"/>
                <w:szCs w:val="18"/>
              </w:rPr>
              <w:t>（高*宽*深）500*600*450</w:t>
            </w:r>
          </w:p>
          <w:p w14:paraId="5A214920">
            <w:pPr>
              <w:widowControl/>
              <w:jc w:val="left"/>
              <w:rPr>
                <w:sz w:val="18"/>
                <w:szCs w:val="18"/>
              </w:rPr>
            </w:pPr>
            <w:r>
              <w:rPr>
                <w:rFonts w:hint="eastAsia"/>
                <w:sz w:val="18"/>
                <w:szCs w:val="18"/>
              </w:rPr>
              <w:t>箱体含接地铜排、空开配电器、导轨插座、两侧配置固定方孔条等</w:t>
            </w:r>
          </w:p>
        </w:tc>
        <w:tc>
          <w:tcPr>
            <w:tcW w:w="2960" w:type="dxa"/>
            <w:vAlign w:val="center"/>
          </w:tcPr>
          <w:p w14:paraId="49FF35B4"/>
        </w:tc>
      </w:tr>
      <w:tr w14:paraId="16C74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7091CAE7">
            <w:pPr>
              <w:pStyle w:val="46"/>
              <w:numPr>
                <w:ilvl w:val="0"/>
                <w:numId w:val="6"/>
              </w:numPr>
              <w:ind w:left="317" w:hanging="141" w:firstLineChars="0"/>
              <w:rPr>
                <w:sz w:val="18"/>
                <w:szCs w:val="18"/>
              </w:rPr>
            </w:pPr>
          </w:p>
        </w:tc>
        <w:tc>
          <w:tcPr>
            <w:tcW w:w="992" w:type="dxa"/>
            <w:vAlign w:val="center"/>
          </w:tcPr>
          <w:p w14:paraId="24220657">
            <w:pPr>
              <w:jc w:val="center"/>
              <w:rPr>
                <w:sz w:val="18"/>
                <w:szCs w:val="18"/>
              </w:rPr>
            </w:pPr>
            <w:r>
              <w:rPr>
                <w:rFonts w:hint="eastAsia"/>
                <w:sz w:val="18"/>
                <w:szCs w:val="18"/>
              </w:rPr>
              <w:t>ODF配线架 24口</w:t>
            </w:r>
          </w:p>
        </w:tc>
        <w:tc>
          <w:tcPr>
            <w:tcW w:w="3703" w:type="dxa"/>
            <w:vAlign w:val="center"/>
          </w:tcPr>
          <w:p w14:paraId="485A0C59">
            <w:pPr>
              <w:widowControl/>
              <w:jc w:val="left"/>
              <w:rPr>
                <w:sz w:val="18"/>
                <w:szCs w:val="18"/>
              </w:rPr>
            </w:pPr>
            <w:r>
              <w:rPr>
                <w:rFonts w:hint="eastAsia"/>
                <w:sz w:val="18"/>
                <w:szCs w:val="18"/>
              </w:rPr>
              <w:t>2</w:t>
            </w:r>
            <w:r>
              <w:rPr>
                <w:sz w:val="18"/>
                <w:szCs w:val="18"/>
              </w:rPr>
              <w:t>4</w:t>
            </w:r>
            <w:r>
              <w:rPr>
                <w:rFonts w:hint="eastAsia"/>
                <w:sz w:val="18"/>
                <w:szCs w:val="18"/>
              </w:rPr>
              <w:t>口</w:t>
            </w:r>
          </w:p>
        </w:tc>
        <w:tc>
          <w:tcPr>
            <w:tcW w:w="2960" w:type="dxa"/>
            <w:vAlign w:val="center"/>
          </w:tcPr>
          <w:p w14:paraId="41989CE1"/>
        </w:tc>
      </w:tr>
      <w:tr w14:paraId="0DD24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76415509">
            <w:pPr>
              <w:pStyle w:val="46"/>
              <w:numPr>
                <w:ilvl w:val="0"/>
                <w:numId w:val="6"/>
              </w:numPr>
              <w:ind w:left="317" w:hanging="141" w:firstLineChars="0"/>
              <w:rPr>
                <w:sz w:val="18"/>
                <w:szCs w:val="18"/>
              </w:rPr>
            </w:pPr>
          </w:p>
        </w:tc>
        <w:tc>
          <w:tcPr>
            <w:tcW w:w="992" w:type="dxa"/>
            <w:vAlign w:val="center"/>
          </w:tcPr>
          <w:p w14:paraId="436835AD">
            <w:pPr>
              <w:jc w:val="center"/>
              <w:rPr>
                <w:sz w:val="18"/>
                <w:szCs w:val="18"/>
              </w:rPr>
            </w:pPr>
            <w:r>
              <w:rPr>
                <w:rFonts w:hint="eastAsia"/>
                <w:sz w:val="18"/>
                <w:szCs w:val="18"/>
              </w:rPr>
              <w:t>ODF配线架 48口</w:t>
            </w:r>
          </w:p>
        </w:tc>
        <w:tc>
          <w:tcPr>
            <w:tcW w:w="3703" w:type="dxa"/>
            <w:vAlign w:val="center"/>
          </w:tcPr>
          <w:p w14:paraId="0FE00DFC">
            <w:pPr>
              <w:widowControl/>
              <w:jc w:val="left"/>
              <w:rPr>
                <w:sz w:val="18"/>
                <w:szCs w:val="18"/>
              </w:rPr>
            </w:pPr>
            <w:r>
              <w:rPr>
                <w:rFonts w:hint="eastAsia" w:eastAsiaTheme="minorEastAsia"/>
                <w:sz w:val="18"/>
                <w:szCs w:val="18"/>
              </w:rPr>
              <w:t>4</w:t>
            </w:r>
            <w:r>
              <w:rPr>
                <w:rFonts w:eastAsiaTheme="minorEastAsia"/>
                <w:sz w:val="18"/>
                <w:szCs w:val="18"/>
              </w:rPr>
              <w:t>8</w:t>
            </w:r>
            <w:r>
              <w:rPr>
                <w:rFonts w:hint="eastAsia" w:eastAsiaTheme="minorEastAsia"/>
                <w:sz w:val="18"/>
                <w:szCs w:val="18"/>
              </w:rPr>
              <w:t>口</w:t>
            </w:r>
          </w:p>
        </w:tc>
        <w:tc>
          <w:tcPr>
            <w:tcW w:w="2960" w:type="dxa"/>
            <w:vAlign w:val="center"/>
          </w:tcPr>
          <w:p w14:paraId="218531C0"/>
        </w:tc>
      </w:tr>
      <w:tr w14:paraId="4A4FF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56A93312">
            <w:pPr>
              <w:pStyle w:val="46"/>
              <w:numPr>
                <w:ilvl w:val="0"/>
                <w:numId w:val="6"/>
              </w:numPr>
              <w:ind w:left="317" w:hanging="141" w:firstLineChars="0"/>
              <w:rPr>
                <w:sz w:val="18"/>
                <w:szCs w:val="18"/>
              </w:rPr>
            </w:pPr>
          </w:p>
        </w:tc>
        <w:tc>
          <w:tcPr>
            <w:tcW w:w="992" w:type="dxa"/>
            <w:vAlign w:val="center"/>
          </w:tcPr>
          <w:p w14:paraId="34191062">
            <w:pPr>
              <w:jc w:val="center"/>
              <w:rPr>
                <w:sz w:val="18"/>
                <w:szCs w:val="18"/>
              </w:rPr>
            </w:pPr>
            <w:r>
              <w:rPr>
                <w:rFonts w:hint="eastAsia"/>
                <w:sz w:val="18"/>
                <w:szCs w:val="18"/>
              </w:rPr>
              <w:t>PVC管</w:t>
            </w:r>
          </w:p>
        </w:tc>
        <w:tc>
          <w:tcPr>
            <w:tcW w:w="3703" w:type="dxa"/>
            <w:vAlign w:val="center"/>
          </w:tcPr>
          <w:p w14:paraId="7FC1AD9F">
            <w:pPr>
              <w:widowControl/>
              <w:jc w:val="left"/>
              <w:rPr>
                <w:sz w:val="18"/>
                <w:szCs w:val="18"/>
              </w:rPr>
            </w:pPr>
            <w:r>
              <w:rPr>
                <w:rFonts w:hint="eastAsia"/>
                <w:sz w:val="18"/>
                <w:szCs w:val="18"/>
              </w:rPr>
              <w:t>φ32</w:t>
            </w:r>
          </w:p>
        </w:tc>
        <w:tc>
          <w:tcPr>
            <w:tcW w:w="2960" w:type="dxa"/>
            <w:vAlign w:val="center"/>
          </w:tcPr>
          <w:p w14:paraId="442E967C"/>
        </w:tc>
      </w:tr>
      <w:tr w14:paraId="22D72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78F47E7A">
            <w:pPr>
              <w:pStyle w:val="46"/>
              <w:numPr>
                <w:ilvl w:val="0"/>
                <w:numId w:val="6"/>
              </w:numPr>
              <w:ind w:left="317" w:hanging="141" w:firstLineChars="0"/>
              <w:rPr>
                <w:sz w:val="18"/>
                <w:szCs w:val="18"/>
              </w:rPr>
            </w:pPr>
          </w:p>
        </w:tc>
        <w:tc>
          <w:tcPr>
            <w:tcW w:w="992" w:type="dxa"/>
            <w:vAlign w:val="center"/>
          </w:tcPr>
          <w:p w14:paraId="56A5017C">
            <w:pPr>
              <w:jc w:val="center"/>
              <w:rPr>
                <w:sz w:val="18"/>
                <w:szCs w:val="18"/>
              </w:rPr>
            </w:pPr>
            <w:r>
              <w:rPr>
                <w:rFonts w:hint="eastAsia"/>
                <w:sz w:val="18"/>
                <w:szCs w:val="18"/>
              </w:rPr>
              <w:t xml:space="preserve">Φ25镀锌钢管 </w:t>
            </w:r>
          </w:p>
        </w:tc>
        <w:tc>
          <w:tcPr>
            <w:tcW w:w="3703" w:type="dxa"/>
            <w:vAlign w:val="center"/>
          </w:tcPr>
          <w:p w14:paraId="70F2A395">
            <w:pPr>
              <w:widowControl/>
              <w:jc w:val="left"/>
              <w:rPr>
                <w:sz w:val="18"/>
                <w:szCs w:val="18"/>
              </w:rPr>
            </w:pPr>
            <w:r>
              <w:rPr>
                <w:rFonts w:hint="eastAsia"/>
                <w:sz w:val="18"/>
                <w:szCs w:val="18"/>
              </w:rPr>
              <w:t>Φ25</w:t>
            </w:r>
          </w:p>
        </w:tc>
        <w:tc>
          <w:tcPr>
            <w:tcW w:w="2960" w:type="dxa"/>
            <w:vAlign w:val="center"/>
          </w:tcPr>
          <w:p w14:paraId="277A8899"/>
        </w:tc>
      </w:tr>
      <w:tr w14:paraId="3D5B2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324EEA69">
            <w:pPr>
              <w:pStyle w:val="46"/>
              <w:numPr>
                <w:ilvl w:val="0"/>
                <w:numId w:val="6"/>
              </w:numPr>
              <w:ind w:left="317" w:hanging="141" w:firstLineChars="0"/>
              <w:rPr>
                <w:sz w:val="18"/>
                <w:szCs w:val="18"/>
              </w:rPr>
            </w:pPr>
          </w:p>
        </w:tc>
        <w:tc>
          <w:tcPr>
            <w:tcW w:w="992" w:type="dxa"/>
            <w:vAlign w:val="center"/>
          </w:tcPr>
          <w:p w14:paraId="18838BB3">
            <w:pPr>
              <w:jc w:val="center"/>
              <w:rPr>
                <w:sz w:val="18"/>
                <w:szCs w:val="18"/>
              </w:rPr>
            </w:pPr>
            <w:r>
              <w:rPr>
                <w:rFonts w:hint="eastAsia"/>
                <w:sz w:val="18"/>
                <w:szCs w:val="18"/>
              </w:rPr>
              <w:t xml:space="preserve">Φ50镀锌钢管 </w:t>
            </w:r>
          </w:p>
        </w:tc>
        <w:tc>
          <w:tcPr>
            <w:tcW w:w="3703" w:type="dxa"/>
            <w:vAlign w:val="center"/>
          </w:tcPr>
          <w:p w14:paraId="773ACD28">
            <w:pPr>
              <w:widowControl/>
              <w:jc w:val="left"/>
              <w:rPr>
                <w:sz w:val="18"/>
                <w:szCs w:val="18"/>
              </w:rPr>
            </w:pPr>
            <w:r>
              <w:rPr>
                <w:rFonts w:hint="eastAsia"/>
                <w:sz w:val="18"/>
                <w:szCs w:val="18"/>
              </w:rPr>
              <w:t>Φ50</w:t>
            </w:r>
          </w:p>
        </w:tc>
        <w:tc>
          <w:tcPr>
            <w:tcW w:w="2960" w:type="dxa"/>
            <w:vAlign w:val="center"/>
          </w:tcPr>
          <w:p w14:paraId="25DD7EEE"/>
        </w:tc>
      </w:tr>
      <w:tr w14:paraId="32DD3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6DCBF0DB">
            <w:pPr>
              <w:pStyle w:val="46"/>
              <w:numPr>
                <w:ilvl w:val="0"/>
                <w:numId w:val="6"/>
              </w:numPr>
              <w:ind w:left="317" w:hanging="141" w:firstLineChars="0"/>
              <w:rPr>
                <w:sz w:val="18"/>
                <w:szCs w:val="18"/>
              </w:rPr>
            </w:pPr>
          </w:p>
        </w:tc>
        <w:tc>
          <w:tcPr>
            <w:tcW w:w="992" w:type="dxa"/>
            <w:vAlign w:val="center"/>
          </w:tcPr>
          <w:p w14:paraId="43E3EFA1">
            <w:pPr>
              <w:jc w:val="center"/>
              <w:rPr>
                <w:sz w:val="18"/>
                <w:szCs w:val="18"/>
              </w:rPr>
            </w:pPr>
            <w:r>
              <w:rPr>
                <w:rFonts w:hint="eastAsia"/>
                <w:sz w:val="18"/>
                <w:szCs w:val="18"/>
              </w:rPr>
              <w:t>PVC线槽</w:t>
            </w:r>
          </w:p>
        </w:tc>
        <w:tc>
          <w:tcPr>
            <w:tcW w:w="3703" w:type="dxa"/>
            <w:vAlign w:val="center"/>
          </w:tcPr>
          <w:p w14:paraId="1A6CC6E3">
            <w:pPr>
              <w:widowControl/>
              <w:jc w:val="left"/>
              <w:rPr>
                <w:sz w:val="18"/>
                <w:szCs w:val="18"/>
              </w:rPr>
            </w:pPr>
            <w:r>
              <w:rPr>
                <w:rFonts w:hint="eastAsia"/>
                <w:sz w:val="18"/>
                <w:szCs w:val="18"/>
              </w:rPr>
              <w:t>尺寸100*100</w:t>
            </w:r>
          </w:p>
        </w:tc>
        <w:tc>
          <w:tcPr>
            <w:tcW w:w="2960" w:type="dxa"/>
            <w:vAlign w:val="center"/>
          </w:tcPr>
          <w:p w14:paraId="5A16AC4F"/>
        </w:tc>
      </w:tr>
      <w:tr w14:paraId="4F469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6B4FECCD">
            <w:pPr>
              <w:pStyle w:val="46"/>
              <w:numPr>
                <w:ilvl w:val="0"/>
                <w:numId w:val="6"/>
              </w:numPr>
              <w:ind w:left="317" w:hanging="141" w:firstLineChars="0"/>
              <w:rPr>
                <w:sz w:val="18"/>
                <w:szCs w:val="18"/>
              </w:rPr>
            </w:pPr>
          </w:p>
        </w:tc>
        <w:tc>
          <w:tcPr>
            <w:tcW w:w="992" w:type="dxa"/>
            <w:vAlign w:val="center"/>
          </w:tcPr>
          <w:p w14:paraId="743C628A">
            <w:pPr>
              <w:jc w:val="center"/>
              <w:rPr>
                <w:sz w:val="18"/>
                <w:szCs w:val="18"/>
              </w:rPr>
            </w:pPr>
            <w:r>
              <w:rPr>
                <w:rFonts w:hint="eastAsia"/>
                <w:sz w:val="18"/>
                <w:szCs w:val="18"/>
              </w:rPr>
              <w:t>PVC线槽</w:t>
            </w:r>
          </w:p>
        </w:tc>
        <w:tc>
          <w:tcPr>
            <w:tcW w:w="3703" w:type="dxa"/>
            <w:vAlign w:val="center"/>
          </w:tcPr>
          <w:p w14:paraId="13D451E9">
            <w:pPr>
              <w:widowControl/>
              <w:jc w:val="left"/>
              <w:rPr>
                <w:sz w:val="18"/>
                <w:szCs w:val="18"/>
              </w:rPr>
            </w:pPr>
            <w:r>
              <w:rPr>
                <w:rFonts w:hint="eastAsia"/>
                <w:sz w:val="18"/>
                <w:szCs w:val="18"/>
              </w:rPr>
              <w:t>尺寸100*50</w:t>
            </w:r>
          </w:p>
        </w:tc>
        <w:tc>
          <w:tcPr>
            <w:tcW w:w="2960" w:type="dxa"/>
            <w:vAlign w:val="center"/>
          </w:tcPr>
          <w:p w14:paraId="53571828"/>
        </w:tc>
      </w:tr>
      <w:tr w14:paraId="2B91E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635F2430">
            <w:pPr>
              <w:pStyle w:val="46"/>
              <w:numPr>
                <w:ilvl w:val="0"/>
                <w:numId w:val="6"/>
              </w:numPr>
              <w:ind w:left="317" w:hanging="141" w:firstLineChars="0"/>
              <w:rPr>
                <w:sz w:val="18"/>
                <w:szCs w:val="18"/>
              </w:rPr>
            </w:pPr>
          </w:p>
        </w:tc>
        <w:tc>
          <w:tcPr>
            <w:tcW w:w="992" w:type="dxa"/>
            <w:vAlign w:val="center"/>
          </w:tcPr>
          <w:p w14:paraId="53FC2E7C">
            <w:pPr>
              <w:jc w:val="center"/>
              <w:rPr>
                <w:sz w:val="18"/>
                <w:szCs w:val="18"/>
              </w:rPr>
            </w:pPr>
            <w:r>
              <w:rPr>
                <w:rFonts w:hint="eastAsia"/>
                <w:sz w:val="18"/>
                <w:szCs w:val="18"/>
              </w:rPr>
              <w:t>镀锌钢线槽</w:t>
            </w:r>
          </w:p>
        </w:tc>
        <w:tc>
          <w:tcPr>
            <w:tcW w:w="3703" w:type="dxa"/>
            <w:vAlign w:val="center"/>
          </w:tcPr>
          <w:p w14:paraId="0C903E37">
            <w:pPr>
              <w:widowControl/>
              <w:jc w:val="left"/>
              <w:rPr>
                <w:rFonts w:ascii="宋体" w:hAnsi="宋体"/>
                <w:sz w:val="18"/>
                <w:szCs w:val="18"/>
              </w:rPr>
            </w:pPr>
            <w:r>
              <w:rPr>
                <w:rFonts w:hint="eastAsia"/>
                <w:sz w:val="18"/>
                <w:szCs w:val="18"/>
              </w:rPr>
              <w:t>尺寸100*100*1.5</w:t>
            </w:r>
          </w:p>
        </w:tc>
        <w:tc>
          <w:tcPr>
            <w:tcW w:w="2960" w:type="dxa"/>
            <w:vAlign w:val="center"/>
          </w:tcPr>
          <w:p w14:paraId="14AF7E6D"/>
        </w:tc>
      </w:tr>
      <w:tr w14:paraId="44596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17AA3092">
            <w:pPr>
              <w:pStyle w:val="46"/>
              <w:numPr>
                <w:ilvl w:val="0"/>
                <w:numId w:val="6"/>
              </w:numPr>
              <w:ind w:left="317" w:hanging="141" w:firstLineChars="0"/>
              <w:rPr>
                <w:sz w:val="18"/>
                <w:szCs w:val="18"/>
              </w:rPr>
            </w:pPr>
          </w:p>
        </w:tc>
        <w:tc>
          <w:tcPr>
            <w:tcW w:w="992" w:type="dxa"/>
            <w:vAlign w:val="center"/>
          </w:tcPr>
          <w:p w14:paraId="77161BBD">
            <w:pPr>
              <w:jc w:val="center"/>
              <w:rPr>
                <w:sz w:val="18"/>
                <w:szCs w:val="18"/>
              </w:rPr>
            </w:pPr>
            <w:r>
              <w:rPr>
                <w:rFonts w:hint="eastAsia"/>
                <w:sz w:val="18"/>
                <w:szCs w:val="18"/>
              </w:rPr>
              <w:t>防火封堵</w:t>
            </w:r>
          </w:p>
        </w:tc>
        <w:tc>
          <w:tcPr>
            <w:tcW w:w="3703" w:type="dxa"/>
            <w:vAlign w:val="center"/>
          </w:tcPr>
          <w:p w14:paraId="6E63E6D9">
            <w:pPr>
              <w:widowControl/>
              <w:jc w:val="left"/>
              <w:rPr>
                <w:sz w:val="18"/>
                <w:szCs w:val="18"/>
              </w:rPr>
            </w:pPr>
            <w:r>
              <w:rPr>
                <w:rFonts w:hint="eastAsia" w:eastAsiaTheme="minorEastAsia"/>
                <w:sz w:val="18"/>
                <w:szCs w:val="18"/>
              </w:rPr>
              <w:t>满足换流站防火封堵要求</w:t>
            </w:r>
          </w:p>
        </w:tc>
        <w:tc>
          <w:tcPr>
            <w:tcW w:w="2960" w:type="dxa"/>
            <w:vAlign w:val="center"/>
          </w:tcPr>
          <w:p w14:paraId="099C1835"/>
        </w:tc>
      </w:tr>
      <w:tr w14:paraId="4E021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351EAE66">
            <w:pPr>
              <w:pStyle w:val="46"/>
              <w:numPr>
                <w:ilvl w:val="0"/>
                <w:numId w:val="6"/>
              </w:numPr>
              <w:ind w:left="317" w:hanging="141" w:firstLineChars="0"/>
              <w:rPr>
                <w:sz w:val="18"/>
                <w:szCs w:val="18"/>
              </w:rPr>
            </w:pPr>
          </w:p>
        </w:tc>
        <w:tc>
          <w:tcPr>
            <w:tcW w:w="992" w:type="dxa"/>
            <w:vAlign w:val="center"/>
          </w:tcPr>
          <w:p w14:paraId="751540C4">
            <w:pPr>
              <w:jc w:val="center"/>
              <w:rPr>
                <w:sz w:val="18"/>
                <w:szCs w:val="18"/>
              </w:rPr>
            </w:pPr>
            <w:r>
              <w:rPr>
                <w:rFonts w:hint="eastAsia"/>
                <w:sz w:val="18"/>
                <w:szCs w:val="18"/>
              </w:rPr>
              <w:t>其他辅材</w:t>
            </w:r>
          </w:p>
        </w:tc>
        <w:tc>
          <w:tcPr>
            <w:tcW w:w="3703" w:type="dxa"/>
            <w:vAlign w:val="center"/>
          </w:tcPr>
          <w:p w14:paraId="7E571FD6">
            <w:pPr>
              <w:widowControl/>
              <w:jc w:val="left"/>
              <w:rPr>
                <w:rFonts w:eastAsiaTheme="minorEastAsia"/>
                <w:sz w:val="18"/>
                <w:szCs w:val="18"/>
              </w:rPr>
            </w:pPr>
            <w:r>
              <w:rPr>
                <w:rFonts w:hint="eastAsia"/>
                <w:sz w:val="18"/>
                <w:szCs w:val="18"/>
              </w:rPr>
              <w:t>含施工辅材、波纹管、视频配电箱、线管、接地线等</w:t>
            </w:r>
          </w:p>
        </w:tc>
        <w:tc>
          <w:tcPr>
            <w:tcW w:w="2960" w:type="dxa"/>
            <w:vAlign w:val="center"/>
          </w:tcPr>
          <w:p w14:paraId="6F6D4522"/>
        </w:tc>
      </w:tr>
      <w:tr w14:paraId="4599C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40E7A207">
            <w:pPr>
              <w:pStyle w:val="46"/>
              <w:numPr>
                <w:ilvl w:val="0"/>
                <w:numId w:val="6"/>
              </w:numPr>
              <w:ind w:left="317" w:hanging="141" w:firstLineChars="0"/>
              <w:rPr>
                <w:sz w:val="18"/>
                <w:szCs w:val="18"/>
              </w:rPr>
            </w:pPr>
          </w:p>
        </w:tc>
        <w:tc>
          <w:tcPr>
            <w:tcW w:w="992" w:type="dxa"/>
            <w:vAlign w:val="center"/>
          </w:tcPr>
          <w:p w14:paraId="113FB96B">
            <w:pPr>
              <w:jc w:val="center"/>
              <w:rPr>
                <w:sz w:val="18"/>
                <w:szCs w:val="18"/>
              </w:rPr>
            </w:pPr>
            <w:r>
              <w:rPr>
                <w:rFonts w:hint="eastAsia"/>
                <w:sz w:val="18"/>
                <w:szCs w:val="18"/>
              </w:rPr>
              <w:t>分子系统调试</w:t>
            </w:r>
          </w:p>
        </w:tc>
        <w:tc>
          <w:tcPr>
            <w:tcW w:w="3703" w:type="dxa"/>
            <w:vAlign w:val="center"/>
          </w:tcPr>
          <w:p w14:paraId="37278EC8">
            <w:pPr>
              <w:widowControl/>
              <w:jc w:val="left"/>
              <w:rPr>
                <w:rFonts w:eastAsiaTheme="minorEastAsia"/>
                <w:sz w:val="18"/>
                <w:szCs w:val="18"/>
              </w:rPr>
            </w:pPr>
            <w:r>
              <w:rPr>
                <w:rFonts w:hint="eastAsia"/>
                <w:sz w:val="18"/>
                <w:szCs w:val="18"/>
              </w:rPr>
              <w:t>智能监视、巡视及安全分系统调试</w:t>
            </w:r>
          </w:p>
        </w:tc>
        <w:tc>
          <w:tcPr>
            <w:tcW w:w="2960" w:type="dxa"/>
            <w:vAlign w:val="center"/>
          </w:tcPr>
          <w:p w14:paraId="039D5385"/>
        </w:tc>
      </w:tr>
      <w:bookmarkEnd w:id="280"/>
    </w:tbl>
    <w:p w14:paraId="374E8A34">
      <w:pPr>
        <w:spacing w:line="360" w:lineRule="auto"/>
      </w:pPr>
      <w:bookmarkStart w:id="281" w:name="_Toc287602849"/>
    </w:p>
    <w:p w14:paraId="5B18C54E">
      <w:pPr>
        <w:pStyle w:val="4"/>
        <w:adjustRightInd w:val="0"/>
        <w:spacing w:before="0"/>
      </w:pPr>
      <w:r>
        <w:t xml:space="preserve"> </w:t>
      </w:r>
      <w:bookmarkStart w:id="282" w:name="_Toc84839279"/>
      <w:bookmarkStart w:id="283" w:name="_Toc226110504"/>
      <w:bookmarkStart w:id="284" w:name="_Toc83649572"/>
      <w:r>
        <w:t>技术差异表</w:t>
      </w:r>
      <w:bookmarkEnd w:id="281"/>
      <w:bookmarkEnd w:id="282"/>
      <w:bookmarkEnd w:id="283"/>
      <w:bookmarkEnd w:id="284"/>
    </w:p>
    <w:p w14:paraId="60562810">
      <w:pPr>
        <w:pStyle w:val="50"/>
        <w:spacing w:line="360" w:lineRule="auto"/>
        <w:ind w:firstLine="405" w:firstLineChars="193"/>
        <w:rPr>
          <w:rFonts w:ascii="Times New Roman"/>
          <w:sz w:val="18"/>
          <w:szCs w:val="18"/>
        </w:rPr>
      </w:pPr>
      <w:bookmarkStart w:id="285" w:name="_Toc226362579"/>
      <w:r>
        <w:rPr>
          <w:rFonts w:ascii="Times New Roman"/>
        </w:rPr>
        <w:t>投标方应将所供设备与本招标书技术文件有差异之处，无论优于或劣于本招标书技术文件要求，均汇集成此表。</w:t>
      </w:r>
    </w:p>
    <w:p w14:paraId="644BC8C6">
      <w:pPr>
        <w:pStyle w:val="50"/>
        <w:spacing w:line="360" w:lineRule="auto"/>
        <w:ind w:firstLine="0" w:firstLineChars="0"/>
        <w:jc w:val="center"/>
        <w:rPr>
          <w:rFonts w:ascii="Times New Roman"/>
          <w:szCs w:val="21"/>
        </w:rPr>
      </w:pPr>
      <w:r>
        <w:rPr>
          <w:rFonts w:ascii="Times New Roman"/>
          <w:szCs w:val="21"/>
        </w:rPr>
        <w:t>表15 技术差异表</w:t>
      </w:r>
      <w:bookmarkEnd w:id="285"/>
      <w:r>
        <w:rPr>
          <w:rFonts w:ascii="Times New Roman"/>
          <w:szCs w:val="21"/>
        </w:rPr>
        <w:t xml:space="preserve">  （投标方填写）</w:t>
      </w:r>
    </w:p>
    <w:tbl>
      <w:tblPr>
        <w:tblStyle w:val="31"/>
        <w:tblW w:w="838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79"/>
        <w:gridCol w:w="1163"/>
        <w:gridCol w:w="2713"/>
        <w:gridCol w:w="1258"/>
        <w:gridCol w:w="2575"/>
      </w:tblGrid>
      <w:tr w14:paraId="36A25A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79" w:type="dxa"/>
            <w:vMerge w:val="restart"/>
            <w:vAlign w:val="center"/>
          </w:tcPr>
          <w:p w14:paraId="4A624166">
            <w:pPr>
              <w:widowControl/>
              <w:autoSpaceDE w:val="0"/>
              <w:autoSpaceDN w:val="0"/>
              <w:spacing w:before="60" w:after="60"/>
              <w:jc w:val="center"/>
              <w:textAlignment w:val="bottom"/>
              <w:rPr>
                <w:sz w:val="18"/>
                <w:szCs w:val="18"/>
              </w:rPr>
            </w:pPr>
            <w:r>
              <w:rPr>
                <w:sz w:val="18"/>
                <w:szCs w:val="18"/>
              </w:rPr>
              <w:t>序</w:t>
            </w:r>
          </w:p>
          <w:p w14:paraId="3673CE5B">
            <w:pPr>
              <w:autoSpaceDE w:val="0"/>
              <w:autoSpaceDN w:val="0"/>
              <w:spacing w:before="60" w:after="60"/>
              <w:jc w:val="center"/>
              <w:textAlignment w:val="bottom"/>
              <w:rPr>
                <w:sz w:val="18"/>
                <w:szCs w:val="18"/>
              </w:rPr>
            </w:pPr>
            <w:r>
              <w:rPr>
                <w:sz w:val="18"/>
                <w:szCs w:val="18"/>
              </w:rPr>
              <w:t>号</w:t>
            </w:r>
          </w:p>
        </w:tc>
        <w:tc>
          <w:tcPr>
            <w:tcW w:w="3876" w:type="dxa"/>
            <w:gridSpan w:val="2"/>
            <w:vAlign w:val="center"/>
          </w:tcPr>
          <w:p w14:paraId="13C04CE8">
            <w:pPr>
              <w:widowControl/>
              <w:autoSpaceDE w:val="0"/>
              <w:autoSpaceDN w:val="0"/>
              <w:spacing w:before="60" w:after="60"/>
              <w:jc w:val="center"/>
              <w:textAlignment w:val="bottom"/>
              <w:rPr>
                <w:sz w:val="18"/>
                <w:szCs w:val="18"/>
              </w:rPr>
            </w:pPr>
            <w:r>
              <w:rPr>
                <w:sz w:val="18"/>
                <w:szCs w:val="18"/>
              </w:rPr>
              <w:t>招 标 文 件</w:t>
            </w:r>
          </w:p>
        </w:tc>
        <w:tc>
          <w:tcPr>
            <w:tcW w:w="3833" w:type="dxa"/>
            <w:gridSpan w:val="2"/>
            <w:vAlign w:val="center"/>
          </w:tcPr>
          <w:p w14:paraId="53531D92">
            <w:pPr>
              <w:widowControl/>
              <w:autoSpaceDE w:val="0"/>
              <w:autoSpaceDN w:val="0"/>
              <w:spacing w:before="60" w:after="60"/>
              <w:jc w:val="center"/>
              <w:textAlignment w:val="bottom"/>
              <w:rPr>
                <w:sz w:val="18"/>
                <w:szCs w:val="18"/>
              </w:rPr>
            </w:pPr>
            <w:r>
              <w:rPr>
                <w:sz w:val="18"/>
                <w:szCs w:val="18"/>
              </w:rPr>
              <w:t>投  标  文  件</w:t>
            </w:r>
          </w:p>
        </w:tc>
      </w:tr>
      <w:tr w14:paraId="0B6C06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79" w:type="dxa"/>
            <w:vMerge w:val="continue"/>
            <w:vAlign w:val="center"/>
          </w:tcPr>
          <w:p w14:paraId="0D6B79E0">
            <w:pPr>
              <w:widowControl/>
              <w:autoSpaceDE w:val="0"/>
              <w:autoSpaceDN w:val="0"/>
              <w:spacing w:before="60" w:after="60"/>
              <w:jc w:val="center"/>
              <w:textAlignment w:val="bottom"/>
              <w:rPr>
                <w:sz w:val="18"/>
                <w:szCs w:val="18"/>
              </w:rPr>
            </w:pPr>
          </w:p>
        </w:tc>
        <w:tc>
          <w:tcPr>
            <w:tcW w:w="1163" w:type="dxa"/>
            <w:vAlign w:val="center"/>
          </w:tcPr>
          <w:p w14:paraId="6F2F38F3">
            <w:pPr>
              <w:widowControl/>
              <w:autoSpaceDE w:val="0"/>
              <w:autoSpaceDN w:val="0"/>
              <w:spacing w:before="60" w:after="60"/>
              <w:jc w:val="center"/>
              <w:textAlignment w:val="bottom"/>
              <w:rPr>
                <w:sz w:val="18"/>
                <w:szCs w:val="18"/>
              </w:rPr>
            </w:pPr>
            <w:r>
              <w:rPr>
                <w:sz w:val="18"/>
                <w:szCs w:val="18"/>
              </w:rPr>
              <w:t>条  目</w:t>
            </w:r>
          </w:p>
        </w:tc>
        <w:tc>
          <w:tcPr>
            <w:tcW w:w="2713" w:type="dxa"/>
            <w:vAlign w:val="center"/>
          </w:tcPr>
          <w:p w14:paraId="01A8B36C">
            <w:pPr>
              <w:widowControl/>
              <w:autoSpaceDE w:val="0"/>
              <w:autoSpaceDN w:val="0"/>
              <w:spacing w:before="60" w:after="60"/>
              <w:jc w:val="center"/>
              <w:textAlignment w:val="bottom"/>
              <w:rPr>
                <w:sz w:val="18"/>
                <w:szCs w:val="18"/>
              </w:rPr>
            </w:pPr>
            <w:r>
              <w:rPr>
                <w:sz w:val="18"/>
                <w:szCs w:val="18"/>
              </w:rPr>
              <w:t>简  要  内  容</w:t>
            </w:r>
          </w:p>
        </w:tc>
        <w:tc>
          <w:tcPr>
            <w:tcW w:w="1258" w:type="dxa"/>
            <w:vAlign w:val="center"/>
          </w:tcPr>
          <w:p w14:paraId="3FF7F480">
            <w:pPr>
              <w:widowControl/>
              <w:autoSpaceDE w:val="0"/>
              <w:autoSpaceDN w:val="0"/>
              <w:spacing w:before="60" w:after="60"/>
              <w:jc w:val="center"/>
              <w:textAlignment w:val="bottom"/>
              <w:rPr>
                <w:sz w:val="18"/>
                <w:szCs w:val="18"/>
              </w:rPr>
            </w:pPr>
            <w:r>
              <w:rPr>
                <w:sz w:val="18"/>
                <w:szCs w:val="18"/>
              </w:rPr>
              <w:t>条  目</w:t>
            </w:r>
          </w:p>
        </w:tc>
        <w:tc>
          <w:tcPr>
            <w:tcW w:w="2575" w:type="dxa"/>
            <w:vAlign w:val="center"/>
          </w:tcPr>
          <w:p w14:paraId="266BAA2B">
            <w:pPr>
              <w:widowControl/>
              <w:autoSpaceDE w:val="0"/>
              <w:autoSpaceDN w:val="0"/>
              <w:spacing w:before="60" w:after="60"/>
              <w:jc w:val="center"/>
              <w:textAlignment w:val="bottom"/>
              <w:rPr>
                <w:sz w:val="18"/>
                <w:szCs w:val="18"/>
              </w:rPr>
            </w:pPr>
            <w:r>
              <w:rPr>
                <w:sz w:val="18"/>
                <w:szCs w:val="18"/>
              </w:rPr>
              <w:t>简  要  内  容</w:t>
            </w:r>
          </w:p>
        </w:tc>
      </w:tr>
      <w:tr w14:paraId="64146A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 w:hRule="atLeast"/>
          <w:jc w:val="center"/>
        </w:trPr>
        <w:tc>
          <w:tcPr>
            <w:tcW w:w="679" w:type="dxa"/>
            <w:vAlign w:val="center"/>
          </w:tcPr>
          <w:p w14:paraId="4A41E591">
            <w:pPr>
              <w:widowControl/>
              <w:autoSpaceDE w:val="0"/>
              <w:autoSpaceDN w:val="0"/>
              <w:spacing w:before="60" w:after="60"/>
              <w:jc w:val="center"/>
              <w:textAlignment w:val="bottom"/>
              <w:rPr>
                <w:sz w:val="18"/>
                <w:szCs w:val="18"/>
              </w:rPr>
            </w:pPr>
            <w:r>
              <w:rPr>
                <w:sz w:val="18"/>
                <w:szCs w:val="18"/>
              </w:rPr>
              <w:t>1</w:t>
            </w:r>
          </w:p>
        </w:tc>
        <w:tc>
          <w:tcPr>
            <w:tcW w:w="1163" w:type="dxa"/>
            <w:vAlign w:val="center"/>
          </w:tcPr>
          <w:p w14:paraId="5D10C4B0">
            <w:pPr>
              <w:widowControl/>
              <w:autoSpaceDE w:val="0"/>
              <w:autoSpaceDN w:val="0"/>
              <w:spacing w:before="60" w:after="60"/>
              <w:jc w:val="center"/>
              <w:textAlignment w:val="bottom"/>
              <w:rPr>
                <w:sz w:val="18"/>
                <w:szCs w:val="18"/>
              </w:rPr>
            </w:pPr>
          </w:p>
        </w:tc>
        <w:tc>
          <w:tcPr>
            <w:tcW w:w="2713" w:type="dxa"/>
            <w:vAlign w:val="center"/>
          </w:tcPr>
          <w:p w14:paraId="67568C0C">
            <w:pPr>
              <w:widowControl/>
              <w:autoSpaceDE w:val="0"/>
              <w:autoSpaceDN w:val="0"/>
              <w:spacing w:before="60" w:after="60"/>
              <w:jc w:val="center"/>
              <w:textAlignment w:val="bottom"/>
              <w:rPr>
                <w:sz w:val="18"/>
                <w:szCs w:val="18"/>
              </w:rPr>
            </w:pPr>
          </w:p>
        </w:tc>
        <w:tc>
          <w:tcPr>
            <w:tcW w:w="1258" w:type="dxa"/>
            <w:vAlign w:val="center"/>
          </w:tcPr>
          <w:p w14:paraId="7E4788B7">
            <w:pPr>
              <w:widowControl/>
              <w:autoSpaceDE w:val="0"/>
              <w:autoSpaceDN w:val="0"/>
              <w:spacing w:before="60" w:after="60"/>
              <w:jc w:val="center"/>
              <w:textAlignment w:val="bottom"/>
              <w:rPr>
                <w:sz w:val="18"/>
                <w:szCs w:val="18"/>
              </w:rPr>
            </w:pPr>
          </w:p>
        </w:tc>
        <w:tc>
          <w:tcPr>
            <w:tcW w:w="2575" w:type="dxa"/>
            <w:vAlign w:val="center"/>
          </w:tcPr>
          <w:p w14:paraId="1954C4F3">
            <w:pPr>
              <w:widowControl/>
              <w:autoSpaceDE w:val="0"/>
              <w:autoSpaceDN w:val="0"/>
              <w:spacing w:before="60" w:after="60"/>
              <w:jc w:val="center"/>
              <w:textAlignment w:val="bottom"/>
              <w:rPr>
                <w:sz w:val="18"/>
                <w:szCs w:val="18"/>
              </w:rPr>
            </w:pPr>
          </w:p>
        </w:tc>
      </w:tr>
      <w:tr w14:paraId="658CD7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 w:hRule="atLeast"/>
          <w:jc w:val="center"/>
        </w:trPr>
        <w:tc>
          <w:tcPr>
            <w:tcW w:w="679" w:type="dxa"/>
            <w:vAlign w:val="center"/>
          </w:tcPr>
          <w:p w14:paraId="7E45C01B">
            <w:pPr>
              <w:widowControl/>
              <w:autoSpaceDE w:val="0"/>
              <w:autoSpaceDN w:val="0"/>
              <w:spacing w:before="60" w:after="60"/>
              <w:jc w:val="center"/>
              <w:textAlignment w:val="bottom"/>
              <w:rPr>
                <w:sz w:val="18"/>
                <w:szCs w:val="18"/>
              </w:rPr>
            </w:pPr>
            <w:r>
              <w:rPr>
                <w:sz w:val="18"/>
                <w:szCs w:val="18"/>
              </w:rPr>
              <w:t>2</w:t>
            </w:r>
          </w:p>
        </w:tc>
        <w:tc>
          <w:tcPr>
            <w:tcW w:w="1163" w:type="dxa"/>
            <w:vAlign w:val="center"/>
          </w:tcPr>
          <w:p w14:paraId="54E7BA54">
            <w:pPr>
              <w:widowControl/>
              <w:autoSpaceDE w:val="0"/>
              <w:autoSpaceDN w:val="0"/>
              <w:spacing w:before="60" w:after="60"/>
              <w:jc w:val="center"/>
              <w:textAlignment w:val="bottom"/>
              <w:rPr>
                <w:sz w:val="18"/>
                <w:szCs w:val="18"/>
              </w:rPr>
            </w:pPr>
          </w:p>
        </w:tc>
        <w:tc>
          <w:tcPr>
            <w:tcW w:w="2713" w:type="dxa"/>
            <w:vAlign w:val="center"/>
          </w:tcPr>
          <w:p w14:paraId="58E3FF5B">
            <w:pPr>
              <w:widowControl/>
              <w:autoSpaceDE w:val="0"/>
              <w:autoSpaceDN w:val="0"/>
              <w:spacing w:before="60" w:after="60"/>
              <w:jc w:val="center"/>
              <w:textAlignment w:val="bottom"/>
              <w:rPr>
                <w:sz w:val="18"/>
                <w:szCs w:val="18"/>
              </w:rPr>
            </w:pPr>
          </w:p>
        </w:tc>
        <w:tc>
          <w:tcPr>
            <w:tcW w:w="1258" w:type="dxa"/>
            <w:vAlign w:val="center"/>
          </w:tcPr>
          <w:p w14:paraId="3DC833E7">
            <w:pPr>
              <w:widowControl/>
              <w:autoSpaceDE w:val="0"/>
              <w:autoSpaceDN w:val="0"/>
              <w:spacing w:before="60" w:after="60"/>
              <w:jc w:val="center"/>
              <w:textAlignment w:val="bottom"/>
              <w:rPr>
                <w:sz w:val="18"/>
                <w:szCs w:val="18"/>
              </w:rPr>
            </w:pPr>
          </w:p>
        </w:tc>
        <w:tc>
          <w:tcPr>
            <w:tcW w:w="2575" w:type="dxa"/>
            <w:vAlign w:val="center"/>
          </w:tcPr>
          <w:p w14:paraId="447C09B2">
            <w:pPr>
              <w:widowControl/>
              <w:autoSpaceDE w:val="0"/>
              <w:autoSpaceDN w:val="0"/>
              <w:spacing w:before="60" w:after="60"/>
              <w:jc w:val="center"/>
              <w:textAlignment w:val="bottom"/>
              <w:rPr>
                <w:sz w:val="18"/>
                <w:szCs w:val="18"/>
              </w:rPr>
            </w:pPr>
          </w:p>
        </w:tc>
      </w:tr>
      <w:tr w14:paraId="6BF0F9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 w:hRule="atLeast"/>
          <w:jc w:val="center"/>
        </w:trPr>
        <w:tc>
          <w:tcPr>
            <w:tcW w:w="679" w:type="dxa"/>
            <w:vAlign w:val="center"/>
          </w:tcPr>
          <w:p w14:paraId="672B313B">
            <w:pPr>
              <w:widowControl/>
              <w:autoSpaceDE w:val="0"/>
              <w:autoSpaceDN w:val="0"/>
              <w:spacing w:before="60" w:after="60"/>
              <w:jc w:val="center"/>
              <w:textAlignment w:val="bottom"/>
              <w:rPr>
                <w:sz w:val="18"/>
                <w:szCs w:val="18"/>
              </w:rPr>
            </w:pPr>
            <w:r>
              <w:rPr>
                <w:sz w:val="18"/>
                <w:szCs w:val="18"/>
              </w:rPr>
              <w:t>3</w:t>
            </w:r>
          </w:p>
        </w:tc>
        <w:tc>
          <w:tcPr>
            <w:tcW w:w="1163" w:type="dxa"/>
            <w:vAlign w:val="center"/>
          </w:tcPr>
          <w:p w14:paraId="7F0C82FD">
            <w:pPr>
              <w:widowControl/>
              <w:autoSpaceDE w:val="0"/>
              <w:autoSpaceDN w:val="0"/>
              <w:spacing w:before="60" w:after="60"/>
              <w:jc w:val="center"/>
              <w:textAlignment w:val="bottom"/>
              <w:rPr>
                <w:sz w:val="18"/>
                <w:szCs w:val="18"/>
              </w:rPr>
            </w:pPr>
          </w:p>
        </w:tc>
        <w:tc>
          <w:tcPr>
            <w:tcW w:w="2713" w:type="dxa"/>
            <w:vAlign w:val="center"/>
          </w:tcPr>
          <w:p w14:paraId="1E0A2CF5">
            <w:pPr>
              <w:widowControl/>
              <w:autoSpaceDE w:val="0"/>
              <w:autoSpaceDN w:val="0"/>
              <w:spacing w:before="60" w:after="60"/>
              <w:jc w:val="center"/>
              <w:textAlignment w:val="bottom"/>
              <w:rPr>
                <w:sz w:val="18"/>
                <w:szCs w:val="18"/>
              </w:rPr>
            </w:pPr>
          </w:p>
        </w:tc>
        <w:tc>
          <w:tcPr>
            <w:tcW w:w="1258" w:type="dxa"/>
            <w:vAlign w:val="center"/>
          </w:tcPr>
          <w:p w14:paraId="076B6F06">
            <w:pPr>
              <w:widowControl/>
              <w:autoSpaceDE w:val="0"/>
              <w:autoSpaceDN w:val="0"/>
              <w:spacing w:before="60" w:after="60"/>
              <w:jc w:val="center"/>
              <w:textAlignment w:val="bottom"/>
              <w:rPr>
                <w:sz w:val="18"/>
                <w:szCs w:val="18"/>
              </w:rPr>
            </w:pPr>
          </w:p>
        </w:tc>
        <w:tc>
          <w:tcPr>
            <w:tcW w:w="2575" w:type="dxa"/>
            <w:vAlign w:val="center"/>
          </w:tcPr>
          <w:p w14:paraId="3F8EFF9D">
            <w:pPr>
              <w:widowControl/>
              <w:autoSpaceDE w:val="0"/>
              <w:autoSpaceDN w:val="0"/>
              <w:spacing w:before="60" w:after="60"/>
              <w:jc w:val="center"/>
              <w:textAlignment w:val="bottom"/>
              <w:rPr>
                <w:sz w:val="18"/>
                <w:szCs w:val="18"/>
              </w:rPr>
            </w:pPr>
          </w:p>
        </w:tc>
      </w:tr>
      <w:tr w14:paraId="7FFDD7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 w:hRule="atLeast"/>
          <w:jc w:val="center"/>
        </w:trPr>
        <w:tc>
          <w:tcPr>
            <w:tcW w:w="679" w:type="dxa"/>
            <w:vAlign w:val="center"/>
          </w:tcPr>
          <w:p w14:paraId="16B30B1F">
            <w:pPr>
              <w:widowControl/>
              <w:autoSpaceDE w:val="0"/>
              <w:autoSpaceDN w:val="0"/>
              <w:spacing w:before="60" w:after="60"/>
              <w:jc w:val="center"/>
              <w:textAlignment w:val="bottom"/>
              <w:rPr>
                <w:sz w:val="18"/>
                <w:szCs w:val="18"/>
              </w:rPr>
            </w:pPr>
            <w:r>
              <w:rPr>
                <w:sz w:val="18"/>
                <w:szCs w:val="18"/>
              </w:rPr>
              <w:t>4</w:t>
            </w:r>
          </w:p>
        </w:tc>
        <w:tc>
          <w:tcPr>
            <w:tcW w:w="1163" w:type="dxa"/>
            <w:vAlign w:val="center"/>
          </w:tcPr>
          <w:p w14:paraId="6DBE5E54">
            <w:pPr>
              <w:widowControl/>
              <w:autoSpaceDE w:val="0"/>
              <w:autoSpaceDN w:val="0"/>
              <w:spacing w:before="60" w:after="60"/>
              <w:jc w:val="center"/>
              <w:textAlignment w:val="bottom"/>
              <w:rPr>
                <w:sz w:val="18"/>
                <w:szCs w:val="18"/>
              </w:rPr>
            </w:pPr>
          </w:p>
        </w:tc>
        <w:tc>
          <w:tcPr>
            <w:tcW w:w="2713" w:type="dxa"/>
            <w:vAlign w:val="center"/>
          </w:tcPr>
          <w:p w14:paraId="3B35B3F4">
            <w:pPr>
              <w:widowControl/>
              <w:autoSpaceDE w:val="0"/>
              <w:autoSpaceDN w:val="0"/>
              <w:spacing w:before="60" w:after="60"/>
              <w:jc w:val="center"/>
              <w:textAlignment w:val="bottom"/>
              <w:rPr>
                <w:sz w:val="18"/>
                <w:szCs w:val="18"/>
              </w:rPr>
            </w:pPr>
          </w:p>
        </w:tc>
        <w:tc>
          <w:tcPr>
            <w:tcW w:w="1258" w:type="dxa"/>
            <w:vAlign w:val="center"/>
          </w:tcPr>
          <w:p w14:paraId="16455FCD">
            <w:pPr>
              <w:widowControl/>
              <w:autoSpaceDE w:val="0"/>
              <w:autoSpaceDN w:val="0"/>
              <w:spacing w:before="60" w:after="60"/>
              <w:jc w:val="center"/>
              <w:textAlignment w:val="bottom"/>
              <w:rPr>
                <w:sz w:val="18"/>
                <w:szCs w:val="18"/>
              </w:rPr>
            </w:pPr>
          </w:p>
        </w:tc>
        <w:tc>
          <w:tcPr>
            <w:tcW w:w="2575" w:type="dxa"/>
            <w:vAlign w:val="center"/>
          </w:tcPr>
          <w:p w14:paraId="7E78EBDF">
            <w:pPr>
              <w:widowControl/>
              <w:autoSpaceDE w:val="0"/>
              <w:autoSpaceDN w:val="0"/>
              <w:spacing w:before="60" w:after="60"/>
              <w:jc w:val="center"/>
              <w:textAlignment w:val="bottom"/>
              <w:rPr>
                <w:sz w:val="18"/>
                <w:szCs w:val="18"/>
              </w:rPr>
            </w:pPr>
          </w:p>
        </w:tc>
      </w:tr>
    </w:tbl>
    <w:p w14:paraId="48379B39">
      <w:pPr>
        <w:pStyle w:val="19"/>
        <w:adjustRightInd w:val="0"/>
        <w:snapToGrid w:val="0"/>
        <w:spacing w:before="163" w:beforeLines="50" w:line="360" w:lineRule="auto"/>
        <w:rPr>
          <w:rFonts w:ascii="Times New Roman" w:hAnsi="Times New Roman"/>
          <w:szCs w:val="21"/>
        </w:rPr>
      </w:pPr>
      <w:r>
        <w:rPr>
          <w:rFonts w:ascii="Times New Roman" w:hAnsi="Times New Roman"/>
          <w:szCs w:val="21"/>
        </w:rPr>
        <w:t>投标方：</w:t>
      </w:r>
      <w:r>
        <w:rPr>
          <w:rFonts w:ascii="Times New Roman" w:hAnsi="Times New Roman"/>
          <w:szCs w:val="21"/>
          <w:u w:val="single"/>
        </w:rPr>
        <w:t xml:space="preserve">             </w:t>
      </w:r>
      <w:r>
        <w:rPr>
          <w:rFonts w:ascii="Times New Roman" w:hAnsi="Times New Roman"/>
          <w:szCs w:val="21"/>
        </w:rPr>
        <w:t xml:space="preserve">   盖章：</w:t>
      </w:r>
    </w:p>
    <w:p w14:paraId="184AC5FB">
      <w:pPr>
        <w:pStyle w:val="19"/>
        <w:adjustRightInd w:val="0"/>
        <w:snapToGrid w:val="0"/>
        <w:spacing w:before="163" w:beforeLines="50" w:line="360" w:lineRule="auto"/>
        <w:rPr>
          <w:rFonts w:ascii="Times New Roman" w:hAnsi="Times New Roman"/>
          <w:szCs w:val="21"/>
        </w:rPr>
      </w:pPr>
    </w:p>
    <w:p w14:paraId="0799F3B9">
      <w:pPr>
        <w:pStyle w:val="4"/>
        <w:adjustRightInd w:val="0"/>
        <w:spacing w:before="0"/>
      </w:pPr>
      <w:bookmarkStart w:id="286" w:name="_Toc282420857"/>
      <w:bookmarkStart w:id="287" w:name="_Toc282421446"/>
      <w:bookmarkStart w:id="288" w:name="_Toc287602850"/>
      <w:r>
        <w:t xml:space="preserve"> </w:t>
      </w:r>
      <w:bookmarkStart w:id="289" w:name="_Toc84839280"/>
      <w:bookmarkStart w:id="290" w:name="_Toc226110505"/>
      <w:bookmarkStart w:id="291" w:name="_Toc83649573"/>
      <w:r>
        <w:t>投标方需说明的其他问题</w:t>
      </w:r>
      <w:bookmarkEnd w:id="286"/>
      <w:bookmarkEnd w:id="287"/>
      <w:bookmarkEnd w:id="288"/>
      <w:bookmarkEnd w:id="289"/>
      <w:bookmarkEnd w:id="290"/>
      <w:bookmarkEnd w:id="291"/>
    </w:p>
    <w:p w14:paraId="3827A2E6">
      <w:pPr>
        <w:adjustRightInd w:val="0"/>
        <w:snapToGrid w:val="0"/>
        <w:spacing w:line="360" w:lineRule="auto"/>
        <w:ind w:firstLine="420" w:firstLineChars="200"/>
      </w:pPr>
      <w:r>
        <w:t>如有需说明的其他问题，投标方应通过书面形式提交，并加盖公章。</w:t>
      </w:r>
    </w:p>
    <w:p w14:paraId="63A12F37"/>
    <w:p w14:paraId="399D2CC5"/>
    <w:p w14:paraId="5DCB4899"/>
    <w:sectPr>
      <w:footerReference r:id="rId5" w:type="default"/>
      <w:pgSz w:w="11906" w:h="16838"/>
      <w:pgMar w:top="1326" w:right="1418" w:bottom="1418" w:left="1418" w:header="709" w:footer="831" w:gutter="567"/>
      <w:pgNumType w:start="1"/>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Garamond">
    <w:altName w:val="PMingLiU-ExtB"/>
    <w:panose1 w:val="02020404030301010803"/>
    <w:charset w:val="00"/>
    <w:family w:val="roman"/>
    <w:pitch w:val="default"/>
    <w:sig w:usb0="00000000" w:usb1="00000000" w:usb2="00000000" w:usb3="00000000" w:csb0="0000009F" w:csb1="DFD70000"/>
  </w:font>
  <w:font w:name="方正书宋简体">
    <w:altName w:val="宋体"/>
    <w:panose1 w:val="02000000000000000000"/>
    <w:charset w:val="86"/>
    <w:family w:val="auto"/>
    <w:pitch w:val="default"/>
    <w:sig w:usb0="00000000" w:usb1="00000000" w:usb2="00000012" w:usb3="00000000" w:csb0="00040001" w:csb1="00000000"/>
  </w:font>
  <w:font w:name="PMingLiU-ExtB">
    <w:panose1 w:val="02020500000000000000"/>
    <w:charset w:val="88"/>
    <w:family w:val="auto"/>
    <w:pitch w:val="default"/>
    <w:sig w:usb0="8000002F" w:usb1="02000008" w:usb2="00000000" w:usb3="00000000" w:csb0="0010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CBA2B4">
    <w:pPr>
      <w:pStyle w:val="23"/>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1379D3">
    <w:pPr>
      <w:pStyle w:val="23"/>
      <w:jc w:val="center"/>
    </w:pPr>
    <w:r>
      <w:rPr>
        <w:rFonts w:hint="eastAsia"/>
        <w:kern w:val="0"/>
        <w:sz w:val="18"/>
        <w:szCs w:val="21"/>
      </w:rPr>
      <w:t xml:space="preserve">第 </w:t>
    </w:r>
    <w:r>
      <w:rPr>
        <w:kern w:val="0"/>
        <w:sz w:val="18"/>
        <w:szCs w:val="21"/>
      </w:rPr>
      <w:fldChar w:fldCharType="begin"/>
    </w:r>
    <w:r>
      <w:rPr>
        <w:kern w:val="0"/>
        <w:sz w:val="18"/>
        <w:szCs w:val="21"/>
      </w:rPr>
      <w:instrText xml:space="preserve"> PAGE </w:instrText>
    </w:r>
    <w:r>
      <w:rPr>
        <w:kern w:val="0"/>
        <w:sz w:val="18"/>
        <w:szCs w:val="21"/>
      </w:rPr>
      <w:fldChar w:fldCharType="separate"/>
    </w:r>
    <w:r>
      <w:rPr>
        <w:kern w:val="0"/>
        <w:sz w:val="18"/>
        <w:szCs w:val="21"/>
      </w:rPr>
      <w:t>63</w:t>
    </w:r>
    <w:r>
      <w:rPr>
        <w:kern w:val="0"/>
        <w:sz w:val="18"/>
        <w:szCs w:val="21"/>
      </w:rPr>
      <w:fldChar w:fldCharType="end"/>
    </w:r>
    <w:r>
      <w:rPr>
        <w:rFonts w:hint="eastAsia"/>
        <w:kern w:val="0"/>
        <w:sz w:val="18"/>
        <w:szCs w:val="21"/>
      </w:rPr>
      <w:t xml:space="preserve"> 页 共 </w:t>
    </w:r>
    <w:r>
      <w:rPr>
        <w:kern w:val="0"/>
        <w:sz w:val="18"/>
        <w:szCs w:val="21"/>
      </w:rPr>
      <w:fldChar w:fldCharType="begin"/>
    </w:r>
    <w:r>
      <w:rPr>
        <w:kern w:val="0"/>
        <w:sz w:val="18"/>
        <w:szCs w:val="21"/>
      </w:rPr>
      <w:instrText xml:space="preserve"> NUMPAGES </w:instrText>
    </w:r>
    <w:r>
      <w:rPr>
        <w:kern w:val="0"/>
        <w:sz w:val="18"/>
        <w:szCs w:val="21"/>
      </w:rPr>
      <w:fldChar w:fldCharType="separate"/>
    </w:r>
    <w:r>
      <w:rPr>
        <w:kern w:val="0"/>
        <w:sz w:val="18"/>
        <w:szCs w:val="21"/>
      </w:rPr>
      <w:t>66</w:t>
    </w:r>
    <w:r>
      <w:rPr>
        <w:kern w:val="0"/>
        <w:sz w:val="18"/>
        <w:szCs w:val="21"/>
      </w:rPr>
      <w:fldChar w:fldCharType="end"/>
    </w:r>
    <w:r>
      <w:rPr>
        <w:rFonts w:hint="eastAsia"/>
        <w:kern w:val="0"/>
        <w:sz w:val="18"/>
        <w:szCs w:val="21"/>
      </w:rPr>
      <w:t xml:space="preserve"> 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3737E3">
    <w:pPr>
      <w:pStyle w:val="24"/>
      <w:pBdr>
        <w:bottom w:val="single" w:color="auto" w:sz="6" w:space="0"/>
      </w:pBdr>
      <w:tabs>
        <w:tab w:val="left" w:pos="0"/>
        <w:tab w:val="center" w:pos="1134"/>
        <w:tab w:val="clear" w:pos="4153"/>
      </w:tabs>
      <w:rPr>
        <w:i/>
        <w:sz w:val="18"/>
        <w:szCs w:val="18"/>
      </w:rPr>
    </w:pPr>
    <w:r>
      <w:rPr>
        <w:rFonts w:hint="eastAsia" w:cs="Arial"/>
        <w:bCs/>
        <w:i/>
        <w:sz w:val="18"/>
        <w:szCs w:val="18"/>
        <w:highlight w:val="none"/>
        <w:lang w:eastAsia="zh-CN"/>
      </w:rPr>
      <w:t>广东电网220kV天河棠下柔直背靠背工程数字孪生应用及智能运维系统工程设计施工总承包项目</w:t>
    </w:r>
    <w:r>
      <w:rPr>
        <w:rFonts w:hint="eastAsia" w:cs="Arial"/>
        <w:bCs/>
        <w:i/>
        <w:sz w:val="18"/>
        <w:szCs w:val="18"/>
      </w:rPr>
      <w:t>技术规范书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AF134F6"/>
    <w:multiLevelType w:val="singleLevel"/>
    <w:tmpl w:val="DAF134F6"/>
    <w:lvl w:ilvl="0" w:tentative="0">
      <w:start w:val="1"/>
      <w:numFmt w:val="lowerLetter"/>
      <w:lvlText w:val="%1."/>
      <w:lvlJc w:val="left"/>
      <w:pPr>
        <w:tabs>
          <w:tab w:val="left" w:pos="420"/>
        </w:tabs>
        <w:ind w:left="845" w:hanging="425"/>
      </w:pPr>
      <w:rPr>
        <w:rFonts w:hint="default"/>
      </w:rPr>
    </w:lvl>
  </w:abstractNum>
  <w:abstractNum w:abstractNumId="1">
    <w:nsid w:val="1F0F3B0D"/>
    <w:multiLevelType w:val="multilevel"/>
    <w:tmpl w:val="1F0F3B0D"/>
    <w:lvl w:ilvl="0" w:tentative="0">
      <w:start w:val="1"/>
      <w:numFmt w:val="decimal"/>
      <w:pStyle w:val="4"/>
      <w:lvlText w:val="%1"/>
      <w:lvlJc w:val="left"/>
      <w:pPr>
        <w:tabs>
          <w:tab w:val="left" w:pos="425"/>
        </w:tabs>
        <w:ind w:left="425" w:hanging="425"/>
      </w:pPr>
      <w:rPr>
        <w:rFonts w:hint="eastAsia"/>
      </w:rPr>
    </w:lvl>
    <w:lvl w:ilvl="1" w:tentative="0">
      <w:start w:val="1"/>
      <w:numFmt w:val="decimal"/>
      <w:pStyle w:val="5"/>
      <w:lvlText w:val="%1.%2"/>
      <w:lvlJc w:val="left"/>
      <w:pPr>
        <w:tabs>
          <w:tab w:val="left" w:pos="5256"/>
        </w:tabs>
        <w:ind w:left="4961" w:hanging="425"/>
      </w:pPr>
      <w:rPr>
        <w:rFonts w:hint="eastAsia"/>
      </w:rPr>
    </w:lvl>
    <w:lvl w:ilvl="2" w:tentative="0">
      <w:start w:val="1"/>
      <w:numFmt w:val="decimal"/>
      <w:pStyle w:val="7"/>
      <w:lvlText w:val="%1.%2.%3"/>
      <w:lvlJc w:val="left"/>
      <w:pPr>
        <w:tabs>
          <w:tab w:val="left" w:pos="720"/>
        </w:tabs>
        <w:ind w:left="425" w:hanging="425"/>
      </w:pPr>
      <w:rPr>
        <w:rFonts w:hint="eastAsia"/>
      </w:rPr>
    </w:lvl>
    <w:lvl w:ilvl="3" w:tentative="0">
      <w:start w:val="1"/>
      <w:numFmt w:val="decimal"/>
      <w:pStyle w:val="8"/>
      <w:lvlText w:val="%1.%2.%3.%4"/>
      <w:lvlJc w:val="left"/>
      <w:pPr>
        <w:tabs>
          <w:tab w:val="left" w:pos="1080"/>
        </w:tabs>
        <w:ind w:left="425" w:hanging="425"/>
      </w:pPr>
      <w:rPr>
        <w:rFonts w:hint="eastAsia"/>
      </w:rPr>
    </w:lvl>
    <w:lvl w:ilvl="4" w:tentative="0">
      <w:start w:val="1"/>
      <w:numFmt w:val="decimal"/>
      <w:pStyle w:val="9"/>
      <w:lvlText w:val="%1.%2.%3.%4.%5"/>
      <w:lvlJc w:val="left"/>
      <w:pPr>
        <w:tabs>
          <w:tab w:val="left" w:pos="1440"/>
        </w:tabs>
        <w:ind w:left="425" w:hanging="425"/>
      </w:pPr>
      <w:rPr>
        <w:rFonts w:hint="eastAsia"/>
      </w:rPr>
    </w:lvl>
    <w:lvl w:ilvl="5" w:tentative="0">
      <w:start w:val="1"/>
      <w:numFmt w:val="decimal"/>
      <w:pStyle w:val="10"/>
      <w:lvlText w:val="%1.%2.%3.%4.%5.%6"/>
      <w:lvlJc w:val="left"/>
      <w:pPr>
        <w:tabs>
          <w:tab w:val="left" w:pos="1800"/>
        </w:tabs>
        <w:ind w:left="425" w:hanging="425"/>
      </w:pPr>
      <w:rPr>
        <w:rFonts w:hint="eastAsia"/>
      </w:rPr>
    </w:lvl>
    <w:lvl w:ilvl="6" w:tentative="0">
      <w:start w:val="1"/>
      <w:numFmt w:val="decimal"/>
      <w:pStyle w:val="11"/>
      <w:lvlText w:val="%1.%2.%3.%4.%5.%6.%7"/>
      <w:lvlJc w:val="left"/>
      <w:pPr>
        <w:tabs>
          <w:tab w:val="left" w:pos="1800"/>
        </w:tabs>
        <w:ind w:left="425" w:hanging="425"/>
      </w:pPr>
      <w:rPr>
        <w:rFonts w:hint="eastAsia"/>
      </w:rPr>
    </w:lvl>
    <w:lvl w:ilvl="7" w:tentative="0">
      <w:start w:val="1"/>
      <w:numFmt w:val="decimal"/>
      <w:pStyle w:val="12"/>
      <w:lvlText w:val="%1.%2.%3.%4.%5.%6.%7.%8"/>
      <w:lvlJc w:val="left"/>
      <w:pPr>
        <w:tabs>
          <w:tab w:val="left" w:pos="2160"/>
        </w:tabs>
        <w:ind w:left="425" w:hanging="425"/>
      </w:pPr>
      <w:rPr>
        <w:rFonts w:hint="eastAsia"/>
      </w:rPr>
    </w:lvl>
    <w:lvl w:ilvl="8" w:tentative="0">
      <w:start w:val="1"/>
      <w:numFmt w:val="decimal"/>
      <w:pStyle w:val="13"/>
      <w:lvlText w:val="%1.%2.%3.%4.%5.%6.%7.%8.%9"/>
      <w:lvlJc w:val="left"/>
      <w:pPr>
        <w:tabs>
          <w:tab w:val="left" w:pos="2520"/>
        </w:tabs>
        <w:ind w:left="425" w:hanging="425"/>
      </w:pPr>
      <w:rPr>
        <w:rFonts w:hint="eastAsia"/>
      </w:rPr>
    </w:lvl>
  </w:abstractNum>
  <w:abstractNum w:abstractNumId="2">
    <w:nsid w:val="30CA7DCC"/>
    <w:multiLevelType w:val="multilevel"/>
    <w:tmpl w:val="30CA7DCC"/>
    <w:lvl w:ilvl="0" w:tentative="0">
      <w:start w:val="1"/>
      <w:numFmt w:val="decimal"/>
      <w:lvlText w:val="%1"/>
      <w:lvlJc w:val="left"/>
      <w:pPr>
        <w:ind w:left="845"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396C3DDD"/>
    <w:multiLevelType w:val="singleLevel"/>
    <w:tmpl w:val="396C3DDD"/>
    <w:lvl w:ilvl="0" w:tentative="0">
      <w:start w:val="1"/>
      <w:numFmt w:val="decimal"/>
      <w:suff w:val="nothing"/>
      <w:lvlText w:val="%1、"/>
      <w:lvlJc w:val="left"/>
    </w:lvl>
  </w:abstractNum>
  <w:abstractNum w:abstractNumId="4">
    <w:nsid w:val="41521C94"/>
    <w:multiLevelType w:val="multilevel"/>
    <w:tmpl w:val="41521C94"/>
    <w:lvl w:ilvl="0" w:tentative="0">
      <w:start w:val="1"/>
      <w:numFmt w:val="decimal"/>
      <w:suff w:val="space"/>
      <w:lvlText w:val="%1"/>
      <w:lvlJc w:val="left"/>
      <w:pPr>
        <w:ind w:left="0" w:firstLine="0"/>
      </w:pPr>
      <w:rPr>
        <w:rFonts w:hint="default" w:ascii="Times New Roman" w:hAnsi="Times New Roman" w:eastAsia="宋体"/>
        <w:b/>
        <w:i w:val="0"/>
        <w:color w:val="auto"/>
        <w:sz w:val="21"/>
      </w:rPr>
    </w:lvl>
    <w:lvl w:ilvl="1" w:tentative="0">
      <w:start w:val="1"/>
      <w:numFmt w:val="decimal"/>
      <w:suff w:val="space"/>
      <w:lvlText w:val="%1.%2"/>
      <w:lvlJc w:val="left"/>
      <w:pPr>
        <w:ind w:left="0" w:firstLine="0"/>
      </w:pPr>
      <w:rPr>
        <w:rFonts w:hint="default" w:ascii="Times New Roman" w:hAnsi="Times New Roman" w:eastAsia="宋体"/>
        <w:b w:val="0"/>
        <w:i w:val="0"/>
        <w:sz w:val="21"/>
      </w:rPr>
    </w:lvl>
    <w:lvl w:ilvl="2" w:tentative="0">
      <w:start w:val="1"/>
      <w:numFmt w:val="decimal"/>
      <w:suff w:val="space"/>
      <w:lvlText w:val="%1.%2.%3 "/>
      <w:lvlJc w:val="left"/>
      <w:pPr>
        <w:ind w:left="180" w:firstLine="0"/>
      </w:pPr>
      <w:rPr>
        <w:rFonts w:hint="eastAsia" w:cs="Times New Roman"/>
        <w:b w:val="0"/>
        <w:bCs w:val="0"/>
        <w:i w:val="0"/>
        <w:iCs w:val="0"/>
        <w:caps w:val="0"/>
        <w:smallCaps w:val="0"/>
        <w:strike w:val="0"/>
        <w:dstrike w:val="0"/>
        <w:vanish w:val="0"/>
        <w:color w:val="000000"/>
        <w:spacing w:val="0"/>
        <w:position w:val="0"/>
        <w:u w:val="none"/>
        <w:vertAlign w:val="baseline"/>
        <w14:shadow w14:blurRad="0" w14:dist="0" w14:dir="0" w14:sx="0" w14:sy="0" w14:kx="0" w14:ky="0" w14:algn="none">
          <w14:srgbClr w14:val="000000"/>
        </w14:shadow>
      </w:rPr>
    </w:lvl>
    <w:lvl w:ilvl="3" w:tentative="0">
      <w:start w:val="1"/>
      <w:numFmt w:val="decimal"/>
      <w:suff w:val="space"/>
      <w:lvlText w:val="%1.%2.%3.%4 "/>
      <w:lvlJc w:val="left"/>
      <w:pPr>
        <w:ind w:left="0" w:firstLine="0"/>
      </w:pPr>
      <w:rPr>
        <w:rFonts w:hint="eastAsia" w:cs="Times New Roman"/>
        <w:b w:val="0"/>
        <w:bCs w:val="0"/>
        <w:i w:val="0"/>
        <w:iCs w:val="0"/>
        <w:caps w:val="0"/>
        <w:smallCaps w:val="0"/>
        <w:strike w:val="0"/>
        <w:dstrike w:val="0"/>
        <w:vanish w:val="0"/>
        <w:color w:val="000000"/>
        <w:spacing w:val="0"/>
        <w:position w:val="0"/>
        <w:u w:val="none"/>
        <w:vertAlign w:val="baseline"/>
        <w14:shadow w14:blurRad="0" w14:dist="0" w14:dir="0" w14:sx="0" w14:sy="0" w14:kx="0" w14:ky="0" w14:algn="none">
          <w14:srgbClr w14:val="000000"/>
        </w14:shadow>
      </w:rPr>
    </w:lvl>
    <w:lvl w:ilvl="4" w:tentative="0">
      <w:start w:val="1"/>
      <w:numFmt w:val="decimal"/>
      <w:pStyle w:val="70"/>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abstractNum w:abstractNumId="5">
    <w:nsid w:val="5BA62895"/>
    <w:multiLevelType w:val="multilevel"/>
    <w:tmpl w:val="5BA62895"/>
    <w:lvl w:ilvl="0" w:tentative="0">
      <w:start w:val="1"/>
      <w:numFmt w:val="decimal"/>
      <w:pStyle w:val="53"/>
      <w:lvlText w:val="第%1节"/>
      <w:lvlJc w:val="left"/>
      <w:pPr>
        <w:ind w:left="720" w:hanging="720"/>
      </w:pPr>
      <w:rPr>
        <w:rFonts w:hint="default"/>
        <w:sz w:val="21"/>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5"/>
  </w:num>
  <w:num w:numId="3">
    <w:abstractNumId w:val="4"/>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documentProtection w:enforcement="0"/>
  <w:defaultTabStop w:val="425"/>
  <w:drawingGridHorizontalSpacing w:val="120"/>
  <w:drawingGridVerticalSpacing w:val="163"/>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6D26"/>
    <w:rsid w:val="000042AE"/>
    <w:rsid w:val="00012C71"/>
    <w:rsid w:val="00013D62"/>
    <w:rsid w:val="00031E7C"/>
    <w:rsid w:val="00051BC0"/>
    <w:rsid w:val="00063C44"/>
    <w:rsid w:val="0006477D"/>
    <w:rsid w:val="00067D96"/>
    <w:rsid w:val="000778C2"/>
    <w:rsid w:val="00081285"/>
    <w:rsid w:val="00081BB2"/>
    <w:rsid w:val="00081F07"/>
    <w:rsid w:val="00090252"/>
    <w:rsid w:val="00095B15"/>
    <w:rsid w:val="00096D11"/>
    <w:rsid w:val="00097FB5"/>
    <w:rsid w:val="000A474E"/>
    <w:rsid w:val="000A5303"/>
    <w:rsid w:val="000A5434"/>
    <w:rsid w:val="000B0C30"/>
    <w:rsid w:val="000C144D"/>
    <w:rsid w:val="000C225B"/>
    <w:rsid w:val="000C2AF5"/>
    <w:rsid w:val="000D2030"/>
    <w:rsid w:val="000D4FFE"/>
    <w:rsid w:val="000E378B"/>
    <w:rsid w:val="000E6D93"/>
    <w:rsid w:val="000F3DB6"/>
    <w:rsid w:val="000F7DA4"/>
    <w:rsid w:val="001001EA"/>
    <w:rsid w:val="00103183"/>
    <w:rsid w:val="00105700"/>
    <w:rsid w:val="00111DC8"/>
    <w:rsid w:val="00115B6C"/>
    <w:rsid w:val="00117172"/>
    <w:rsid w:val="00117B48"/>
    <w:rsid w:val="00120100"/>
    <w:rsid w:val="00121FAB"/>
    <w:rsid w:val="00125586"/>
    <w:rsid w:val="0014225D"/>
    <w:rsid w:val="001447B9"/>
    <w:rsid w:val="00150890"/>
    <w:rsid w:val="00166591"/>
    <w:rsid w:val="001811BC"/>
    <w:rsid w:val="00185260"/>
    <w:rsid w:val="00190498"/>
    <w:rsid w:val="00193B1F"/>
    <w:rsid w:val="001A366D"/>
    <w:rsid w:val="001A479B"/>
    <w:rsid w:val="001B0983"/>
    <w:rsid w:val="001B1EA9"/>
    <w:rsid w:val="001B54FA"/>
    <w:rsid w:val="001B655C"/>
    <w:rsid w:val="001B786E"/>
    <w:rsid w:val="001D0559"/>
    <w:rsid w:val="001D2CDF"/>
    <w:rsid w:val="001D5E97"/>
    <w:rsid w:val="001D7139"/>
    <w:rsid w:val="001E4D0D"/>
    <w:rsid w:val="001E5FCD"/>
    <w:rsid w:val="001E7A6F"/>
    <w:rsid w:val="001E7D45"/>
    <w:rsid w:val="001F093D"/>
    <w:rsid w:val="001F5017"/>
    <w:rsid w:val="002004BA"/>
    <w:rsid w:val="00203147"/>
    <w:rsid w:val="00206044"/>
    <w:rsid w:val="00210CCB"/>
    <w:rsid w:val="00213077"/>
    <w:rsid w:val="00220B05"/>
    <w:rsid w:val="00222AF2"/>
    <w:rsid w:val="002336D3"/>
    <w:rsid w:val="00234466"/>
    <w:rsid w:val="002452EB"/>
    <w:rsid w:val="002468E7"/>
    <w:rsid w:val="00253425"/>
    <w:rsid w:val="00254A10"/>
    <w:rsid w:val="0025610E"/>
    <w:rsid w:val="00261A3A"/>
    <w:rsid w:val="002655B3"/>
    <w:rsid w:val="00265E9F"/>
    <w:rsid w:val="0027139A"/>
    <w:rsid w:val="00274C0D"/>
    <w:rsid w:val="002A6D2C"/>
    <w:rsid w:val="002A7814"/>
    <w:rsid w:val="002B0479"/>
    <w:rsid w:val="002B2016"/>
    <w:rsid w:val="002C685C"/>
    <w:rsid w:val="002D72BE"/>
    <w:rsid w:val="002D79E2"/>
    <w:rsid w:val="002E5981"/>
    <w:rsid w:val="002E6B20"/>
    <w:rsid w:val="00301990"/>
    <w:rsid w:val="00303CE5"/>
    <w:rsid w:val="00305012"/>
    <w:rsid w:val="003066AE"/>
    <w:rsid w:val="00320404"/>
    <w:rsid w:val="00325BDD"/>
    <w:rsid w:val="00325CFE"/>
    <w:rsid w:val="0032755E"/>
    <w:rsid w:val="0032757B"/>
    <w:rsid w:val="00327C0F"/>
    <w:rsid w:val="00331357"/>
    <w:rsid w:val="003317F4"/>
    <w:rsid w:val="00332B3B"/>
    <w:rsid w:val="00333007"/>
    <w:rsid w:val="00341B67"/>
    <w:rsid w:val="0034229A"/>
    <w:rsid w:val="00342649"/>
    <w:rsid w:val="00355868"/>
    <w:rsid w:val="00357A8C"/>
    <w:rsid w:val="00361B83"/>
    <w:rsid w:val="00370628"/>
    <w:rsid w:val="00381EBA"/>
    <w:rsid w:val="00387299"/>
    <w:rsid w:val="003A20FC"/>
    <w:rsid w:val="003B64B0"/>
    <w:rsid w:val="003C101C"/>
    <w:rsid w:val="003C12CB"/>
    <w:rsid w:val="003D10B8"/>
    <w:rsid w:val="003D19B4"/>
    <w:rsid w:val="003D3733"/>
    <w:rsid w:val="003D614A"/>
    <w:rsid w:val="003D685C"/>
    <w:rsid w:val="003D786B"/>
    <w:rsid w:val="003E1BD9"/>
    <w:rsid w:val="003E3C1A"/>
    <w:rsid w:val="003E4B7A"/>
    <w:rsid w:val="003F20D8"/>
    <w:rsid w:val="003F6AD6"/>
    <w:rsid w:val="003F6B85"/>
    <w:rsid w:val="004112B1"/>
    <w:rsid w:val="00413811"/>
    <w:rsid w:val="0042611C"/>
    <w:rsid w:val="00426C68"/>
    <w:rsid w:val="00437839"/>
    <w:rsid w:val="00445C5E"/>
    <w:rsid w:val="00447830"/>
    <w:rsid w:val="004504E5"/>
    <w:rsid w:val="00451009"/>
    <w:rsid w:val="004541DF"/>
    <w:rsid w:val="00454E0D"/>
    <w:rsid w:val="00462CE0"/>
    <w:rsid w:val="0046338D"/>
    <w:rsid w:val="00463EAE"/>
    <w:rsid w:val="004706B4"/>
    <w:rsid w:val="0047250C"/>
    <w:rsid w:val="00474F50"/>
    <w:rsid w:val="00480391"/>
    <w:rsid w:val="00487108"/>
    <w:rsid w:val="00491351"/>
    <w:rsid w:val="00491513"/>
    <w:rsid w:val="0049290C"/>
    <w:rsid w:val="00494DC4"/>
    <w:rsid w:val="0049632C"/>
    <w:rsid w:val="004A2396"/>
    <w:rsid w:val="004B600B"/>
    <w:rsid w:val="004C6B60"/>
    <w:rsid w:val="004D002A"/>
    <w:rsid w:val="004E6AA2"/>
    <w:rsid w:val="004F0EE3"/>
    <w:rsid w:val="004F67AF"/>
    <w:rsid w:val="005054A7"/>
    <w:rsid w:val="00507DDE"/>
    <w:rsid w:val="005109A3"/>
    <w:rsid w:val="00515227"/>
    <w:rsid w:val="00516E14"/>
    <w:rsid w:val="0052197B"/>
    <w:rsid w:val="00522835"/>
    <w:rsid w:val="005229C4"/>
    <w:rsid w:val="00536675"/>
    <w:rsid w:val="00544E28"/>
    <w:rsid w:val="00550C55"/>
    <w:rsid w:val="00550C78"/>
    <w:rsid w:val="005556F3"/>
    <w:rsid w:val="0056607A"/>
    <w:rsid w:val="00571458"/>
    <w:rsid w:val="00573FAF"/>
    <w:rsid w:val="00584E3A"/>
    <w:rsid w:val="00586CC0"/>
    <w:rsid w:val="0059186A"/>
    <w:rsid w:val="00591EF8"/>
    <w:rsid w:val="00594116"/>
    <w:rsid w:val="0059491B"/>
    <w:rsid w:val="00595DA5"/>
    <w:rsid w:val="005A58F5"/>
    <w:rsid w:val="005A6D26"/>
    <w:rsid w:val="005B0498"/>
    <w:rsid w:val="005B2DC9"/>
    <w:rsid w:val="005B436A"/>
    <w:rsid w:val="005B5EBB"/>
    <w:rsid w:val="005C2D3A"/>
    <w:rsid w:val="005D2BA8"/>
    <w:rsid w:val="005D3604"/>
    <w:rsid w:val="005D5F5A"/>
    <w:rsid w:val="005E2006"/>
    <w:rsid w:val="005F2DFB"/>
    <w:rsid w:val="005F39F7"/>
    <w:rsid w:val="00601298"/>
    <w:rsid w:val="00602E3D"/>
    <w:rsid w:val="00603073"/>
    <w:rsid w:val="006152E4"/>
    <w:rsid w:val="006448D8"/>
    <w:rsid w:val="00645399"/>
    <w:rsid w:val="00651408"/>
    <w:rsid w:val="006578CA"/>
    <w:rsid w:val="006609DF"/>
    <w:rsid w:val="00664785"/>
    <w:rsid w:val="00665BAF"/>
    <w:rsid w:val="00670F52"/>
    <w:rsid w:val="00673DF5"/>
    <w:rsid w:val="00675561"/>
    <w:rsid w:val="006840B5"/>
    <w:rsid w:val="006A2E3A"/>
    <w:rsid w:val="006A54F4"/>
    <w:rsid w:val="006C075D"/>
    <w:rsid w:val="006C377C"/>
    <w:rsid w:val="006C7765"/>
    <w:rsid w:val="006E38CD"/>
    <w:rsid w:val="006E74A6"/>
    <w:rsid w:val="006E7DE3"/>
    <w:rsid w:val="006F0962"/>
    <w:rsid w:val="006F0F09"/>
    <w:rsid w:val="006F77E8"/>
    <w:rsid w:val="00701176"/>
    <w:rsid w:val="0071063B"/>
    <w:rsid w:val="0071625F"/>
    <w:rsid w:val="00717EF2"/>
    <w:rsid w:val="00721FAA"/>
    <w:rsid w:val="007224B9"/>
    <w:rsid w:val="00740624"/>
    <w:rsid w:val="007443BA"/>
    <w:rsid w:val="0075388C"/>
    <w:rsid w:val="00754513"/>
    <w:rsid w:val="00756E0B"/>
    <w:rsid w:val="00760FF3"/>
    <w:rsid w:val="00765173"/>
    <w:rsid w:val="00765221"/>
    <w:rsid w:val="00765724"/>
    <w:rsid w:val="00780CF8"/>
    <w:rsid w:val="00781D6D"/>
    <w:rsid w:val="00782390"/>
    <w:rsid w:val="007834A1"/>
    <w:rsid w:val="00783C31"/>
    <w:rsid w:val="00791EDD"/>
    <w:rsid w:val="007931EF"/>
    <w:rsid w:val="0079362C"/>
    <w:rsid w:val="00793D8F"/>
    <w:rsid w:val="007963AF"/>
    <w:rsid w:val="007A04C2"/>
    <w:rsid w:val="007A1A9C"/>
    <w:rsid w:val="007B1082"/>
    <w:rsid w:val="007B46DB"/>
    <w:rsid w:val="007B5308"/>
    <w:rsid w:val="007D6D7B"/>
    <w:rsid w:val="007F3041"/>
    <w:rsid w:val="007F3C28"/>
    <w:rsid w:val="00800D55"/>
    <w:rsid w:val="00805A14"/>
    <w:rsid w:val="00811EBF"/>
    <w:rsid w:val="00816B33"/>
    <w:rsid w:val="00817079"/>
    <w:rsid w:val="008222FE"/>
    <w:rsid w:val="00823B72"/>
    <w:rsid w:val="008316FD"/>
    <w:rsid w:val="00831A19"/>
    <w:rsid w:val="00844A2A"/>
    <w:rsid w:val="00851157"/>
    <w:rsid w:val="008548F0"/>
    <w:rsid w:val="00854D86"/>
    <w:rsid w:val="008554D1"/>
    <w:rsid w:val="00864833"/>
    <w:rsid w:val="008706E2"/>
    <w:rsid w:val="0087409D"/>
    <w:rsid w:val="008740C2"/>
    <w:rsid w:val="008810A2"/>
    <w:rsid w:val="008845BB"/>
    <w:rsid w:val="0089025A"/>
    <w:rsid w:val="00890DCD"/>
    <w:rsid w:val="0089618F"/>
    <w:rsid w:val="008A1F64"/>
    <w:rsid w:val="008A2B55"/>
    <w:rsid w:val="008B063F"/>
    <w:rsid w:val="008B0B66"/>
    <w:rsid w:val="008C4709"/>
    <w:rsid w:val="008D09A3"/>
    <w:rsid w:val="008D2D7C"/>
    <w:rsid w:val="008D5D3F"/>
    <w:rsid w:val="008E073A"/>
    <w:rsid w:val="008F0239"/>
    <w:rsid w:val="008F1B3A"/>
    <w:rsid w:val="008F345D"/>
    <w:rsid w:val="009008BC"/>
    <w:rsid w:val="00901FDC"/>
    <w:rsid w:val="00902A19"/>
    <w:rsid w:val="00910804"/>
    <w:rsid w:val="00920D40"/>
    <w:rsid w:val="009217C6"/>
    <w:rsid w:val="00923BAA"/>
    <w:rsid w:val="00947C73"/>
    <w:rsid w:val="0095182B"/>
    <w:rsid w:val="0095325D"/>
    <w:rsid w:val="009570E5"/>
    <w:rsid w:val="00962ED2"/>
    <w:rsid w:val="009651C8"/>
    <w:rsid w:val="00971910"/>
    <w:rsid w:val="00987CDD"/>
    <w:rsid w:val="009924C8"/>
    <w:rsid w:val="00995D02"/>
    <w:rsid w:val="00997989"/>
    <w:rsid w:val="009B26D8"/>
    <w:rsid w:val="009B4C33"/>
    <w:rsid w:val="009B7D97"/>
    <w:rsid w:val="009D0D5A"/>
    <w:rsid w:val="009D1DA3"/>
    <w:rsid w:val="009D2772"/>
    <w:rsid w:val="009D69BB"/>
    <w:rsid w:val="009E5E09"/>
    <w:rsid w:val="009E63C7"/>
    <w:rsid w:val="009E68DD"/>
    <w:rsid w:val="009F3CF1"/>
    <w:rsid w:val="009F604C"/>
    <w:rsid w:val="00A0406C"/>
    <w:rsid w:val="00A0472B"/>
    <w:rsid w:val="00A06CE4"/>
    <w:rsid w:val="00A119C4"/>
    <w:rsid w:val="00A16BE0"/>
    <w:rsid w:val="00A262BA"/>
    <w:rsid w:val="00A431ED"/>
    <w:rsid w:val="00A44928"/>
    <w:rsid w:val="00A47570"/>
    <w:rsid w:val="00A5284D"/>
    <w:rsid w:val="00A56E89"/>
    <w:rsid w:val="00A65817"/>
    <w:rsid w:val="00A65D45"/>
    <w:rsid w:val="00A67D8C"/>
    <w:rsid w:val="00A755C4"/>
    <w:rsid w:val="00A81B7C"/>
    <w:rsid w:val="00A87E3B"/>
    <w:rsid w:val="00A91B6C"/>
    <w:rsid w:val="00A91BED"/>
    <w:rsid w:val="00A95EFD"/>
    <w:rsid w:val="00AA0F0E"/>
    <w:rsid w:val="00AA16E4"/>
    <w:rsid w:val="00AA5955"/>
    <w:rsid w:val="00AB2144"/>
    <w:rsid w:val="00AB2F93"/>
    <w:rsid w:val="00AC2C3B"/>
    <w:rsid w:val="00AD5754"/>
    <w:rsid w:val="00AD7C20"/>
    <w:rsid w:val="00AE29E8"/>
    <w:rsid w:val="00AE6099"/>
    <w:rsid w:val="00AF10CD"/>
    <w:rsid w:val="00AF7F2D"/>
    <w:rsid w:val="00B00879"/>
    <w:rsid w:val="00B16AC5"/>
    <w:rsid w:val="00B276CE"/>
    <w:rsid w:val="00B52FF9"/>
    <w:rsid w:val="00B56A0B"/>
    <w:rsid w:val="00B62638"/>
    <w:rsid w:val="00B640F4"/>
    <w:rsid w:val="00B7408C"/>
    <w:rsid w:val="00B77A15"/>
    <w:rsid w:val="00B918D5"/>
    <w:rsid w:val="00B95FBA"/>
    <w:rsid w:val="00BA328C"/>
    <w:rsid w:val="00BC0770"/>
    <w:rsid w:val="00BC2507"/>
    <w:rsid w:val="00BD005D"/>
    <w:rsid w:val="00C05057"/>
    <w:rsid w:val="00C05FAD"/>
    <w:rsid w:val="00C069FA"/>
    <w:rsid w:val="00C1183F"/>
    <w:rsid w:val="00C1279A"/>
    <w:rsid w:val="00C131A4"/>
    <w:rsid w:val="00C17900"/>
    <w:rsid w:val="00C22679"/>
    <w:rsid w:val="00C2480E"/>
    <w:rsid w:val="00C25331"/>
    <w:rsid w:val="00C26AA8"/>
    <w:rsid w:val="00C33131"/>
    <w:rsid w:val="00C34468"/>
    <w:rsid w:val="00C42877"/>
    <w:rsid w:val="00C50710"/>
    <w:rsid w:val="00C5180C"/>
    <w:rsid w:val="00C542A5"/>
    <w:rsid w:val="00C72B29"/>
    <w:rsid w:val="00C8024C"/>
    <w:rsid w:val="00C814FC"/>
    <w:rsid w:val="00C8358C"/>
    <w:rsid w:val="00C92915"/>
    <w:rsid w:val="00C97081"/>
    <w:rsid w:val="00C97A66"/>
    <w:rsid w:val="00CA4B65"/>
    <w:rsid w:val="00CB1610"/>
    <w:rsid w:val="00CB20B8"/>
    <w:rsid w:val="00CB655B"/>
    <w:rsid w:val="00CC1409"/>
    <w:rsid w:val="00CC2C7E"/>
    <w:rsid w:val="00CC48CB"/>
    <w:rsid w:val="00CC64B5"/>
    <w:rsid w:val="00CD1D0C"/>
    <w:rsid w:val="00CD2671"/>
    <w:rsid w:val="00CD4544"/>
    <w:rsid w:val="00CD7BD8"/>
    <w:rsid w:val="00CE1F48"/>
    <w:rsid w:val="00CE4614"/>
    <w:rsid w:val="00CE6ABF"/>
    <w:rsid w:val="00CF0E5B"/>
    <w:rsid w:val="00CF4332"/>
    <w:rsid w:val="00D14C11"/>
    <w:rsid w:val="00D170D3"/>
    <w:rsid w:val="00D21A67"/>
    <w:rsid w:val="00D24B26"/>
    <w:rsid w:val="00D323EF"/>
    <w:rsid w:val="00D3606A"/>
    <w:rsid w:val="00D40063"/>
    <w:rsid w:val="00D51DA9"/>
    <w:rsid w:val="00D52809"/>
    <w:rsid w:val="00D60743"/>
    <w:rsid w:val="00D61F4A"/>
    <w:rsid w:val="00D65079"/>
    <w:rsid w:val="00D65A9E"/>
    <w:rsid w:val="00D66AEF"/>
    <w:rsid w:val="00D679B2"/>
    <w:rsid w:val="00D70CD5"/>
    <w:rsid w:val="00D75037"/>
    <w:rsid w:val="00D753E5"/>
    <w:rsid w:val="00D8018A"/>
    <w:rsid w:val="00D80D9B"/>
    <w:rsid w:val="00D918AD"/>
    <w:rsid w:val="00D97B24"/>
    <w:rsid w:val="00DA351E"/>
    <w:rsid w:val="00DB00CC"/>
    <w:rsid w:val="00DB4D2E"/>
    <w:rsid w:val="00DC1B9C"/>
    <w:rsid w:val="00DC2E18"/>
    <w:rsid w:val="00DC32A3"/>
    <w:rsid w:val="00DC5F39"/>
    <w:rsid w:val="00DD0535"/>
    <w:rsid w:val="00DD404B"/>
    <w:rsid w:val="00DD7058"/>
    <w:rsid w:val="00DE0C4E"/>
    <w:rsid w:val="00DE0ED4"/>
    <w:rsid w:val="00DF14D0"/>
    <w:rsid w:val="00DF1B10"/>
    <w:rsid w:val="00DF5CAE"/>
    <w:rsid w:val="00E00879"/>
    <w:rsid w:val="00E02915"/>
    <w:rsid w:val="00E032CC"/>
    <w:rsid w:val="00E03BDE"/>
    <w:rsid w:val="00E04D38"/>
    <w:rsid w:val="00E06AC1"/>
    <w:rsid w:val="00E10310"/>
    <w:rsid w:val="00E16F28"/>
    <w:rsid w:val="00E17957"/>
    <w:rsid w:val="00E27B5D"/>
    <w:rsid w:val="00E370A9"/>
    <w:rsid w:val="00E52A53"/>
    <w:rsid w:val="00E54FF3"/>
    <w:rsid w:val="00E60EF9"/>
    <w:rsid w:val="00E64E2C"/>
    <w:rsid w:val="00E65817"/>
    <w:rsid w:val="00E66268"/>
    <w:rsid w:val="00E72A0E"/>
    <w:rsid w:val="00E76E3D"/>
    <w:rsid w:val="00E86A15"/>
    <w:rsid w:val="00E96C76"/>
    <w:rsid w:val="00EA0EA9"/>
    <w:rsid w:val="00EB79B7"/>
    <w:rsid w:val="00EC6A6D"/>
    <w:rsid w:val="00ED2046"/>
    <w:rsid w:val="00EE2AA2"/>
    <w:rsid w:val="00EE3242"/>
    <w:rsid w:val="00EF1058"/>
    <w:rsid w:val="00EF1E84"/>
    <w:rsid w:val="00EF4669"/>
    <w:rsid w:val="00EF478D"/>
    <w:rsid w:val="00F16AFA"/>
    <w:rsid w:val="00F17EEA"/>
    <w:rsid w:val="00F263F9"/>
    <w:rsid w:val="00F26750"/>
    <w:rsid w:val="00F2694C"/>
    <w:rsid w:val="00F31E6D"/>
    <w:rsid w:val="00F35394"/>
    <w:rsid w:val="00F37235"/>
    <w:rsid w:val="00F41B7F"/>
    <w:rsid w:val="00F434E5"/>
    <w:rsid w:val="00F45D99"/>
    <w:rsid w:val="00F50CF6"/>
    <w:rsid w:val="00F545A1"/>
    <w:rsid w:val="00F569D6"/>
    <w:rsid w:val="00F73045"/>
    <w:rsid w:val="00F818FB"/>
    <w:rsid w:val="00F8266E"/>
    <w:rsid w:val="00F862EE"/>
    <w:rsid w:val="00F91127"/>
    <w:rsid w:val="00F920C1"/>
    <w:rsid w:val="00F92DBF"/>
    <w:rsid w:val="00F94627"/>
    <w:rsid w:val="00F9594E"/>
    <w:rsid w:val="00FB2DA8"/>
    <w:rsid w:val="00FB3EDC"/>
    <w:rsid w:val="00FB4308"/>
    <w:rsid w:val="00FB58AC"/>
    <w:rsid w:val="00FC05BE"/>
    <w:rsid w:val="00FC07A4"/>
    <w:rsid w:val="00FC3491"/>
    <w:rsid w:val="00FC4F3D"/>
    <w:rsid w:val="00FC5ECB"/>
    <w:rsid w:val="00FC607B"/>
    <w:rsid w:val="00FC7097"/>
    <w:rsid w:val="00FC7617"/>
    <w:rsid w:val="00FD40F0"/>
    <w:rsid w:val="00FD5B25"/>
    <w:rsid w:val="00FD5F57"/>
    <w:rsid w:val="00FE455D"/>
    <w:rsid w:val="00FE58A4"/>
    <w:rsid w:val="00FE69E0"/>
    <w:rsid w:val="00FF0CDC"/>
    <w:rsid w:val="00FF43BB"/>
    <w:rsid w:val="00FF57BF"/>
    <w:rsid w:val="047E1A5A"/>
    <w:rsid w:val="04F521F6"/>
    <w:rsid w:val="051A60E2"/>
    <w:rsid w:val="05717F2B"/>
    <w:rsid w:val="057E078B"/>
    <w:rsid w:val="068346EA"/>
    <w:rsid w:val="08243B95"/>
    <w:rsid w:val="0A735486"/>
    <w:rsid w:val="0B043002"/>
    <w:rsid w:val="0BB739CC"/>
    <w:rsid w:val="0DB67B45"/>
    <w:rsid w:val="0E7B40F8"/>
    <w:rsid w:val="0F886908"/>
    <w:rsid w:val="10677BA5"/>
    <w:rsid w:val="11A26B8E"/>
    <w:rsid w:val="120830AA"/>
    <w:rsid w:val="124B4C74"/>
    <w:rsid w:val="12C067C8"/>
    <w:rsid w:val="13946708"/>
    <w:rsid w:val="143C2A55"/>
    <w:rsid w:val="147335E8"/>
    <w:rsid w:val="14C7430C"/>
    <w:rsid w:val="16232A38"/>
    <w:rsid w:val="16585786"/>
    <w:rsid w:val="184377A6"/>
    <w:rsid w:val="192E73D2"/>
    <w:rsid w:val="196D7A0A"/>
    <w:rsid w:val="1B061AD4"/>
    <w:rsid w:val="1B7002C2"/>
    <w:rsid w:val="1C034186"/>
    <w:rsid w:val="1C8132F9"/>
    <w:rsid w:val="1FDF7937"/>
    <w:rsid w:val="231427F9"/>
    <w:rsid w:val="257C1174"/>
    <w:rsid w:val="267270A9"/>
    <w:rsid w:val="26FF2A6A"/>
    <w:rsid w:val="28190323"/>
    <w:rsid w:val="2D2D6F87"/>
    <w:rsid w:val="2D38749A"/>
    <w:rsid w:val="2DC55F85"/>
    <w:rsid w:val="2E456F18"/>
    <w:rsid w:val="311D4408"/>
    <w:rsid w:val="31D434D3"/>
    <w:rsid w:val="31E22A02"/>
    <w:rsid w:val="32F01183"/>
    <w:rsid w:val="3408390C"/>
    <w:rsid w:val="34CD7E2E"/>
    <w:rsid w:val="34CF4454"/>
    <w:rsid w:val="383F1FE0"/>
    <w:rsid w:val="38FD1534"/>
    <w:rsid w:val="39B51274"/>
    <w:rsid w:val="3A9402B7"/>
    <w:rsid w:val="3C5E7DA5"/>
    <w:rsid w:val="3DE455BD"/>
    <w:rsid w:val="3DFD36ED"/>
    <w:rsid w:val="3E3572C6"/>
    <w:rsid w:val="3EEF043C"/>
    <w:rsid w:val="3F8E13F7"/>
    <w:rsid w:val="41384420"/>
    <w:rsid w:val="4143359F"/>
    <w:rsid w:val="41E337DB"/>
    <w:rsid w:val="43A734AF"/>
    <w:rsid w:val="43D74379"/>
    <w:rsid w:val="443849E2"/>
    <w:rsid w:val="45FD7702"/>
    <w:rsid w:val="46A26D64"/>
    <w:rsid w:val="479F0DF6"/>
    <w:rsid w:val="4903753A"/>
    <w:rsid w:val="4A35409A"/>
    <w:rsid w:val="4BA2573D"/>
    <w:rsid w:val="4F473D61"/>
    <w:rsid w:val="50D259A5"/>
    <w:rsid w:val="51A81AEF"/>
    <w:rsid w:val="51D14332"/>
    <w:rsid w:val="521675A7"/>
    <w:rsid w:val="536E06EC"/>
    <w:rsid w:val="56A70EAB"/>
    <w:rsid w:val="57BB1CCB"/>
    <w:rsid w:val="58042577"/>
    <w:rsid w:val="584A3BB7"/>
    <w:rsid w:val="58ED7497"/>
    <w:rsid w:val="59157DBB"/>
    <w:rsid w:val="5AC339A0"/>
    <w:rsid w:val="5F00014E"/>
    <w:rsid w:val="5F25140D"/>
    <w:rsid w:val="5F875CA7"/>
    <w:rsid w:val="60ED4131"/>
    <w:rsid w:val="625A3DC4"/>
    <w:rsid w:val="62E725AC"/>
    <w:rsid w:val="66AA720E"/>
    <w:rsid w:val="69433AB8"/>
    <w:rsid w:val="69A17C7E"/>
    <w:rsid w:val="6B472B10"/>
    <w:rsid w:val="6C037595"/>
    <w:rsid w:val="6C3A7176"/>
    <w:rsid w:val="6CD91C03"/>
    <w:rsid w:val="6CE1497F"/>
    <w:rsid w:val="6D400103"/>
    <w:rsid w:val="6E72441F"/>
    <w:rsid w:val="72D20855"/>
    <w:rsid w:val="7556536F"/>
    <w:rsid w:val="75836DDE"/>
    <w:rsid w:val="75BC512A"/>
    <w:rsid w:val="76AF247D"/>
    <w:rsid w:val="771B1454"/>
    <w:rsid w:val="7B335A0C"/>
    <w:rsid w:val="7CBB76D8"/>
    <w:rsid w:val="7D630A43"/>
    <w:rsid w:val="7E7E4AA5"/>
    <w:rsid w:val="7F8B12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99" w:semiHidden="0" w:name="Normal Indent"/>
    <w:lsdException w:uiPriority="0" w:name="footnote text"/>
    <w:lsdException w:qFormat="1" w:uiPriority="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qFormat="1" w:unhideWhenUsed="0" w:uiPriority="99"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99" w:semiHidden="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nhideWhenUsed="0" w:uiPriority="0" w:semiHidden="0" w:name="Table Subtle 2"/>
    <w:lsdException w:uiPriority="0" w:name="Table Web 1"/>
    <w:lsdException w:uiPriority="0" w:name="Table Web 2"/>
    <w:lsdException w:unhideWhenUsed="0" w:uiPriority="0" w:semiHidden="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60"/>
    <w:qFormat/>
    <w:uiPriority w:val="0"/>
    <w:pPr>
      <w:keepNext/>
      <w:keepLines/>
      <w:numPr>
        <w:ilvl w:val="0"/>
        <w:numId w:val="1"/>
      </w:numPr>
      <w:spacing w:before="360"/>
      <w:ind w:left="0" w:firstLine="0"/>
      <w:outlineLvl w:val="0"/>
    </w:pPr>
    <w:rPr>
      <w:rFonts w:eastAsia="黑体"/>
      <w:kern w:val="44"/>
      <w:sz w:val="32"/>
    </w:rPr>
  </w:style>
  <w:style w:type="paragraph" w:styleId="5">
    <w:name w:val="heading 2"/>
    <w:basedOn w:val="1"/>
    <w:next w:val="6"/>
    <w:link w:val="61"/>
    <w:qFormat/>
    <w:uiPriority w:val="0"/>
    <w:pPr>
      <w:keepNext/>
      <w:keepLines/>
      <w:numPr>
        <w:ilvl w:val="1"/>
        <w:numId w:val="1"/>
      </w:numPr>
      <w:tabs>
        <w:tab w:val="left" w:pos="425"/>
      </w:tabs>
      <w:spacing w:before="120"/>
      <w:ind w:left="425"/>
      <w:outlineLvl w:val="1"/>
    </w:pPr>
    <w:rPr>
      <w:rFonts w:eastAsia="黑体"/>
      <w:sz w:val="28"/>
    </w:rPr>
  </w:style>
  <w:style w:type="paragraph" w:styleId="7">
    <w:name w:val="heading 3"/>
    <w:basedOn w:val="1"/>
    <w:next w:val="6"/>
    <w:link w:val="62"/>
    <w:qFormat/>
    <w:uiPriority w:val="0"/>
    <w:pPr>
      <w:keepNext/>
      <w:keepLines/>
      <w:numPr>
        <w:ilvl w:val="2"/>
        <w:numId w:val="1"/>
      </w:numPr>
      <w:spacing w:before="120"/>
      <w:ind w:left="0" w:firstLine="0"/>
      <w:outlineLvl w:val="2"/>
    </w:pPr>
    <w:rPr>
      <w:rFonts w:eastAsia="黑体"/>
    </w:rPr>
  </w:style>
  <w:style w:type="paragraph" w:styleId="8">
    <w:name w:val="heading 4"/>
    <w:basedOn w:val="1"/>
    <w:next w:val="6"/>
    <w:link w:val="63"/>
    <w:qFormat/>
    <w:uiPriority w:val="0"/>
    <w:pPr>
      <w:keepNext/>
      <w:keepLines/>
      <w:numPr>
        <w:ilvl w:val="3"/>
        <w:numId w:val="1"/>
      </w:numPr>
      <w:tabs>
        <w:tab w:val="left" w:pos="425"/>
      </w:tabs>
      <w:spacing w:before="120"/>
      <w:outlineLvl w:val="3"/>
    </w:pPr>
    <w:rPr>
      <w:rFonts w:eastAsia="黑体"/>
    </w:rPr>
  </w:style>
  <w:style w:type="paragraph" w:styleId="9">
    <w:name w:val="heading 5"/>
    <w:basedOn w:val="1"/>
    <w:next w:val="6"/>
    <w:link w:val="64"/>
    <w:qFormat/>
    <w:uiPriority w:val="0"/>
    <w:pPr>
      <w:keepNext/>
      <w:keepLines/>
      <w:numPr>
        <w:ilvl w:val="4"/>
        <w:numId w:val="1"/>
      </w:numPr>
      <w:spacing w:before="120"/>
      <w:ind w:left="0" w:firstLine="0"/>
      <w:outlineLvl w:val="4"/>
    </w:pPr>
    <w:rPr>
      <w:rFonts w:eastAsia="黑体"/>
    </w:rPr>
  </w:style>
  <w:style w:type="paragraph" w:styleId="10">
    <w:name w:val="heading 6"/>
    <w:basedOn w:val="1"/>
    <w:next w:val="6"/>
    <w:link w:val="65"/>
    <w:qFormat/>
    <w:uiPriority w:val="0"/>
    <w:pPr>
      <w:keepNext/>
      <w:keepLines/>
      <w:numPr>
        <w:ilvl w:val="5"/>
        <w:numId w:val="1"/>
      </w:numPr>
      <w:spacing w:before="120"/>
      <w:ind w:left="0" w:firstLine="0"/>
      <w:outlineLvl w:val="5"/>
    </w:pPr>
    <w:rPr>
      <w:rFonts w:eastAsia="黑体"/>
    </w:rPr>
  </w:style>
  <w:style w:type="paragraph" w:styleId="11">
    <w:name w:val="heading 7"/>
    <w:basedOn w:val="1"/>
    <w:next w:val="6"/>
    <w:link w:val="66"/>
    <w:qFormat/>
    <w:uiPriority w:val="0"/>
    <w:pPr>
      <w:keepNext/>
      <w:keepLines/>
      <w:numPr>
        <w:ilvl w:val="6"/>
        <w:numId w:val="1"/>
      </w:numPr>
      <w:spacing w:before="120"/>
      <w:outlineLvl w:val="6"/>
    </w:pPr>
    <w:rPr>
      <w:rFonts w:eastAsia="黑体"/>
    </w:rPr>
  </w:style>
  <w:style w:type="paragraph" w:styleId="12">
    <w:name w:val="heading 8"/>
    <w:basedOn w:val="1"/>
    <w:next w:val="6"/>
    <w:link w:val="67"/>
    <w:qFormat/>
    <w:uiPriority w:val="0"/>
    <w:pPr>
      <w:keepNext/>
      <w:keepLines/>
      <w:numPr>
        <w:ilvl w:val="7"/>
        <w:numId w:val="1"/>
      </w:numPr>
      <w:spacing w:before="120"/>
      <w:outlineLvl w:val="7"/>
    </w:pPr>
    <w:rPr>
      <w:rFonts w:eastAsia="黑体"/>
    </w:rPr>
  </w:style>
  <w:style w:type="paragraph" w:styleId="13">
    <w:name w:val="heading 9"/>
    <w:basedOn w:val="1"/>
    <w:next w:val="6"/>
    <w:link w:val="68"/>
    <w:qFormat/>
    <w:uiPriority w:val="0"/>
    <w:pPr>
      <w:keepNext/>
      <w:keepLines/>
      <w:numPr>
        <w:ilvl w:val="8"/>
        <w:numId w:val="1"/>
      </w:numPr>
      <w:spacing w:before="120"/>
      <w:outlineLvl w:val="8"/>
    </w:pPr>
    <w:rPr>
      <w:rFonts w:eastAsia="黑体"/>
    </w:rPr>
  </w:style>
  <w:style w:type="character" w:default="1" w:styleId="33">
    <w:name w:val="Default Paragraph Font"/>
    <w:semiHidden/>
    <w:unhideWhenUsed/>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2">
    <w:name w:val="Body Text"/>
    <w:basedOn w:val="3"/>
    <w:next w:val="3"/>
    <w:qFormat/>
    <w:uiPriority w:val="99"/>
    <w:pPr>
      <w:spacing w:after="120"/>
    </w:pPr>
  </w:style>
  <w:style w:type="paragraph" w:styleId="3">
    <w:name w:val="Title"/>
    <w:basedOn w:val="1"/>
    <w:next w:val="1"/>
    <w:link w:val="54"/>
    <w:qFormat/>
    <w:uiPriority w:val="0"/>
    <w:pPr>
      <w:spacing w:before="240" w:after="60" w:line="360" w:lineRule="auto"/>
      <w:ind w:firstLine="200" w:firstLineChars="200"/>
      <w:jc w:val="center"/>
      <w:outlineLvl w:val="0"/>
    </w:pPr>
    <w:rPr>
      <w:rFonts w:eastAsia="黑体" w:asciiTheme="majorHAnsi" w:hAnsiTheme="majorHAnsi" w:cstheme="majorBidi"/>
      <w:b/>
      <w:bCs/>
      <w:sz w:val="48"/>
      <w:szCs w:val="32"/>
    </w:rPr>
  </w:style>
  <w:style w:type="paragraph" w:styleId="6">
    <w:name w:val="Normal Indent"/>
    <w:basedOn w:val="1"/>
    <w:qFormat/>
    <w:uiPriority w:val="99"/>
    <w:pPr>
      <w:ind w:firstLine="420" w:firstLineChars="200"/>
    </w:pPr>
  </w:style>
  <w:style w:type="paragraph" w:styleId="14">
    <w:name w:val="toc 7"/>
    <w:basedOn w:val="1"/>
    <w:next w:val="1"/>
    <w:semiHidden/>
    <w:qFormat/>
    <w:uiPriority w:val="0"/>
    <w:pPr>
      <w:ind w:left="2520"/>
    </w:pPr>
  </w:style>
  <w:style w:type="paragraph" w:styleId="15">
    <w:name w:val="Document Map"/>
    <w:basedOn w:val="1"/>
    <w:link w:val="69"/>
    <w:semiHidden/>
    <w:qFormat/>
    <w:uiPriority w:val="0"/>
    <w:pPr>
      <w:shd w:val="clear" w:color="auto" w:fill="000080"/>
    </w:pPr>
  </w:style>
  <w:style w:type="paragraph" w:styleId="16">
    <w:name w:val="annotation text"/>
    <w:basedOn w:val="1"/>
    <w:link w:val="71"/>
    <w:semiHidden/>
    <w:unhideWhenUsed/>
    <w:qFormat/>
    <w:uiPriority w:val="0"/>
    <w:pPr>
      <w:jc w:val="left"/>
    </w:pPr>
  </w:style>
  <w:style w:type="paragraph" w:styleId="17">
    <w:name w:val="toc 5"/>
    <w:basedOn w:val="1"/>
    <w:next w:val="1"/>
    <w:semiHidden/>
    <w:qFormat/>
    <w:uiPriority w:val="0"/>
    <w:pPr>
      <w:ind w:left="1680"/>
    </w:pPr>
  </w:style>
  <w:style w:type="paragraph" w:styleId="18">
    <w:name w:val="toc 3"/>
    <w:basedOn w:val="1"/>
    <w:next w:val="1"/>
    <w:qFormat/>
    <w:uiPriority w:val="39"/>
    <w:pPr>
      <w:tabs>
        <w:tab w:val="left" w:pos="1560"/>
        <w:tab w:val="right" w:leader="dot" w:pos="8493"/>
      </w:tabs>
      <w:ind w:left="840"/>
    </w:pPr>
  </w:style>
  <w:style w:type="paragraph" w:styleId="19">
    <w:name w:val="Plain Text"/>
    <w:basedOn w:val="1"/>
    <w:link w:val="42"/>
    <w:qFormat/>
    <w:uiPriority w:val="0"/>
    <w:rPr>
      <w:rFonts w:ascii="宋体" w:hAnsi="Courier New"/>
    </w:rPr>
  </w:style>
  <w:style w:type="paragraph" w:styleId="20">
    <w:name w:val="toc 8"/>
    <w:basedOn w:val="1"/>
    <w:next w:val="1"/>
    <w:semiHidden/>
    <w:qFormat/>
    <w:uiPriority w:val="0"/>
    <w:pPr>
      <w:ind w:left="2940"/>
    </w:pPr>
  </w:style>
  <w:style w:type="paragraph" w:styleId="21">
    <w:name w:val="Date"/>
    <w:basedOn w:val="1"/>
    <w:next w:val="1"/>
    <w:link w:val="43"/>
    <w:qFormat/>
    <w:uiPriority w:val="99"/>
    <w:pPr>
      <w:spacing w:line="360" w:lineRule="auto"/>
      <w:ind w:left="100" w:leftChars="2500" w:firstLine="200" w:firstLineChars="200"/>
    </w:pPr>
    <w:rPr>
      <w:sz w:val="24"/>
    </w:rPr>
  </w:style>
  <w:style w:type="paragraph" w:styleId="22">
    <w:name w:val="Balloon Text"/>
    <w:basedOn w:val="1"/>
    <w:link w:val="41"/>
    <w:qFormat/>
    <w:uiPriority w:val="0"/>
    <w:rPr>
      <w:sz w:val="18"/>
      <w:szCs w:val="18"/>
    </w:rPr>
  </w:style>
  <w:style w:type="paragraph" w:styleId="23">
    <w:name w:val="footer"/>
    <w:basedOn w:val="1"/>
    <w:link w:val="57"/>
    <w:qFormat/>
    <w:uiPriority w:val="99"/>
    <w:pPr>
      <w:pBdr>
        <w:top w:val="single" w:color="auto" w:sz="6" w:space="1"/>
      </w:pBdr>
      <w:tabs>
        <w:tab w:val="center" w:pos="4153"/>
        <w:tab w:val="right" w:pos="8306"/>
      </w:tabs>
      <w:snapToGrid w:val="0"/>
      <w:jc w:val="left"/>
    </w:pPr>
  </w:style>
  <w:style w:type="paragraph" w:styleId="24">
    <w:name w:val="header"/>
    <w:basedOn w:val="1"/>
    <w:link w:val="58"/>
    <w:qFormat/>
    <w:uiPriority w:val="0"/>
    <w:pPr>
      <w:pBdr>
        <w:bottom w:val="single" w:color="auto" w:sz="6" w:space="1"/>
      </w:pBdr>
      <w:tabs>
        <w:tab w:val="center" w:pos="4153"/>
        <w:tab w:val="right" w:pos="8306"/>
      </w:tabs>
      <w:snapToGrid w:val="0"/>
      <w:jc w:val="center"/>
    </w:pPr>
  </w:style>
  <w:style w:type="paragraph" w:styleId="25">
    <w:name w:val="toc 1"/>
    <w:basedOn w:val="1"/>
    <w:next w:val="1"/>
    <w:qFormat/>
    <w:uiPriority w:val="39"/>
    <w:pPr>
      <w:tabs>
        <w:tab w:val="left" w:pos="420"/>
        <w:tab w:val="right" w:leader="dot" w:pos="8493"/>
      </w:tabs>
    </w:pPr>
    <w:rPr>
      <w:rFonts w:eastAsia="黑体"/>
      <w:sz w:val="28"/>
    </w:rPr>
  </w:style>
  <w:style w:type="paragraph" w:styleId="26">
    <w:name w:val="toc 4"/>
    <w:basedOn w:val="1"/>
    <w:next w:val="1"/>
    <w:semiHidden/>
    <w:qFormat/>
    <w:uiPriority w:val="0"/>
    <w:pPr>
      <w:ind w:left="1260"/>
    </w:pPr>
  </w:style>
  <w:style w:type="paragraph" w:styleId="27">
    <w:name w:val="toc 6"/>
    <w:basedOn w:val="1"/>
    <w:next w:val="1"/>
    <w:semiHidden/>
    <w:qFormat/>
    <w:uiPriority w:val="0"/>
    <w:pPr>
      <w:ind w:left="2100"/>
    </w:pPr>
  </w:style>
  <w:style w:type="paragraph" w:styleId="28">
    <w:name w:val="toc 2"/>
    <w:basedOn w:val="1"/>
    <w:next w:val="1"/>
    <w:qFormat/>
    <w:uiPriority w:val="39"/>
    <w:pPr>
      <w:tabs>
        <w:tab w:val="left" w:pos="960"/>
        <w:tab w:val="right" w:leader="dot" w:pos="8503"/>
      </w:tabs>
      <w:adjustRightInd w:val="0"/>
      <w:ind w:left="420"/>
      <w:textAlignment w:val="baseline"/>
    </w:pPr>
    <w:rPr>
      <w:rFonts w:ascii="黑体" w:eastAsia="黑体"/>
      <w:kern w:val="0"/>
    </w:rPr>
  </w:style>
  <w:style w:type="paragraph" w:styleId="29">
    <w:name w:val="toc 9"/>
    <w:basedOn w:val="1"/>
    <w:next w:val="1"/>
    <w:semiHidden/>
    <w:qFormat/>
    <w:uiPriority w:val="0"/>
    <w:pPr>
      <w:ind w:left="3360"/>
    </w:pPr>
  </w:style>
  <w:style w:type="paragraph" w:styleId="30">
    <w:name w:val="annotation subject"/>
    <w:basedOn w:val="16"/>
    <w:next w:val="16"/>
    <w:link w:val="72"/>
    <w:semiHidden/>
    <w:unhideWhenUsed/>
    <w:qFormat/>
    <w:uiPriority w:val="0"/>
    <w:rPr>
      <w:b/>
      <w:bCs/>
    </w:rPr>
  </w:style>
  <w:style w:type="table" w:styleId="32">
    <w:name w:val="Table Grid"/>
    <w:basedOn w:val="31"/>
    <w:qFormat/>
    <w:uiPriority w:val="0"/>
    <w:pPr>
      <w:widowControl w:val="0"/>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4">
    <w:name w:val="page number"/>
    <w:basedOn w:val="33"/>
    <w:qFormat/>
    <w:uiPriority w:val="0"/>
  </w:style>
  <w:style w:type="character" w:styleId="35">
    <w:name w:val="Hyperlink"/>
    <w:basedOn w:val="33"/>
    <w:qFormat/>
    <w:uiPriority w:val="99"/>
    <w:rPr>
      <w:color w:val="0000FF"/>
      <w:u w:val="single"/>
    </w:rPr>
  </w:style>
  <w:style w:type="character" w:styleId="36">
    <w:name w:val="annotation reference"/>
    <w:basedOn w:val="33"/>
    <w:semiHidden/>
    <w:unhideWhenUsed/>
    <w:qFormat/>
    <w:uiPriority w:val="0"/>
    <w:rPr>
      <w:sz w:val="21"/>
      <w:szCs w:val="21"/>
    </w:rPr>
  </w:style>
  <w:style w:type="paragraph" w:customStyle="1" w:styleId="37">
    <w:name w:val="样式2"/>
    <w:basedOn w:val="10"/>
    <w:qFormat/>
    <w:uiPriority w:val="0"/>
    <w:pPr>
      <w:numPr>
        <w:ilvl w:val="0"/>
        <w:numId w:val="0"/>
      </w:numPr>
    </w:pPr>
  </w:style>
  <w:style w:type="paragraph" w:customStyle="1" w:styleId="38">
    <w:name w:val="样式1"/>
    <w:basedOn w:val="8"/>
    <w:qFormat/>
    <w:uiPriority w:val="0"/>
    <w:pPr>
      <w:numPr>
        <w:ilvl w:val="0"/>
        <w:numId w:val="0"/>
      </w:numPr>
    </w:pPr>
  </w:style>
  <w:style w:type="paragraph" w:customStyle="1" w:styleId="39">
    <w:name w:val="标准正文"/>
    <w:basedOn w:val="1"/>
    <w:qFormat/>
    <w:uiPriority w:val="0"/>
    <w:pPr>
      <w:adjustRightInd w:val="0"/>
      <w:textAlignment w:val="baseline"/>
    </w:pPr>
  </w:style>
  <w:style w:type="paragraph" w:customStyle="1" w:styleId="40">
    <w:name w:val="Company Name"/>
    <w:basedOn w:val="1"/>
    <w:next w:val="1"/>
    <w:qFormat/>
    <w:uiPriority w:val="0"/>
    <w:pPr>
      <w:widowControl/>
      <w:overflowPunct w:val="0"/>
      <w:autoSpaceDE w:val="0"/>
      <w:autoSpaceDN w:val="0"/>
      <w:adjustRightInd w:val="0"/>
      <w:snapToGrid w:val="0"/>
      <w:spacing w:before="420" w:after="60" w:line="320" w:lineRule="exact"/>
      <w:jc w:val="left"/>
      <w:textAlignment w:val="baseline"/>
    </w:pPr>
    <w:rPr>
      <w:rFonts w:ascii="Garamond" w:hAnsi="Garamond"/>
      <w:caps/>
      <w:kern w:val="36"/>
      <w:sz w:val="38"/>
    </w:rPr>
  </w:style>
  <w:style w:type="character" w:customStyle="1" w:styleId="41">
    <w:name w:val="批注框文本 字符"/>
    <w:basedOn w:val="33"/>
    <w:link w:val="22"/>
    <w:qFormat/>
    <w:uiPriority w:val="0"/>
    <w:rPr>
      <w:rFonts w:ascii="Arial" w:hAnsi="Arial"/>
      <w:kern w:val="2"/>
      <w:sz w:val="18"/>
      <w:szCs w:val="18"/>
    </w:rPr>
  </w:style>
  <w:style w:type="character" w:customStyle="1" w:styleId="42">
    <w:name w:val="纯文本 字符"/>
    <w:basedOn w:val="33"/>
    <w:link w:val="19"/>
    <w:qFormat/>
    <w:uiPriority w:val="0"/>
    <w:rPr>
      <w:rFonts w:ascii="宋体" w:hAnsi="Courier New"/>
      <w:kern w:val="2"/>
      <w:sz w:val="21"/>
      <w:szCs w:val="24"/>
    </w:rPr>
  </w:style>
  <w:style w:type="character" w:customStyle="1" w:styleId="43">
    <w:name w:val="日期 字符"/>
    <w:basedOn w:val="33"/>
    <w:link w:val="21"/>
    <w:qFormat/>
    <w:uiPriority w:val="99"/>
    <w:rPr>
      <w:kern w:val="2"/>
      <w:sz w:val="24"/>
      <w:szCs w:val="24"/>
    </w:rPr>
  </w:style>
  <w:style w:type="paragraph" w:customStyle="1" w:styleId="44">
    <w:name w:val="列出段落1"/>
    <w:basedOn w:val="1"/>
    <w:qFormat/>
    <w:uiPriority w:val="99"/>
    <w:pPr>
      <w:spacing w:line="360" w:lineRule="auto"/>
      <w:ind w:firstLine="420" w:firstLineChars="200"/>
    </w:pPr>
    <w:rPr>
      <w:rFonts w:ascii="Calibri" w:hAnsi="Calibri" w:cs="Calibri"/>
      <w:sz w:val="24"/>
    </w:rPr>
  </w:style>
  <w:style w:type="paragraph" w:customStyle="1" w:styleId="45">
    <w:name w:val="标题02"/>
    <w:basedOn w:val="5"/>
    <w:qFormat/>
    <w:uiPriority w:val="99"/>
    <w:pPr>
      <w:numPr>
        <w:ilvl w:val="0"/>
        <w:numId w:val="0"/>
      </w:numPr>
      <w:spacing w:before="0" w:line="360" w:lineRule="auto"/>
      <w:ind w:left="1250" w:hanging="1250" w:firstLineChars="200"/>
    </w:pPr>
    <w:rPr>
      <w:rFonts w:hAnsi="Arial" w:eastAsia="宋体" w:cs="宋体"/>
      <w:b/>
      <w:bCs/>
      <w:sz w:val="36"/>
      <w:szCs w:val="36"/>
    </w:rPr>
  </w:style>
  <w:style w:type="paragraph" w:styleId="46">
    <w:name w:val="List Paragraph"/>
    <w:basedOn w:val="1"/>
    <w:link w:val="47"/>
    <w:qFormat/>
    <w:uiPriority w:val="34"/>
    <w:pPr>
      <w:spacing w:line="360" w:lineRule="auto"/>
      <w:ind w:firstLine="200" w:firstLineChars="200"/>
    </w:pPr>
    <w:rPr>
      <w:sz w:val="24"/>
    </w:rPr>
  </w:style>
  <w:style w:type="character" w:customStyle="1" w:styleId="47">
    <w:name w:val="列表段落 字符"/>
    <w:link w:val="46"/>
    <w:qFormat/>
    <w:uiPriority w:val="99"/>
    <w:rPr>
      <w:kern w:val="2"/>
      <w:sz w:val="24"/>
      <w:szCs w:val="24"/>
    </w:rPr>
  </w:style>
  <w:style w:type="character" w:customStyle="1" w:styleId="48">
    <w:name w:val="首行缩进 Char"/>
    <w:link w:val="49"/>
    <w:qFormat/>
    <w:uiPriority w:val="0"/>
    <w:rPr>
      <w:rFonts w:eastAsia="方正书宋简体" w:cs="宋体"/>
      <w:kern w:val="2"/>
      <w:sz w:val="21"/>
    </w:rPr>
  </w:style>
  <w:style w:type="paragraph" w:customStyle="1" w:styleId="49">
    <w:name w:val="首行缩进"/>
    <w:basedOn w:val="1"/>
    <w:link w:val="48"/>
    <w:qFormat/>
    <w:uiPriority w:val="0"/>
    <w:pPr>
      <w:spacing w:line="300" w:lineRule="auto"/>
      <w:ind w:firstLine="420" w:firstLineChars="200"/>
    </w:pPr>
    <w:rPr>
      <w:rFonts w:eastAsia="方正书宋简体" w:cs="宋体"/>
      <w:szCs w:val="20"/>
    </w:rPr>
  </w:style>
  <w:style w:type="paragraph" w:customStyle="1" w:styleId="50">
    <w:name w:val="段"/>
    <w:qFormat/>
    <w:uiPriority w:val="0"/>
    <w:pPr>
      <w:ind w:firstLine="200" w:firstLineChars="200"/>
      <w:jc w:val="both"/>
    </w:pPr>
    <w:rPr>
      <w:rFonts w:ascii="宋体" w:hAnsi="Times New Roman" w:eastAsia="宋体" w:cs="Times New Roman"/>
      <w:sz w:val="21"/>
      <w:lang w:val="en-US" w:eastAsia="zh-CN" w:bidi="ar-SA"/>
    </w:rPr>
  </w:style>
  <w:style w:type="paragraph" w:customStyle="1" w:styleId="5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52">
    <w:name w:val="CM17"/>
    <w:basedOn w:val="51"/>
    <w:next w:val="51"/>
    <w:qFormat/>
    <w:uiPriority w:val="0"/>
    <w:pPr>
      <w:spacing w:line="468" w:lineRule="atLeast"/>
    </w:pPr>
    <w:rPr>
      <w:rFonts w:ascii="黑体" w:eastAsia="黑体" w:cs="Times New Roman"/>
      <w:color w:val="auto"/>
    </w:rPr>
  </w:style>
  <w:style w:type="paragraph" w:customStyle="1" w:styleId="53">
    <w:name w:val="前言、引言标题"/>
    <w:next w:val="1"/>
    <w:qFormat/>
    <w:uiPriority w:val="0"/>
    <w:pPr>
      <w:numPr>
        <w:ilvl w:val="0"/>
        <w:numId w:val="2"/>
      </w:numPr>
      <w:shd w:val="clear" w:color="FFFFFF" w:fill="FFFFFF"/>
      <w:spacing w:before="640" w:after="560"/>
      <w:jc w:val="center"/>
      <w:outlineLvl w:val="0"/>
    </w:pPr>
    <w:rPr>
      <w:rFonts w:ascii="黑体" w:hAnsi="Times New Roman" w:eastAsia="黑体" w:cs="Times New Roman"/>
      <w:sz w:val="32"/>
      <w:lang w:val="en-US" w:eastAsia="zh-CN" w:bidi="ar-SA"/>
    </w:rPr>
  </w:style>
  <w:style w:type="character" w:customStyle="1" w:styleId="54">
    <w:name w:val="标题 字符"/>
    <w:basedOn w:val="33"/>
    <w:link w:val="3"/>
    <w:qFormat/>
    <w:uiPriority w:val="0"/>
    <w:rPr>
      <w:rFonts w:eastAsia="黑体" w:asciiTheme="majorHAnsi" w:hAnsiTheme="majorHAnsi" w:cstheme="majorBidi"/>
      <w:b/>
      <w:bCs/>
      <w:kern w:val="2"/>
      <w:sz w:val="48"/>
      <w:szCs w:val="32"/>
    </w:rPr>
  </w:style>
  <w:style w:type="character" w:customStyle="1" w:styleId="55">
    <w:name w:val="列表段落 字符1"/>
    <w:qFormat/>
    <w:uiPriority w:val="34"/>
    <w:rPr>
      <w:kern w:val="2"/>
      <w:sz w:val="21"/>
      <w:szCs w:val="24"/>
    </w:rPr>
  </w:style>
  <w:style w:type="paragraph" w:customStyle="1" w:styleId="56">
    <w:name w:val="TOC 标题1"/>
    <w:basedOn w:val="4"/>
    <w:next w:val="1"/>
    <w:unhideWhenUsed/>
    <w:qFormat/>
    <w:uiPriority w:val="39"/>
    <w:pPr>
      <w:widowControl/>
      <w:numPr>
        <w:numId w:val="0"/>
      </w:numPr>
      <w:spacing w:before="240" w:line="259" w:lineRule="auto"/>
      <w:jc w:val="left"/>
      <w:outlineLvl w:val="9"/>
    </w:pPr>
    <w:rPr>
      <w:rFonts w:asciiTheme="majorHAnsi" w:hAnsiTheme="majorHAnsi" w:eastAsiaTheme="majorEastAsia" w:cstheme="majorBidi"/>
      <w:color w:val="376092" w:themeColor="accent1" w:themeShade="BF"/>
      <w:kern w:val="0"/>
      <w:szCs w:val="32"/>
    </w:rPr>
  </w:style>
  <w:style w:type="character" w:customStyle="1" w:styleId="57">
    <w:name w:val="页脚 字符"/>
    <w:basedOn w:val="33"/>
    <w:link w:val="23"/>
    <w:qFormat/>
    <w:uiPriority w:val="99"/>
    <w:rPr>
      <w:kern w:val="2"/>
      <w:sz w:val="21"/>
      <w:szCs w:val="24"/>
    </w:rPr>
  </w:style>
  <w:style w:type="character" w:customStyle="1" w:styleId="58">
    <w:name w:val="页眉 字符"/>
    <w:basedOn w:val="33"/>
    <w:link w:val="24"/>
    <w:qFormat/>
    <w:uiPriority w:val="0"/>
    <w:rPr>
      <w:kern w:val="2"/>
      <w:sz w:val="21"/>
      <w:szCs w:val="24"/>
    </w:rPr>
  </w:style>
  <w:style w:type="paragraph" w:customStyle="1" w:styleId="59">
    <w:name w:val="Table Paragraph"/>
    <w:basedOn w:val="1"/>
    <w:unhideWhenUsed/>
    <w:qFormat/>
    <w:uiPriority w:val="1"/>
    <w:rPr>
      <w:rFonts w:hint="eastAsia"/>
      <w:sz w:val="22"/>
    </w:rPr>
  </w:style>
  <w:style w:type="character" w:customStyle="1" w:styleId="60">
    <w:name w:val="标题 1 字符"/>
    <w:basedOn w:val="33"/>
    <w:link w:val="4"/>
    <w:qFormat/>
    <w:uiPriority w:val="0"/>
    <w:rPr>
      <w:rFonts w:eastAsia="黑体"/>
      <w:kern w:val="44"/>
      <w:sz w:val="32"/>
      <w:szCs w:val="24"/>
    </w:rPr>
  </w:style>
  <w:style w:type="character" w:customStyle="1" w:styleId="61">
    <w:name w:val="标题 2 字符"/>
    <w:basedOn w:val="33"/>
    <w:link w:val="5"/>
    <w:qFormat/>
    <w:uiPriority w:val="0"/>
    <w:rPr>
      <w:rFonts w:eastAsia="黑体"/>
      <w:kern w:val="2"/>
      <w:sz w:val="28"/>
      <w:szCs w:val="24"/>
    </w:rPr>
  </w:style>
  <w:style w:type="character" w:customStyle="1" w:styleId="62">
    <w:name w:val="标题 3 字符"/>
    <w:basedOn w:val="33"/>
    <w:link w:val="7"/>
    <w:qFormat/>
    <w:uiPriority w:val="0"/>
    <w:rPr>
      <w:rFonts w:eastAsia="黑体"/>
      <w:kern w:val="2"/>
      <w:sz w:val="21"/>
      <w:szCs w:val="24"/>
    </w:rPr>
  </w:style>
  <w:style w:type="character" w:customStyle="1" w:styleId="63">
    <w:name w:val="标题 4 字符"/>
    <w:basedOn w:val="33"/>
    <w:link w:val="8"/>
    <w:qFormat/>
    <w:uiPriority w:val="0"/>
    <w:rPr>
      <w:rFonts w:eastAsia="黑体"/>
      <w:kern w:val="2"/>
      <w:sz w:val="21"/>
      <w:szCs w:val="24"/>
    </w:rPr>
  </w:style>
  <w:style w:type="character" w:customStyle="1" w:styleId="64">
    <w:name w:val="标题 5 字符"/>
    <w:basedOn w:val="33"/>
    <w:link w:val="9"/>
    <w:qFormat/>
    <w:uiPriority w:val="0"/>
    <w:rPr>
      <w:rFonts w:eastAsia="黑体"/>
      <w:kern w:val="2"/>
      <w:sz w:val="21"/>
      <w:szCs w:val="24"/>
    </w:rPr>
  </w:style>
  <w:style w:type="character" w:customStyle="1" w:styleId="65">
    <w:name w:val="标题 6 字符"/>
    <w:basedOn w:val="33"/>
    <w:link w:val="10"/>
    <w:qFormat/>
    <w:uiPriority w:val="0"/>
    <w:rPr>
      <w:rFonts w:eastAsia="黑体"/>
      <w:kern w:val="2"/>
      <w:sz w:val="21"/>
      <w:szCs w:val="24"/>
    </w:rPr>
  </w:style>
  <w:style w:type="character" w:customStyle="1" w:styleId="66">
    <w:name w:val="标题 7 字符"/>
    <w:basedOn w:val="33"/>
    <w:link w:val="11"/>
    <w:qFormat/>
    <w:uiPriority w:val="0"/>
    <w:rPr>
      <w:rFonts w:eastAsia="黑体"/>
      <w:kern w:val="2"/>
      <w:sz w:val="21"/>
      <w:szCs w:val="24"/>
    </w:rPr>
  </w:style>
  <w:style w:type="character" w:customStyle="1" w:styleId="67">
    <w:name w:val="标题 8 字符"/>
    <w:basedOn w:val="33"/>
    <w:link w:val="12"/>
    <w:qFormat/>
    <w:uiPriority w:val="0"/>
    <w:rPr>
      <w:rFonts w:eastAsia="黑体"/>
      <w:kern w:val="2"/>
      <w:sz w:val="21"/>
      <w:szCs w:val="24"/>
    </w:rPr>
  </w:style>
  <w:style w:type="character" w:customStyle="1" w:styleId="68">
    <w:name w:val="标题 9 字符"/>
    <w:basedOn w:val="33"/>
    <w:link w:val="13"/>
    <w:qFormat/>
    <w:uiPriority w:val="0"/>
    <w:rPr>
      <w:rFonts w:eastAsia="黑体"/>
      <w:kern w:val="2"/>
      <w:sz w:val="21"/>
      <w:szCs w:val="24"/>
    </w:rPr>
  </w:style>
  <w:style w:type="character" w:customStyle="1" w:styleId="69">
    <w:name w:val="文档结构图 字符"/>
    <w:basedOn w:val="33"/>
    <w:link w:val="15"/>
    <w:semiHidden/>
    <w:qFormat/>
    <w:uiPriority w:val="0"/>
    <w:rPr>
      <w:kern w:val="2"/>
      <w:sz w:val="21"/>
      <w:szCs w:val="24"/>
      <w:shd w:val="clear" w:color="auto" w:fill="000080"/>
    </w:rPr>
  </w:style>
  <w:style w:type="paragraph" w:customStyle="1" w:styleId="70">
    <w:name w:val="三级条标题"/>
    <w:basedOn w:val="1"/>
    <w:next w:val="50"/>
    <w:qFormat/>
    <w:uiPriority w:val="0"/>
    <w:pPr>
      <w:widowControl/>
      <w:numPr>
        <w:ilvl w:val="4"/>
        <w:numId w:val="3"/>
      </w:numPr>
      <w:tabs>
        <w:tab w:val="left" w:pos="360"/>
      </w:tabs>
      <w:outlineLvl w:val="4"/>
    </w:pPr>
    <w:rPr>
      <w:rFonts w:ascii="黑体" w:eastAsia="黑体"/>
      <w:kern w:val="0"/>
      <w:szCs w:val="20"/>
    </w:rPr>
  </w:style>
  <w:style w:type="character" w:customStyle="1" w:styleId="71">
    <w:name w:val="批注文字 字符"/>
    <w:basedOn w:val="33"/>
    <w:link w:val="16"/>
    <w:semiHidden/>
    <w:qFormat/>
    <w:uiPriority w:val="0"/>
    <w:rPr>
      <w:kern w:val="2"/>
      <w:sz w:val="21"/>
      <w:szCs w:val="24"/>
    </w:rPr>
  </w:style>
  <w:style w:type="character" w:customStyle="1" w:styleId="72">
    <w:name w:val="批注主题 字符"/>
    <w:basedOn w:val="71"/>
    <w:link w:val="30"/>
    <w:semiHidden/>
    <w:qFormat/>
    <w:uiPriority w:val="0"/>
    <w:rPr>
      <w:b/>
      <w:bCs/>
      <w:kern w:val="2"/>
      <w:sz w:val="21"/>
      <w:szCs w:val="24"/>
    </w:rPr>
  </w:style>
  <w:style w:type="paragraph" w:customStyle="1" w:styleId="73">
    <w:name w:val="标准书眉一"/>
    <w:qFormat/>
    <w:uiPriority w:val="0"/>
    <w:pPr>
      <w:tabs>
        <w:tab w:val="left" w:pos="1120"/>
      </w:tabs>
      <w:ind w:firstLine="400"/>
      <w:jc w:val="both"/>
    </w:pPr>
    <w:rPr>
      <w:rFonts w:ascii="Times New Roman" w:hAnsi="Times New Roman" w:eastAsia="宋体" w:cs="Times New Roman"/>
      <w:lang w:val="en-US" w:eastAsia="zh-CN" w:bidi="ar-SA"/>
    </w:rPr>
  </w:style>
  <w:style w:type="paragraph" w:customStyle="1" w:styleId="74">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75">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76">
    <w:name w:val="表格正文"/>
    <w:basedOn w:val="1"/>
    <w:link w:val="77"/>
    <w:qFormat/>
    <w:uiPriority w:val="0"/>
    <w:pPr>
      <w:jc w:val="center"/>
    </w:pPr>
    <w:rPr>
      <w:rFonts w:eastAsia="黑体"/>
      <w:szCs w:val="36"/>
    </w:rPr>
  </w:style>
  <w:style w:type="character" w:customStyle="1" w:styleId="77">
    <w:name w:val="表格正文 字符"/>
    <w:link w:val="76"/>
    <w:qFormat/>
    <w:uiPriority w:val="0"/>
    <w:rPr>
      <w:rFonts w:eastAsia="黑体"/>
      <w:kern w:val="2"/>
      <w:sz w:val="21"/>
      <w:szCs w:val="36"/>
    </w:rPr>
  </w:style>
  <w:style w:type="paragraph" w:customStyle="1" w:styleId="78">
    <w:name w:val="目录 21"/>
    <w:basedOn w:val="1"/>
    <w:next w:val="1"/>
    <w:qFormat/>
    <w:uiPriority w:val="0"/>
    <w:pPr>
      <w:spacing w:before="100" w:beforeAutospacing="1" w:after="100" w:afterAutospacing="1"/>
      <w:ind w:left="420" w:leftChars="200" w:firstLine="200" w:firstLineChars="200"/>
    </w:pPr>
    <w:rPr>
      <w:szCs w:val="22"/>
    </w:rPr>
  </w:style>
  <w:style w:type="paragraph" w:customStyle="1" w:styleId="79">
    <w:name w:val="Revision"/>
    <w:hidden/>
    <w:semiHidden/>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2.jpe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cuments\&#33258;&#23450;&#20041;%20Office%20&#27169;&#26495;\&#26080;&#23553;&#38754;.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E6A647-25F9-4A1A-8838-0AF3E800829F}">
  <ds:schemaRefs/>
</ds:datastoreItem>
</file>

<file path=docProps/app.xml><?xml version="1.0" encoding="utf-8"?>
<Properties xmlns="http://schemas.openxmlformats.org/officeDocument/2006/extended-properties" xmlns:vt="http://schemas.openxmlformats.org/officeDocument/2006/docPropsVTypes">
  <Template>无封面.dotx</Template>
  <Company>kuopu</Company>
  <Pages>58</Pages>
  <Words>6127</Words>
  <Characters>7810</Characters>
  <Lines>305</Lines>
  <Paragraphs>85</Paragraphs>
  <TotalTime>0</TotalTime>
  <ScaleCrop>false</ScaleCrop>
  <LinksUpToDate>false</LinksUpToDate>
  <CharactersWithSpaces>8185</CharactersWithSpaces>
  <Application>WPS Office_12.1.0.23302_F1E327BC-269C-435d-A152-05C5408002CA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2026-04-03T04:10:00Z</dcterms:created>
  <dc:creator>yanbing</dc:creator>
  <cp:lastModifiedBy>张海川</cp:lastModifiedBy>
  <cp:lastPrinted>2002-08-14T06:26:00Z</cp:lastPrinted>
  <dcterms:modified xsi:type="dcterms:W3CDTF">2026-06-17T10:42:41Z</dcterms:modified>
  <dc:title>（无封面）</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编辑者">
    <vt:lpwstr>严冰</vt:lpwstr>
  </property>
  <property fmtid="{D5CDD505-2E9C-101B-9397-08002B2CF9AE}" pid="3" name="KSOProductBuildVer">
    <vt:lpwstr>2052-12.1.0.23302</vt:lpwstr>
  </property>
  <property fmtid="{D5CDD505-2E9C-101B-9397-08002B2CF9AE}" pid="4" name="ICV">
    <vt:lpwstr>62A8DF8AA8034D0EA183A9F60852BFF0_13</vt:lpwstr>
  </property>
  <property fmtid="{D5CDD505-2E9C-101B-9397-08002B2CF9AE}" pid="5" name="KSOTemplateDocerSaveRecord">
    <vt:lpwstr>eyJoZGlkIjoiNzk0YjNmZDEwYTkyZjMyNWVmYjQyNjZjZjYxMzE1MWQiLCJ1c2VySWQiOiI3MjI3NzM4MjcifQ==</vt:lpwstr>
  </property>
</Properties>
</file>