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267AE0">
      <w:pPr>
        <w:adjustRightInd w:val="0"/>
        <w:snapToGrid w:val="0"/>
        <w:spacing w:before="156"/>
        <w:jc w:val="center"/>
        <w:rPr>
          <w:rFonts w:ascii="宋体" w:hAnsi="宋体"/>
          <w:b/>
          <w:color w:val="auto"/>
          <w:sz w:val="28"/>
        </w:rPr>
      </w:pPr>
      <w:bookmarkStart w:id="4" w:name="_GoBack"/>
      <w:bookmarkEnd w:id="4"/>
      <w:r>
        <w:rPr>
          <w:color w:val="auto"/>
        </w:rPr>
        <w:drawing>
          <wp:anchor distT="0" distB="0" distL="114300" distR="114300" simplePos="0" relativeHeight="251659264" behindDoc="1" locked="0" layoutInCell="1" allowOverlap="1">
            <wp:simplePos x="0" y="0"/>
            <wp:positionH relativeFrom="page">
              <wp:posOffset>-86995</wp:posOffset>
            </wp:positionH>
            <wp:positionV relativeFrom="paragraph">
              <wp:posOffset>-915035</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r>
        <w:rPr>
          <w:color w:val="auto"/>
        </w:rPr>
        <w:drawing>
          <wp:anchor distT="0" distB="0" distL="114300" distR="114300" simplePos="0" relativeHeight="251660288" behindDoc="0" locked="0" layoutInCell="1" allowOverlap="1">
            <wp:simplePos x="0" y="0"/>
            <wp:positionH relativeFrom="page">
              <wp:posOffset>342900</wp:posOffset>
            </wp:positionH>
            <wp:positionV relativeFrom="paragraph">
              <wp:posOffset>827405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8"/>
                    <a:stretch>
                      <a:fillRect/>
                    </a:stretch>
                  </pic:blipFill>
                  <pic:spPr>
                    <a:xfrm>
                      <a:off x="0" y="0"/>
                      <a:ext cx="3459480" cy="813435"/>
                    </a:xfrm>
                    <a:prstGeom prst="rect">
                      <a:avLst/>
                    </a:prstGeom>
                    <a:noFill/>
                    <a:ln>
                      <a:noFill/>
                    </a:ln>
                  </pic:spPr>
                </pic:pic>
              </a:graphicData>
            </a:graphic>
          </wp:anchor>
        </w:drawing>
      </w:r>
    </w:p>
    <w:p w14:paraId="0E7A18AB">
      <w:pPr>
        <w:adjustRightInd w:val="0"/>
        <w:snapToGrid w:val="0"/>
        <w:spacing w:before="156"/>
        <w:rPr>
          <w:rFonts w:ascii="宋体" w:hAnsi="宋体"/>
          <w:color w:val="auto"/>
        </w:rPr>
      </w:pPr>
    </w:p>
    <w:p w14:paraId="7FE69733">
      <w:pPr>
        <w:widowControl/>
        <w:spacing w:beforeAutospacing="1" w:afterAutospacing="1"/>
        <w:jc w:val="left"/>
        <w:rPr>
          <w:rFonts w:ascii="宋体" w:hAnsi="宋体"/>
          <w:color w:val="auto"/>
        </w:rPr>
        <w:sectPr>
          <w:footerReference r:id="rId3" w:type="default"/>
          <w:pgSz w:w="11906" w:h="16838"/>
          <w:pgMar w:top="1440" w:right="1800" w:bottom="1440" w:left="1800" w:header="0" w:footer="0" w:gutter="0"/>
          <w:pgNumType w:start="0"/>
          <w:cols w:space="720" w:num="1"/>
          <w:titlePg/>
          <w:docGrid w:type="lines" w:linePitch="312" w:charSpace="0"/>
        </w:sectPr>
      </w:pPr>
      <w:r>
        <w:rPr>
          <w:color w:val="auto"/>
        </w:rPr>
        <mc:AlternateContent>
          <mc:Choice Requires="wps">
            <w:drawing>
              <wp:anchor distT="0" distB="0" distL="114300" distR="114300" simplePos="0" relativeHeight="251661312" behindDoc="0" locked="0" layoutInCell="1" allowOverlap="1">
                <wp:simplePos x="0" y="0"/>
                <wp:positionH relativeFrom="margin">
                  <wp:posOffset>-1029970</wp:posOffset>
                </wp:positionH>
                <wp:positionV relativeFrom="paragraph">
                  <wp:posOffset>3775710</wp:posOffset>
                </wp:positionV>
                <wp:extent cx="6304280"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14:paraId="2450F228">
                            <w:pPr>
                              <w:wordWrap w:val="0"/>
                              <w:spacing w:before="156"/>
                              <w:ind w:right="52"/>
                              <w:jc w:val="right"/>
                              <w:rPr>
                                <w:rFonts w:hint="eastAsia" w:ascii="华文楷体" w:hAnsi="华文楷体" w:eastAsia="华文楷体" w:cs="华文楷体"/>
                                <w:b/>
                                <w:bCs w:val="0"/>
                                <w:color w:val="003B77"/>
                                <w:sz w:val="56"/>
                                <w:szCs w:val="56"/>
                                <w:lang w:eastAsia="zh-CN"/>
                              </w:rPr>
                            </w:pPr>
                            <w:r>
                              <w:rPr>
                                <w:rFonts w:hint="eastAsia" w:ascii="华文楷体" w:hAnsi="华文楷体" w:eastAsia="华文楷体" w:cs="华文楷体"/>
                                <w:b/>
                                <w:bCs w:val="0"/>
                                <w:color w:val="000080"/>
                                <w:sz w:val="56"/>
                                <w:szCs w:val="56"/>
                                <w:lang w:eastAsia="zh-CN"/>
                              </w:rPr>
                              <w:t>零星采购（</w:t>
                            </w:r>
                            <w:r>
                              <w:rPr>
                                <w:rFonts w:hint="eastAsia" w:ascii="华文楷体" w:hAnsi="华文楷体" w:eastAsia="华文楷体" w:cs="华文楷体"/>
                                <w:b/>
                                <w:bCs w:val="0"/>
                                <w:color w:val="000080"/>
                                <w:sz w:val="56"/>
                                <w:szCs w:val="56"/>
                                <w:lang w:val="en-US" w:eastAsia="zh-CN"/>
                              </w:rPr>
                              <w:t>物资类</w:t>
                            </w:r>
                            <w:r>
                              <w:rPr>
                                <w:rFonts w:hint="eastAsia" w:ascii="华文楷体" w:hAnsi="华文楷体" w:eastAsia="华文楷体" w:cs="华文楷体"/>
                                <w:b/>
                                <w:bCs w:val="0"/>
                                <w:color w:val="000080"/>
                                <w:sz w:val="56"/>
                                <w:szCs w:val="56"/>
                                <w:lang w:eastAsia="zh-CN"/>
                              </w:rPr>
                              <w:t>）商务</w:t>
                            </w:r>
                            <w:r>
                              <w:rPr>
                                <w:rFonts w:hint="eastAsia" w:ascii="华文楷体" w:hAnsi="华文楷体" w:eastAsia="华文楷体" w:cs="华文楷体"/>
                                <w:b/>
                                <w:bCs w:val="0"/>
                                <w:color w:val="000080"/>
                                <w:sz w:val="56"/>
                                <w:szCs w:val="56"/>
                                <w:lang w:val="en-US" w:eastAsia="zh-CN"/>
                              </w:rPr>
                              <w:t>技术要求文件</w:t>
                            </w:r>
                          </w:p>
                          <w:p w14:paraId="1EE6A827">
                            <w:pPr>
                              <w:wordWrap w:val="0"/>
                              <w:spacing w:before="156"/>
                              <w:ind w:right="52"/>
                              <w:rPr>
                                <w:rFonts w:hint="eastAsia" w:ascii="华文楷体" w:hAnsi="华文楷体" w:eastAsia="华文楷体" w:cs="华文楷体"/>
                                <w:b/>
                                <w:bCs w:val="0"/>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81.1pt;margin-top:297.3pt;height:98.15pt;width:496.4pt;mso-position-horizontal-relative:margin;z-index:251661312;mso-width-relative:page;mso-height-relative:page;" filled="f" stroked="f" coordsize="21600,21600" o:gfxdata="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SdipE2QAA&#10;AAwBAAAPAAAAAAAAAAEAIAAAACIAAABkcnMvZG93bnJldi54bWxQSwECFAAUAAAACACHTuJA6a22&#10;NB0CAAAkBAAADgAAAAAAAAABACAAAAAoAQAAZHJzL2Uyb0RvYy54bWxQSwUGAAAAAAYABgBZAQAA&#10;twUAAAAA&#10;">
                <v:fill on="f" focussize="0,0"/>
                <v:stroke on="f"/>
                <v:imagedata o:title=""/>
                <o:lock v:ext="edit" aspectratio="f"/>
                <v:textbox>
                  <w:txbxContent>
                    <w:p w14:paraId="2450F228">
                      <w:pPr>
                        <w:wordWrap w:val="0"/>
                        <w:spacing w:before="156"/>
                        <w:ind w:right="52"/>
                        <w:jc w:val="right"/>
                        <w:rPr>
                          <w:rFonts w:hint="eastAsia" w:ascii="华文楷体" w:hAnsi="华文楷体" w:eastAsia="华文楷体" w:cs="华文楷体"/>
                          <w:b/>
                          <w:bCs w:val="0"/>
                          <w:color w:val="003B77"/>
                          <w:sz w:val="56"/>
                          <w:szCs w:val="56"/>
                          <w:lang w:eastAsia="zh-CN"/>
                        </w:rPr>
                      </w:pPr>
                      <w:r>
                        <w:rPr>
                          <w:rFonts w:hint="eastAsia" w:ascii="华文楷体" w:hAnsi="华文楷体" w:eastAsia="华文楷体" w:cs="华文楷体"/>
                          <w:b/>
                          <w:bCs w:val="0"/>
                          <w:color w:val="000080"/>
                          <w:sz w:val="56"/>
                          <w:szCs w:val="56"/>
                          <w:lang w:eastAsia="zh-CN"/>
                        </w:rPr>
                        <w:t>零星采购（</w:t>
                      </w:r>
                      <w:r>
                        <w:rPr>
                          <w:rFonts w:hint="eastAsia" w:ascii="华文楷体" w:hAnsi="华文楷体" w:eastAsia="华文楷体" w:cs="华文楷体"/>
                          <w:b/>
                          <w:bCs w:val="0"/>
                          <w:color w:val="000080"/>
                          <w:sz w:val="56"/>
                          <w:szCs w:val="56"/>
                          <w:lang w:val="en-US" w:eastAsia="zh-CN"/>
                        </w:rPr>
                        <w:t>物资类</w:t>
                      </w:r>
                      <w:r>
                        <w:rPr>
                          <w:rFonts w:hint="eastAsia" w:ascii="华文楷体" w:hAnsi="华文楷体" w:eastAsia="华文楷体" w:cs="华文楷体"/>
                          <w:b/>
                          <w:bCs w:val="0"/>
                          <w:color w:val="000080"/>
                          <w:sz w:val="56"/>
                          <w:szCs w:val="56"/>
                          <w:lang w:eastAsia="zh-CN"/>
                        </w:rPr>
                        <w:t>）商务</w:t>
                      </w:r>
                      <w:r>
                        <w:rPr>
                          <w:rFonts w:hint="eastAsia" w:ascii="华文楷体" w:hAnsi="华文楷体" w:eastAsia="华文楷体" w:cs="华文楷体"/>
                          <w:b/>
                          <w:bCs w:val="0"/>
                          <w:color w:val="000080"/>
                          <w:sz w:val="56"/>
                          <w:szCs w:val="56"/>
                          <w:lang w:val="en-US" w:eastAsia="zh-CN"/>
                        </w:rPr>
                        <w:t>技术要求文件</w:t>
                      </w:r>
                    </w:p>
                    <w:p w14:paraId="1EE6A827">
                      <w:pPr>
                        <w:wordWrap w:val="0"/>
                        <w:spacing w:before="156"/>
                        <w:ind w:right="52"/>
                        <w:rPr>
                          <w:rFonts w:hint="eastAsia" w:ascii="华文楷体" w:hAnsi="华文楷体" w:eastAsia="华文楷体" w:cs="华文楷体"/>
                          <w:b/>
                          <w:bCs w:val="0"/>
                          <w:color w:val="003B77"/>
                          <w:sz w:val="72"/>
                          <w:szCs w:val="72"/>
                        </w:rPr>
                      </w:pPr>
                    </w:p>
                  </w:txbxContent>
                </v:textbox>
              </v:shape>
            </w:pict>
          </mc:Fallback>
        </mc:AlternateContent>
      </w:r>
    </w:p>
    <w:p w14:paraId="000F0677">
      <w:pPr>
        <w:adjustRightInd w:val="0"/>
        <w:snapToGrid w:val="0"/>
        <w:spacing w:before="156" w:line="360" w:lineRule="auto"/>
        <w:jc w:val="center"/>
        <w:rPr>
          <w:rFonts w:hint="eastAsia" w:ascii="黑体" w:hAnsi="黑体" w:eastAsia="黑体" w:cs="宋体"/>
          <w:b/>
          <w:color w:val="auto"/>
          <w:sz w:val="36"/>
          <w:szCs w:val="36"/>
          <w:highlight w:val="yellow"/>
          <w:u w:val="single"/>
          <w:lang w:val="zh-CN"/>
        </w:rPr>
      </w:pPr>
      <w:r>
        <w:rPr>
          <w:rFonts w:hint="eastAsia" w:ascii="黑体" w:hAnsi="黑体" w:eastAsia="黑体" w:cs="宋体"/>
          <w:b/>
          <w:color w:val="auto"/>
          <w:sz w:val="36"/>
          <w:szCs w:val="36"/>
          <w:highlight w:val="yellow"/>
          <w:u w:val="single"/>
          <w:lang w:val="zh-CN"/>
        </w:rPr>
        <w:t>2026年超高压输电公司昆明局普洱换流站工业级光纤交换机零星采购项目</w:t>
      </w:r>
    </w:p>
    <w:p w14:paraId="51E9E93D">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零星</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14:paraId="548A061E">
      <w:pPr>
        <w:adjustRightInd w:val="0"/>
        <w:snapToGrid w:val="0"/>
        <w:spacing w:before="156" w:line="360" w:lineRule="auto"/>
        <w:jc w:val="center"/>
        <w:rPr>
          <w:rFonts w:hint="eastAsia" w:ascii="华文楷体" w:hAnsi="华文楷体" w:eastAsia="华文楷体" w:cs="华文楷体"/>
          <w:b/>
          <w:color w:val="auto"/>
          <w:sz w:val="36"/>
          <w:szCs w:val="36"/>
          <w:highlight w:val="none"/>
          <w:lang w:val="en-US" w:eastAsia="zh-CN"/>
        </w:rPr>
      </w:pPr>
      <w:r>
        <w:rPr>
          <w:rFonts w:hint="eastAsia" w:ascii="华文楷体" w:hAnsi="华文楷体" w:eastAsia="华文楷体" w:cs="华文楷体"/>
          <w:b/>
          <w:color w:val="auto"/>
          <w:sz w:val="36"/>
          <w:szCs w:val="36"/>
          <w:highlight w:val="none"/>
          <w:lang w:val="en-US" w:eastAsia="zh-CN"/>
        </w:rPr>
        <w:t>/*更新标黄部分内容*/</w:t>
      </w:r>
    </w:p>
    <w:p w14:paraId="481D7CD3">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14:paraId="26EA76B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14:paraId="31B0F90E">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2026年01月02日，检查发现交/直流故障录波工作站与10FX62+S1、10FX62+S2、10FX62+S3、10FX62+S4故障录波装置通信中断，现场检查录波装置运行正常，通信中断为现场录波至工作站工业级光纤交换机故障所致,需对该交换机进行更换消缺。经查局内无此备件，申请采购1个工业级光纤交换机进行消缺，型号为：要求网口数量不少于6个，供电电源为直流220V，光纤口为ST收发双口。缺陷编号：QX010920260102-00020。</w:t>
      </w:r>
    </w:p>
    <w:p w14:paraId="7B0C2316">
      <w:pPr>
        <w:keepNext w:val="0"/>
        <w:keepLines w:val="0"/>
        <w:pageBreakBefore w:val="0"/>
        <w:widowControl w:val="0"/>
        <w:kinsoku/>
        <w:wordWrap/>
        <w:overflowPunct/>
        <w:topLinePunct w:val="0"/>
        <w:autoSpaceDE/>
        <w:autoSpaceDN/>
        <w:bidi w:val="0"/>
        <w:adjustRightInd w:val="0"/>
        <w:snapToGrid w:val="0"/>
        <w:spacing w:line="360" w:lineRule="auto"/>
        <w:ind w:left="565" w:leftChars="269"/>
        <w:textAlignment w:val="auto"/>
        <w:outlineLvl w:val="9"/>
        <w:rPr>
          <w:rFonts w:hint="eastAsia" w:ascii="宋体" w:hAnsi="宋体" w:eastAsia="宋体" w:cs="宋体"/>
          <w:i/>
          <w:color w:val="auto"/>
          <w:sz w:val="28"/>
          <w:szCs w:val="28"/>
          <w:highlight w:val="none"/>
          <w:u w:val="single"/>
          <w:lang w:val="en-US"/>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批复文件：</w:t>
      </w:r>
      <w:r>
        <w:rPr>
          <w:rFonts w:hint="eastAsia" w:ascii="宋体" w:hAnsi="宋体" w:eastAsia="宋体" w:cs="宋体"/>
          <w:color w:val="auto"/>
          <w:sz w:val="28"/>
          <w:szCs w:val="28"/>
          <w:highlight w:val="none"/>
          <w:lang w:val="en-US" w:eastAsia="zh-CN"/>
        </w:rPr>
        <w:t>昆明局2026年1月份生产域零星采购项目专业立项审查会议纪要。</w:t>
      </w:r>
    </w:p>
    <w:p w14:paraId="0F69C26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1.3</w:t>
      </w:r>
      <w:r>
        <w:rPr>
          <w:rFonts w:hint="eastAsia" w:ascii="宋体" w:hAnsi="宋体" w:eastAsia="宋体" w:cs="宋体"/>
          <w:color w:val="auto"/>
          <w:sz w:val="28"/>
          <w:szCs w:val="28"/>
          <w:highlight w:val="none"/>
        </w:rPr>
        <w:t>项目最高限价</w:t>
      </w:r>
      <w:r>
        <w:rPr>
          <w:rFonts w:hint="eastAsia" w:ascii="宋体" w:hAnsi="宋体" w:eastAsia="宋体" w:cs="宋体"/>
          <w:color w:val="auto"/>
          <w:sz w:val="28"/>
          <w:szCs w:val="28"/>
          <w:highlight w:val="none"/>
          <w:lang w:eastAsia="zh-CN"/>
        </w:rPr>
        <w:t>（一般不超概算）</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0.26</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万元。</w:t>
      </w:r>
    </w:p>
    <w:p w14:paraId="172CCBFC">
      <w:pPr>
        <w:adjustRightInd w:val="0"/>
        <w:snapToGrid w:val="0"/>
        <w:spacing w:before="156" w:beforeLines="50" w:line="360" w:lineRule="auto"/>
        <w:outlineLvl w:val="0"/>
        <w:rPr>
          <w:rFonts w:hint="eastAsia" w:eastAsia="宋体"/>
          <w:b/>
          <w:color w:val="auto"/>
          <w:sz w:val="28"/>
          <w:szCs w:val="28"/>
          <w:lang w:val="en-US" w:eastAsia="zh-CN"/>
        </w:rPr>
      </w:pPr>
      <w:r>
        <w:rPr>
          <w:rFonts w:hint="eastAsia"/>
          <w:b/>
          <w:color w:val="auto"/>
          <w:sz w:val="28"/>
          <w:szCs w:val="28"/>
        </w:rPr>
        <w:t>二、</w:t>
      </w:r>
      <w:bookmarkEnd w:id="1"/>
      <w:r>
        <w:rPr>
          <w:rFonts w:hint="eastAsia"/>
          <w:b/>
          <w:color w:val="auto"/>
          <w:sz w:val="28"/>
          <w:szCs w:val="28"/>
        </w:rPr>
        <w:t>项目实施内容及要求</w:t>
      </w:r>
    </w:p>
    <w:bookmarkEnd w:id="0"/>
    <w:p w14:paraId="477B85C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420" w:leftChars="0"/>
        <w:textAlignment w:val="auto"/>
        <w:outlineLvl w:val="9"/>
        <w:rPr>
          <w:rFonts w:hint="eastAsia" w:ascii="宋体" w:hAnsi="宋体" w:eastAsia="宋体" w:cs="宋体"/>
          <w:color w:val="auto"/>
          <w:sz w:val="28"/>
          <w:szCs w:val="28"/>
          <w:highlight w:val="none"/>
          <w:lang w:val="en-US" w:eastAsia="zh-CN"/>
        </w:rPr>
      </w:pPr>
      <w:bookmarkStart w:id="2" w:name="_Toc349031731"/>
      <w:r>
        <w:rPr>
          <w:rFonts w:hint="eastAsia" w:ascii="宋体" w:hAnsi="宋体" w:eastAsia="宋体" w:cs="宋体"/>
          <w:color w:val="auto"/>
          <w:sz w:val="28"/>
          <w:szCs w:val="28"/>
          <w:highlight w:val="none"/>
          <w:lang w:val="en-US" w:eastAsia="zh-CN"/>
        </w:rPr>
        <w:t>2.1实施内容：购置普洱换流站工业级光纤交换机，数量为1个。</w:t>
      </w:r>
    </w:p>
    <w:p w14:paraId="0008D562">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0000FF"/>
          <w:sz w:val="28"/>
          <w:szCs w:val="28"/>
          <w:highlight w:val="none"/>
          <w:lang w:val="en-US" w:eastAsia="zh-CN"/>
        </w:rPr>
      </w:pPr>
      <w:r>
        <w:rPr>
          <w:rFonts w:hint="eastAsia" w:ascii="宋体" w:hAnsi="宋体" w:eastAsia="宋体" w:cs="宋体"/>
          <w:b w:val="0"/>
          <w:bCs/>
          <w:color w:val="auto"/>
          <w:sz w:val="28"/>
          <w:szCs w:val="28"/>
          <w:highlight w:val="none"/>
          <w:lang w:val="en-US" w:eastAsia="zh-CN"/>
        </w:rPr>
        <w:t>2.2时间要求：</w:t>
      </w:r>
      <w:r>
        <w:rPr>
          <w:rFonts w:hint="eastAsia" w:ascii="宋体" w:hAnsi="宋体" w:eastAsia="宋体" w:cs="宋体"/>
          <w:b w:val="0"/>
          <w:bCs/>
          <w:color w:val="auto"/>
          <w:sz w:val="28"/>
          <w:szCs w:val="28"/>
          <w:highlight w:val="none"/>
          <w:u w:val="single"/>
          <w:lang w:val="en-US" w:eastAsia="zh-CN"/>
        </w:rPr>
        <w:t>成交之日起1个月</w:t>
      </w:r>
      <w:r>
        <w:rPr>
          <w:rFonts w:hint="eastAsia" w:ascii="宋体" w:hAnsi="宋体" w:cs="宋体"/>
          <w:b w:val="0"/>
          <w:bCs/>
          <w:color w:val="auto"/>
          <w:sz w:val="28"/>
          <w:szCs w:val="28"/>
          <w:highlight w:val="none"/>
          <w:u w:val="single"/>
          <w:lang w:val="en-US" w:eastAsia="zh-CN"/>
        </w:rPr>
        <w:t>内</w:t>
      </w:r>
      <w:r>
        <w:rPr>
          <w:rFonts w:hint="eastAsia" w:ascii="宋体" w:hAnsi="宋体" w:eastAsia="宋体" w:cs="宋体"/>
          <w:b w:val="0"/>
          <w:bCs/>
          <w:color w:val="auto"/>
          <w:sz w:val="28"/>
          <w:szCs w:val="28"/>
          <w:highlight w:val="none"/>
          <w:u w:val="single"/>
          <w:lang w:val="en-US" w:eastAsia="zh-CN"/>
        </w:rPr>
        <w:t>到货，若定标时间晚于到货时间，到货时间双方协商后调整</w:t>
      </w:r>
      <w:r>
        <w:rPr>
          <w:rFonts w:hint="eastAsia" w:ascii="宋体" w:hAnsi="宋体" w:cs="宋体"/>
          <w:b w:val="0"/>
          <w:bCs/>
          <w:color w:val="auto"/>
          <w:sz w:val="28"/>
          <w:szCs w:val="28"/>
          <w:highlight w:val="none"/>
          <w:u w:val="single"/>
          <w:lang w:val="en-US" w:eastAsia="zh-CN"/>
        </w:rPr>
        <w:t>，以双方函件为准</w:t>
      </w:r>
      <w:r>
        <w:rPr>
          <w:rFonts w:hint="eastAsia" w:ascii="宋体" w:hAnsi="宋体" w:eastAsia="宋体" w:cs="宋体"/>
          <w:b w:val="0"/>
          <w:bCs/>
          <w:color w:val="auto"/>
          <w:sz w:val="28"/>
          <w:szCs w:val="28"/>
          <w:highlight w:val="none"/>
          <w:u w:val="single"/>
          <w:lang w:val="en-US" w:eastAsia="zh-CN"/>
        </w:rPr>
        <w:t>。</w:t>
      </w:r>
    </w:p>
    <w:p w14:paraId="51D4653B">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cs="宋体"/>
          <w:color w:val="auto"/>
          <w:sz w:val="28"/>
          <w:szCs w:val="28"/>
          <w:highlight w:val="none"/>
          <w:u w:val="single"/>
          <w:lang w:val="en-US" w:eastAsia="zh-CN"/>
        </w:rPr>
      </w:pPr>
      <w:r>
        <w:rPr>
          <w:rFonts w:hint="eastAsia" w:ascii="宋体" w:hAnsi="宋体" w:eastAsia="宋体" w:cs="宋体"/>
          <w:b w:val="0"/>
          <w:bCs/>
          <w:color w:val="auto"/>
          <w:sz w:val="28"/>
          <w:szCs w:val="28"/>
          <w:highlight w:val="none"/>
          <w:lang w:val="en-US" w:eastAsia="zh-CN"/>
        </w:rPr>
        <w:t>2.3到货地点：</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云南省昆明市官渡区经济技术开发区玉缘路21号超高压输电公司昆明局</w:t>
      </w:r>
    </w:p>
    <w:p w14:paraId="6F1A23C4">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default"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2.4其他要求：</w:t>
      </w:r>
      <w:r>
        <w:rPr>
          <w:rFonts w:hint="eastAsia" w:ascii="宋体" w:hAnsi="宋体" w:cs="宋体"/>
          <w:b w:val="0"/>
          <w:bCs/>
          <w:color w:val="auto"/>
          <w:sz w:val="28"/>
          <w:szCs w:val="28"/>
          <w:highlight w:val="none"/>
          <w:u w:val="single"/>
          <w:lang w:val="en-US" w:eastAsia="zh-CN"/>
        </w:rPr>
        <w:t>无</w:t>
      </w:r>
    </w:p>
    <w:p w14:paraId="46475150">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2.5采购</w:t>
      </w:r>
      <w:r>
        <w:rPr>
          <w:rFonts w:hint="eastAsia" w:ascii="宋体" w:hAnsi="宋体" w:cs="宋体"/>
          <w:b w:val="0"/>
          <w:bCs/>
          <w:color w:val="auto"/>
          <w:sz w:val="28"/>
          <w:szCs w:val="28"/>
          <w:highlight w:val="none"/>
          <w:lang w:val="en-US" w:eastAsia="zh-CN"/>
        </w:rPr>
        <w:t>明细详见“六</w:t>
      </w:r>
      <w:r>
        <w:rPr>
          <w:rFonts w:hint="eastAsia" w:ascii="Times New Roman" w:hAnsi="Times New Roman" w:eastAsia="宋体" w:cs="Times New Roman"/>
          <w:b/>
          <w:color w:val="auto"/>
          <w:sz w:val="28"/>
          <w:szCs w:val="28"/>
          <w:highlight w:val="none"/>
          <w:lang w:val="en-US" w:eastAsia="zh-CN"/>
        </w:rPr>
        <w:t>设备附图</w:t>
      </w:r>
      <w:r>
        <w:rPr>
          <w:rFonts w:hint="eastAsia" w:cs="Times New Roman"/>
          <w:b/>
          <w:color w:val="auto"/>
          <w:sz w:val="28"/>
          <w:szCs w:val="28"/>
          <w:highlight w:val="none"/>
          <w:lang w:val="en-US" w:eastAsia="zh-CN"/>
        </w:rPr>
        <w:t>及参数</w:t>
      </w:r>
      <w:r>
        <w:rPr>
          <w:rFonts w:hint="eastAsia" w:ascii="宋体" w:hAnsi="宋体" w:cs="宋体"/>
          <w:b w:val="0"/>
          <w:bCs/>
          <w:color w:val="auto"/>
          <w:sz w:val="28"/>
          <w:szCs w:val="28"/>
          <w:highlight w:val="none"/>
          <w:lang w:val="en-US" w:eastAsia="zh-CN"/>
        </w:rPr>
        <w:t>”</w:t>
      </w:r>
    </w:p>
    <w:p w14:paraId="6E6E5238">
      <w:pPr>
        <w:pStyle w:val="2"/>
        <w:rPr>
          <w:rFonts w:hint="eastAsia" w:ascii="宋体" w:hAnsi="宋体" w:eastAsia="宋体" w:cs="宋体"/>
          <w:b w:val="0"/>
          <w:bCs/>
          <w:color w:val="auto"/>
          <w:sz w:val="28"/>
          <w:szCs w:val="28"/>
          <w:highlight w:val="yellow"/>
          <w:lang w:val="en-US" w:eastAsia="zh-CN"/>
        </w:rPr>
      </w:pPr>
    </w:p>
    <w:p w14:paraId="43206B31">
      <w:pPr>
        <w:pStyle w:val="3"/>
        <w:rPr>
          <w:rFonts w:hint="eastAsia" w:ascii="宋体" w:hAnsi="宋体" w:eastAsia="宋体" w:cs="宋体"/>
          <w:b w:val="0"/>
          <w:bCs/>
          <w:color w:val="auto"/>
          <w:sz w:val="28"/>
          <w:szCs w:val="28"/>
          <w:highlight w:val="yellow"/>
          <w:lang w:val="en-US" w:eastAsia="zh-CN"/>
        </w:rPr>
      </w:pPr>
    </w:p>
    <w:p w14:paraId="769EFC70">
      <w:pPr>
        <w:rPr>
          <w:rFonts w:hint="eastAsia"/>
          <w:color w:val="auto"/>
          <w:lang w:val="en-US" w:eastAsia="zh-CN"/>
        </w:rPr>
      </w:pPr>
    </w:p>
    <w:p w14:paraId="412455D1">
      <w:pPr>
        <w:adjustRightInd w:val="0"/>
        <w:snapToGrid w:val="0"/>
        <w:spacing w:before="156" w:beforeLines="50" w:line="360" w:lineRule="auto"/>
        <w:outlineLvl w:val="0"/>
        <w:rPr>
          <w:rFonts w:hint="eastAsia"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 xml:space="preserve">三、 </w:t>
      </w:r>
      <w:r>
        <w:rPr>
          <w:rFonts w:hint="eastAsia" w:ascii="Times New Roman" w:hAnsi="Times New Roman" w:eastAsia="宋体" w:cs="Times New Roman"/>
          <w:b/>
          <w:color w:val="auto"/>
          <w:sz w:val="28"/>
          <w:szCs w:val="28"/>
        </w:rPr>
        <w:t>资质要求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14:paraId="25DA8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14:paraId="5F37C623">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14:paraId="774BD214">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14:paraId="5124EB9B">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14:paraId="641BFA2C">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14:paraId="507BDCED">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14:paraId="244C0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686" w:type="dxa"/>
            <w:noWrap w:val="0"/>
            <w:vAlign w:val="center"/>
          </w:tcPr>
          <w:p w14:paraId="60DA0045">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14:paraId="5E292A53">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14:paraId="04EB1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14:paraId="0BDADCFA">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14:paraId="4851DB5E">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14:paraId="42EC9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14:paraId="09A859FB">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14:paraId="1D214F9E">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bl>
    <w:p w14:paraId="4F1FD6C3">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w:t>
      </w:r>
      <w:r>
        <w:rPr>
          <w:rFonts w:hint="eastAsia" w:ascii="Times New Roman" w:hAnsi="Times New Roman" w:eastAsia="宋体" w:cs="Times New Roman"/>
          <w:b/>
          <w:color w:val="auto"/>
          <w:sz w:val="28"/>
          <w:szCs w:val="28"/>
          <w:highlight w:val="none"/>
        </w:rPr>
        <w:t>售后服务要求</w:t>
      </w:r>
    </w:p>
    <w:p w14:paraId="21FD2D0A">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产品发票要求：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14:paraId="5935FF5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产品</w:t>
      </w:r>
      <w:r>
        <w:rPr>
          <w:rFonts w:hint="eastAsia" w:ascii="宋体" w:hAnsi="宋体" w:eastAsia="宋体" w:cs="宋体"/>
          <w:color w:val="auto"/>
          <w:sz w:val="28"/>
          <w:szCs w:val="28"/>
          <w:highlight w:val="none"/>
          <w:lang w:eastAsia="zh-CN"/>
        </w:rPr>
        <w:t>质量保证</w:t>
      </w:r>
      <w:r>
        <w:rPr>
          <w:rFonts w:hint="eastAsia" w:ascii="宋体" w:hAnsi="宋体" w:eastAsia="宋体" w:cs="宋体"/>
          <w:color w:val="auto"/>
          <w:sz w:val="28"/>
          <w:szCs w:val="28"/>
          <w:highlight w:val="none"/>
        </w:rPr>
        <w:t>及售后服务响应要求：</w:t>
      </w:r>
    </w:p>
    <w:p w14:paraId="5F32877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卖方应保证</w:t>
      </w:r>
      <w:r>
        <w:rPr>
          <w:rFonts w:hint="eastAsia" w:ascii="宋体" w:hAnsi="宋体" w:eastAsia="宋体" w:cs="宋体"/>
          <w:color w:val="auto"/>
          <w:sz w:val="28"/>
          <w:szCs w:val="28"/>
          <w:highlight w:val="none"/>
          <w:lang w:eastAsia="zh-CN"/>
        </w:rPr>
        <w:t>标的</w:t>
      </w:r>
      <w:r>
        <w:rPr>
          <w:rFonts w:hint="eastAsia" w:ascii="宋体" w:hAnsi="宋体" w:eastAsia="宋体" w:cs="宋体"/>
          <w:color w:val="auto"/>
          <w:sz w:val="28"/>
          <w:szCs w:val="28"/>
          <w:highlight w:val="none"/>
        </w:rPr>
        <w:t>物的包装能满足长途运输、多次搬运、装卸、防潮、防震、防碎、箱内不留异物等各种包装要求，并按照</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货物的特点和需要分别加上防冲撞、防霉、防锈、防腐蚀、防冻、防盗的保护措施。</w:t>
      </w:r>
    </w:p>
    <w:p w14:paraId="679547F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卖方用于</w:t>
      </w:r>
      <w:r>
        <w:rPr>
          <w:rFonts w:hint="eastAsia" w:ascii="宋体" w:hAnsi="宋体" w:eastAsia="宋体" w:cs="宋体"/>
          <w:color w:val="auto"/>
          <w:sz w:val="28"/>
          <w:szCs w:val="28"/>
          <w:highlight w:val="none"/>
          <w:lang w:eastAsia="zh-CN"/>
        </w:rPr>
        <w:t>标的</w:t>
      </w:r>
      <w:r>
        <w:rPr>
          <w:rFonts w:hint="eastAsia" w:ascii="宋体" w:hAnsi="宋体" w:eastAsia="宋体" w:cs="宋体"/>
          <w:color w:val="auto"/>
          <w:sz w:val="28"/>
          <w:szCs w:val="28"/>
          <w:highlight w:val="none"/>
        </w:rPr>
        <w:t>物的包装材料，应符合国家相关环保标准；属应检验检疫的，应依法办理检验检疫手续并将相关资料移交给买方，否则，买方有权拒收。</w:t>
      </w:r>
    </w:p>
    <w:p w14:paraId="2ACFE55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卖方负责将</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运至</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约定的交货地点</w:t>
      </w:r>
      <w:r>
        <w:rPr>
          <w:rFonts w:hint="eastAsia" w:ascii="宋体" w:hAnsi="宋体" w:eastAsia="宋体" w:cs="宋体"/>
          <w:color w:val="auto"/>
          <w:sz w:val="28"/>
          <w:szCs w:val="28"/>
          <w:highlight w:val="none"/>
          <w:lang w:eastAsia="zh-CN"/>
        </w:rPr>
        <w:t>（另有约定除外）</w:t>
      </w:r>
      <w:r>
        <w:rPr>
          <w:rFonts w:hint="eastAsia" w:ascii="宋体" w:hAnsi="宋体" w:eastAsia="宋体" w:cs="宋体"/>
          <w:color w:val="auto"/>
          <w:sz w:val="28"/>
          <w:szCs w:val="28"/>
          <w:highlight w:val="none"/>
        </w:rPr>
        <w:t>并完成车板交货，在到货同时提交书面文件及电子文档。在货物送达后三日内，卖方应到货物交接地点办理交接手续。</w:t>
      </w:r>
    </w:p>
    <w:p w14:paraId="613AAC6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备妥发出前</w:t>
      </w:r>
      <w:r>
        <w:rPr>
          <w:rFonts w:hint="eastAsia" w:ascii="宋体" w:hAnsi="宋体" w:eastAsia="宋体" w:cs="宋体"/>
          <w:color w:val="auto"/>
          <w:sz w:val="28"/>
          <w:szCs w:val="28"/>
          <w:highlight w:val="none"/>
          <w:lang w:val="en-US" w:eastAsia="zh-CN"/>
        </w:rPr>
        <w:t>24小时</w:t>
      </w:r>
      <w:r>
        <w:rPr>
          <w:rFonts w:hint="eastAsia" w:ascii="宋体" w:hAnsi="宋体" w:eastAsia="宋体" w:cs="宋体"/>
          <w:color w:val="auto"/>
          <w:sz w:val="28"/>
          <w:szCs w:val="28"/>
          <w:highlight w:val="none"/>
        </w:rPr>
        <w:t>内，卖方应以传真或函件等方式向买方提交发货通知单以告知买方货物发运日期、装箱清单、承运人信息等事项。</w:t>
      </w:r>
    </w:p>
    <w:p w14:paraId="76F40DA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买方有权对</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进行抽检和到货验收，卖方应积极配合并提供抽检所需的资料和必要条件。卖方人员未按时赶赴现场，买方自行实施或委托具备相应资质的检验机构做出的抽检结果或验收结果，卖方应认可</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买方有权拒收</w:t>
      </w:r>
      <w:r>
        <w:rPr>
          <w:rFonts w:hint="eastAsia" w:ascii="宋体" w:hAnsi="宋体" w:eastAsia="宋体" w:cs="宋体"/>
          <w:color w:val="auto"/>
          <w:sz w:val="28"/>
          <w:szCs w:val="28"/>
          <w:highlight w:val="none"/>
          <w:lang w:eastAsia="zh-CN"/>
        </w:rPr>
        <w:t>验收不合格货物。</w:t>
      </w:r>
    </w:p>
    <w:p w14:paraId="323473D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的质量保证期和使用寿命应当符合国家标准或行业标准的要求。没有相关标准时，各类物资的质保期和使用寿命应当满足产品设计要求。</w:t>
      </w:r>
    </w:p>
    <w:p w14:paraId="226026D3">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.7卖方完成本次投标活动视为接受并认可本采购文件所有条款。</w:t>
      </w:r>
    </w:p>
    <w:p w14:paraId="3F261CD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.8</w:t>
      </w:r>
      <w:r>
        <w:rPr>
          <w:rFonts w:hint="eastAsia" w:ascii="宋体" w:hAnsi="宋体" w:eastAsia="宋体" w:cs="宋体"/>
          <w:color w:val="auto"/>
          <w:sz w:val="28"/>
          <w:szCs w:val="28"/>
          <w:highlight w:val="none"/>
          <w:lang w:eastAsia="zh-CN"/>
        </w:rPr>
        <w:t>质保期自验收合格日期起计算，质保期为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12</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val="en-US" w:eastAsia="zh-CN"/>
        </w:rPr>
        <w:t>个月。</w:t>
      </w:r>
    </w:p>
    <w:p w14:paraId="6B8EA450">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.9</w:t>
      </w:r>
      <w:r>
        <w:rPr>
          <w:rFonts w:hint="eastAsia" w:ascii="宋体" w:hAnsi="宋体" w:eastAsia="宋体" w:cs="宋体"/>
          <w:color w:val="auto"/>
          <w:sz w:val="28"/>
          <w:szCs w:val="28"/>
          <w:highlight w:val="none"/>
          <w:lang w:eastAsia="zh-CN"/>
        </w:rPr>
        <w:t>质保期内有任何质量问题将免费进行修理、更换；售后服</w:t>
      </w:r>
      <w:r>
        <w:rPr>
          <w:rFonts w:hint="eastAsia" w:ascii="宋体" w:hAnsi="宋体" w:eastAsia="宋体" w:cs="宋体"/>
          <w:color w:val="auto"/>
          <w:sz w:val="28"/>
          <w:szCs w:val="28"/>
          <w:highlight w:val="none"/>
          <w:lang w:val="en-US" w:eastAsia="zh-CN"/>
        </w:rPr>
        <w:t>务的响应时间在48小时内。</w:t>
      </w:r>
    </w:p>
    <w:p w14:paraId="18D3F09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4.3.0</w:t>
      </w:r>
      <w:r>
        <w:rPr>
          <w:rFonts w:hint="eastAsia" w:ascii="宋体" w:hAnsi="宋体" w:cs="宋体"/>
          <w:color w:val="auto"/>
          <w:sz w:val="28"/>
          <w:szCs w:val="28"/>
          <w:highlight w:val="none"/>
          <w:u w:val="single"/>
          <w:lang w:val="en-US" w:eastAsia="zh-CN"/>
        </w:rPr>
        <w:t>无</w:t>
      </w:r>
    </w:p>
    <w:p w14:paraId="4CB30ACF">
      <w:pPr>
        <w:pStyle w:val="2"/>
        <w:rPr>
          <w:rFonts w:hint="default"/>
          <w:lang w:val="en-US" w:eastAsia="zh-CN"/>
        </w:rPr>
      </w:pPr>
    </w:p>
    <w:p w14:paraId="492A78AB">
      <w:pPr>
        <w:pStyle w:val="4"/>
        <w:pageBreakBefore w:val="0"/>
        <w:widowControl w:val="0"/>
        <w:numPr>
          <w:ilvl w:val="0"/>
          <w:numId w:val="0"/>
        </w:numPr>
        <w:kinsoku/>
        <w:wordWrap/>
        <w:overflowPunct/>
        <w:topLinePunct w:val="0"/>
        <w:autoSpaceDE/>
        <w:autoSpaceDN/>
        <w:bidi w:val="0"/>
        <w:spacing w:line="400" w:lineRule="exact"/>
        <w:textAlignment w:val="auto"/>
        <w:rPr>
          <w:rFonts w:hint="eastAsia" w:ascii="Times New Roman" w:hAnsi="Times New Roman" w:eastAsia="宋体" w:cs="Times New Roman"/>
          <w:b/>
          <w:bCs w:val="0"/>
          <w:color w:val="auto"/>
          <w:kern w:val="2"/>
          <w:sz w:val="28"/>
          <w:szCs w:val="28"/>
          <w:highlight w:val="none"/>
          <w:lang w:val="en-US" w:eastAsia="zh-CN" w:bidi="ar-SA"/>
        </w:rPr>
      </w:pPr>
      <w:r>
        <w:rPr>
          <w:rFonts w:hint="eastAsia" w:ascii="Times New Roman" w:hAnsi="Times New Roman" w:eastAsia="宋体" w:cs="Times New Roman"/>
          <w:b/>
          <w:color w:val="auto"/>
          <w:sz w:val="28"/>
          <w:szCs w:val="28"/>
          <w:highlight w:val="none"/>
          <w:lang w:val="en-US" w:eastAsia="zh-CN"/>
        </w:rPr>
        <w:t>五、</w:t>
      </w:r>
      <w:bookmarkEnd w:id="2"/>
      <w:bookmarkStart w:id="3" w:name="_Toc11675"/>
      <w:r>
        <w:rPr>
          <w:rFonts w:hint="eastAsia" w:ascii="Times New Roman" w:hAnsi="Times New Roman" w:eastAsia="宋体" w:cs="Times New Roman"/>
          <w:b/>
          <w:bCs w:val="0"/>
          <w:color w:val="auto"/>
          <w:kern w:val="2"/>
          <w:sz w:val="28"/>
          <w:szCs w:val="28"/>
          <w:highlight w:val="none"/>
          <w:lang w:val="en-US" w:eastAsia="zh-CN" w:bidi="ar-SA"/>
        </w:rPr>
        <w:t>违约责任</w:t>
      </w:r>
      <w:bookmarkEnd w:id="3"/>
    </w:p>
    <w:p w14:paraId="2EA9C341">
      <w:pPr>
        <w:widowControl/>
        <w:snapToGrid w:val="0"/>
        <w:spacing w:line="240" w:lineRule="exact"/>
        <w:rPr>
          <w:b/>
          <w:color w:val="auto"/>
          <w:kern w:val="0"/>
          <w:sz w:val="24"/>
          <w:highlight w:val="none"/>
        </w:rPr>
      </w:pPr>
    </w:p>
    <w:p w14:paraId="254AB012">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14:paraId="01CE5EEC">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14:paraId="32C8F507">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5.3卖方应妥善作好买方所提供的文件资料的保存、回收及保密工作，不得泄漏、传播与监造设备有关的技术秘密和商业秘密。造成损失由卖方承担。</w:t>
      </w:r>
    </w:p>
    <w:p w14:paraId="6B3F10A0">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5.4卖方与买方若存在纠纷，应友好协商解决，若存在诉讼，应在买方所在地提起诉讼或仲裁。</w:t>
      </w:r>
    </w:p>
    <w:p w14:paraId="01743618">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5.5卖方所提供的产品或服务应不涉及知识产权纠纷，若出现任何知识产权问题，由卖方承担全部责任。</w:t>
      </w:r>
    </w:p>
    <w:p w14:paraId="3A2FB65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5.6</w:t>
      </w:r>
      <w:r>
        <w:rPr>
          <w:rFonts w:hint="eastAsia" w:ascii="宋体" w:hAnsi="宋体" w:eastAsia="宋体" w:cs="宋体"/>
          <w:color w:val="auto"/>
          <w:sz w:val="28"/>
          <w:szCs w:val="28"/>
        </w:rPr>
        <w:t>合同货物质保期届满前，如发现卖方提供的货物有缺陷，不符合</w:t>
      </w:r>
      <w:r>
        <w:rPr>
          <w:rFonts w:hint="eastAsia" w:ascii="宋体" w:hAnsi="宋体" w:eastAsia="宋体" w:cs="宋体"/>
          <w:color w:val="auto"/>
          <w:sz w:val="28"/>
          <w:szCs w:val="28"/>
          <w:lang w:eastAsia="zh-CN"/>
        </w:rPr>
        <w:t>采购文件</w:t>
      </w:r>
      <w:r>
        <w:rPr>
          <w:rFonts w:hint="eastAsia" w:ascii="宋体" w:hAnsi="宋体" w:eastAsia="宋体" w:cs="宋体"/>
          <w:color w:val="auto"/>
          <w:sz w:val="28"/>
          <w:szCs w:val="28"/>
        </w:rPr>
        <w:t>约定时，卖方应根据买方的要求采取修理、更换、退货、削价、赔偿损失等补救措施。卖方承担任何一种或几种补救措施均不减轻卖方依据合同所应承担的违约责任。</w:t>
      </w:r>
    </w:p>
    <w:p w14:paraId="19E05436">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lang w:val="en-US" w:eastAsia="zh-CN"/>
        </w:rPr>
        <w:t>5.7</w:t>
      </w:r>
      <w:r>
        <w:rPr>
          <w:rFonts w:hint="eastAsia" w:ascii="宋体" w:hAnsi="宋体" w:eastAsia="宋体" w:cs="宋体"/>
          <w:color w:val="auto"/>
          <w:sz w:val="28"/>
          <w:szCs w:val="28"/>
        </w:rPr>
        <w:t>合同货物实际交付日期以符合合同要求的全部合同货物到达合同约定的交货地点为准。卖方违反合同约定迟延交货的，</w:t>
      </w:r>
      <w:r>
        <w:rPr>
          <w:rFonts w:hint="eastAsia" w:ascii="宋体" w:hAnsi="宋体" w:eastAsia="宋体" w:cs="宋体"/>
          <w:color w:val="auto"/>
          <w:sz w:val="28"/>
          <w:szCs w:val="28"/>
          <w:lang w:val="en-US" w:eastAsia="zh-CN"/>
        </w:rPr>
        <w:t>买方有权单方面解除合同</w:t>
      </w:r>
      <w:r>
        <w:rPr>
          <w:rFonts w:hint="eastAsia" w:ascii="宋体" w:hAnsi="宋体" w:eastAsia="宋体" w:cs="宋体"/>
          <w:color w:val="auto"/>
          <w:sz w:val="28"/>
          <w:szCs w:val="28"/>
          <w:highlight w:val="none"/>
          <w:lang w:val="en-US" w:eastAsia="zh-CN"/>
        </w:rPr>
        <w:t>且不承担相关责任。</w:t>
      </w:r>
    </w:p>
    <w:p w14:paraId="27EE854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lang w:val="en-US" w:eastAsia="zh-CN"/>
        </w:rPr>
        <w:t>5.8其他责任：</w:t>
      </w:r>
      <w:r>
        <w:rPr>
          <w:rFonts w:hint="eastAsia" w:ascii="宋体" w:hAnsi="宋体" w:cs="宋体"/>
          <w:color w:val="auto"/>
          <w:sz w:val="28"/>
          <w:szCs w:val="28"/>
          <w:highlight w:val="none"/>
          <w:u w:val="single"/>
          <w:lang w:val="en-US" w:eastAsia="zh-CN"/>
        </w:rPr>
        <w:t>无。</w:t>
      </w:r>
    </w:p>
    <w:p w14:paraId="2759BEE9">
      <w:pPr>
        <w:pStyle w:val="2"/>
        <w:rPr>
          <w:rFonts w:hint="eastAsia"/>
          <w:lang w:val="en-US" w:eastAsia="zh-CN"/>
        </w:rPr>
      </w:pPr>
    </w:p>
    <w:p w14:paraId="6B68F96E">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六、设备附图</w:t>
      </w:r>
      <w:r>
        <w:rPr>
          <w:rFonts w:hint="eastAsia" w:cs="Times New Roman"/>
          <w:b/>
          <w:color w:val="auto"/>
          <w:sz w:val="28"/>
          <w:szCs w:val="28"/>
          <w:highlight w:val="none"/>
          <w:lang w:val="en-US" w:eastAsia="zh-CN"/>
        </w:rPr>
        <w:t>及参数</w:t>
      </w:r>
      <w:r>
        <w:rPr>
          <w:rFonts w:hint="eastAsia" w:ascii="Times New Roman" w:hAnsi="Times New Roman" w:eastAsia="宋体" w:cs="Times New Roman"/>
          <w:b/>
          <w:color w:val="FF0000"/>
          <w:sz w:val="28"/>
          <w:szCs w:val="28"/>
          <w:highlight w:val="none"/>
          <w:lang w:val="en-US" w:eastAsia="zh-CN"/>
        </w:rPr>
        <w:t>（有设备的，例如设备修理需附图，分整体和局部，需写明所需服务内容，尽量细致）</w:t>
      </w: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1075"/>
        <w:gridCol w:w="3735"/>
        <w:gridCol w:w="2732"/>
      </w:tblGrid>
      <w:tr w14:paraId="2200A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0" w:type="dxa"/>
            <w:noWrap w:val="0"/>
            <w:vAlign w:val="center"/>
          </w:tcPr>
          <w:p w14:paraId="6C38F57C">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987" w:type="dxa"/>
            <w:noWrap w:val="0"/>
            <w:vAlign w:val="center"/>
          </w:tcPr>
          <w:p w14:paraId="2629698B">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子项</w:t>
            </w:r>
            <w:r>
              <w:rPr>
                <w:rFonts w:hint="default" w:ascii="宋体" w:hAnsi="宋体" w:eastAsia="宋体"/>
                <w:b/>
                <w:color w:val="auto"/>
                <w:kern w:val="0"/>
                <w:sz w:val="18"/>
                <w:szCs w:val="21"/>
                <w:highlight w:val="none"/>
              </w:rPr>
              <w:t>名称</w:t>
            </w:r>
          </w:p>
        </w:tc>
        <w:tc>
          <w:tcPr>
            <w:tcW w:w="1075" w:type="dxa"/>
            <w:noWrap w:val="0"/>
            <w:vAlign w:val="center"/>
          </w:tcPr>
          <w:p w14:paraId="2CBDA036">
            <w:pPr>
              <w:adjustRightInd w:val="0"/>
              <w:snapToGrid w:val="0"/>
              <w:spacing w:beforeLines="0" w:afterLines="0" w:line="360" w:lineRule="auto"/>
              <w:jc w:val="center"/>
              <w:rPr>
                <w:rFonts w:hint="default" w:ascii="宋体" w:hAnsi="宋体" w:eastAsia="宋体" w:cs="宋体"/>
                <w:b/>
                <w:bCs/>
                <w:color w:val="auto"/>
                <w:kern w:val="0"/>
                <w:sz w:val="18"/>
                <w:szCs w:val="20"/>
                <w:highlight w:val="none"/>
                <w:lang w:val="en-US" w:eastAsia="zh-CN"/>
              </w:rPr>
            </w:pPr>
            <w:r>
              <w:rPr>
                <w:rFonts w:hint="eastAsia" w:ascii="宋体" w:hAnsi="宋体" w:eastAsia="宋体"/>
                <w:b/>
                <w:color w:val="auto"/>
                <w:kern w:val="0"/>
                <w:sz w:val="18"/>
                <w:szCs w:val="21"/>
                <w:highlight w:val="none"/>
                <w:lang w:eastAsia="zh-CN"/>
              </w:rPr>
              <w:t>型号</w:t>
            </w:r>
            <w:r>
              <w:rPr>
                <w:rFonts w:hint="eastAsia" w:ascii="宋体" w:hAnsi="宋体"/>
                <w:b/>
                <w:color w:val="auto"/>
                <w:kern w:val="0"/>
                <w:sz w:val="18"/>
                <w:szCs w:val="21"/>
                <w:highlight w:val="none"/>
                <w:lang w:val="en-US" w:eastAsia="zh-CN"/>
              </w:rPr>
              <w:t>及参数</w:t>
            </w:r>
          </w:p>
        </w:tc>
        <w:tc>
          <w:tcPr>
            <w:tcW w:w="3735" w:type="dxa"/>
            <w:noWrap w:val="0"/>
            <w:vAlign w:val="center"/>
          </w:tcPr>
          <w:p w14:paraId="51D2060C">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b/>
                <w:color w:val="auto"/>
                <w:kern w:val="0"/>
                <w:sz w:val="18"/>
                <w:szCs w:val="21"/>
                <w:highlight w:val="none"/>
                <w:lang w:val="en-US" w:eastAsia="zh-CN"/>
              </w:rPr>
              <w:t>附图</w:t>
            </w:r>
          </w:p>
        </w:tc>
        <w:tc>
          <w:tcPr>
            <w:tcW w:w="2732" w:type="dxa"/>
            <w:noWrap w:val="0"/>
            <w:vAlign w:val="center"/>
          </w:tcPr>
          <w:p w14:paraId="67F1664C">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14:paraId="1C4D3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14:paraId="65E7C5F4">
            <w:pPr>
              <w:adjustRightInd w:val="0"/>
              <w:snapToGrid w:val="0"/>
              <w:spacing w:beforeLines="0" w:afterLines="0" w:line="360" w:lineRule="auto"/>
              <w:jc w:val="center"/>
              <w:rPr>
                <w:rFonts w:hint="eastAsia" w:ascii="宋体" w:hAnsi="宋体" w:cs="宋体"/>
                <w:b/>
                <w:bCs/>
                <w:color w:val="auto"/>
                <w:kern w:val="0"/>
                <w:sz w:val="18"/>
                <w:szCs w:val="20"/>
                <w:highlight w:val="none"/>
              </w:rPr>
            </w:pPr>
            <w:r>
              <w:rPr>
                <w:rFonts w:hint="default" w:ascii="宋体" w:hAnsi="宋体" w:eastAsia="宋体"/>
                <w:color w:val="auto"/>
                <w:kern w:val="0"/>
                <w:sz w:val="18"/>
                <w:szCs w:val="21"/>
                <w:highlight w:val="none"/>
              </w:rPr>
              <w:t>1</w:t>
            </w:r>
          </w:p>
        </w:tc>
        <w:tc>
          <w:tcPr>
            <w:tcW w:w="1987" w:type="dxa"/>
            <w:noWrap w:val="0"/>
            <w:vAlign w:val="center"/>
          </w:tcPr>
          <w:p w14:paraId="5ACB654C">
            <w:pPr>
              <w:keepNext w:val="0"/>
              <w:keepLines w:val="0"/>
              <w:widowControl/>
              <w:suppressLineNumbers w:val="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b w:val="0"/>
                <w:bCs w:val="0"/>
                <w:color w:val="auto"/>
                <w:kern w:val="0"/>
                <w:sz w:val="18"/>
                <w:szCs w:val="18"/>
                <w:highlight w:val="none"/>
                <w:lang w:val="en-US" w:eastAsia="zh-CN"/>
              </w:rPr>
              <w:t>光电转换器</w:t>
            </w:r>
          </w:p>
        </w:tc>
        <w:tc>
          <w:tcPr>
            <w:tcW w:w="1075" w:type="dxa"/>
            <w:noWrap w:val="0"/>
            <w:vAlign w:val="center"/>
          </w:tcPr>
          <w:p w14:paraId="260E8C7F">
            <w:pPr>
              <w:adjustRightInd w:val="0"/>
              <w:snapToGrid w:val="0"/>
              <w:spacing w:beforeLines="0" w:afterLines="0" w:line="360" w:lineRule="auto"/>
              <w:jc w:val="center"/>
              <w:rPr>
                <w:rFonts w:hint="default" w:ascii="宋体" w:hAnsi="宋体" w:eastAsia="宋体" w:cs="宋体"/>
                <w:b/>
                <w:i w:val="0"/>
                <w:color w:val="auto"/>
                <w:kern w:val="0"/>
                <w:sz w:val="18"/>
                <w:szCs w:val="18"/>
                <w:highlight w:val="none"/>
                <w:u w:val="none"/>
                <w:lang w:val="en-US" w:eastAsia="zh-CN" w:bidi="ar"/>
              </w:rPr>
            </w:pPr>
            <w:r>
              <w:rPr>
                <w:rFonts w:hint="default" w:ascii="宋体" w:hAnsi="宋体" w:eastAsia="宋体" w:cs="宋体"/>
                <w:b/>
                <w:i w:val="0"/>
                <w:color w:val="auto"/>
                <w:kern w:val="0"/>
                <w:sz w:val="18"/>
                <w:szCs w:val="18"/>
                <w:highlight w:val="none"/>
                <w:u w:val="none"/>
                <w:lang w:val="en-US" w:eastAsia="zh-CN" w:bidi="ar"/>
              </w:rPr>
              <w:t>要求网口数量不少于6个，供电电源为直流220V，光纤口为ST收发双口</w:t>
            </w:r>
          </w:p>
        </w:tc>
        <w:tc>
          <w:tcPr>
            <w:tcW w:w="3735" w:type="dxa"/>
            <w:noWrap w:val="0"/>
            <w:vAlign w:val="center"/>
          </w:tcPr>
          <w:p w14:paraId="2FC37D09">
            <w:pPr>
              <w:keepNext w:val="0"/>
              <w:keepLines w:val="0"/>
              <w:widowControl/>
              <w:suppressLineNumbers w:val="0"/>
              <w:jc w:val="center"/>
              <w:textAlignment w:val="center"/>
              <w:rPr>
                <w:rFonts w:hint="eastAsia" w:ascii="宋体" w:hAnsi="宋体" w:eastAsia="宋体" w:cs="宋体"/>
                <w:color w:val="auto"/>
                <w:kern w:val="2"/>
                <w:sz w:val="18"/>
                <w:szCs w:val="18"/>
                <w:highlight w:val="none"/>
                <w:lang w:val="en-US" w:eastAsia="zh-CN" w:bidi="ar-SA"/>
              </w:rPr>
            </w:pPr>
          </w:p>
        </w:tc>
        <w:tc>
          <w:tcPr>
            <w:tcW w:w="2732" w:type="dxa"/>
            <w:noWrap w:val="0"/>
            <w:vAlign w:val="center"/>
          </w:tcPr>
          <w:p w14:paraId="4F9B3BEE">
            <w:pPr>
              <w:adjustRightInd w:val="0"/>
              <w:snapToGrid w:val="0"/>
              <w:spacing w:line="360" w:lineRule="auto"/>
              <w:jc w:val="both"/>
              <w:rPr>
                <w:rFonts w:hint="eastAsia" w:ascii="宋体" w:hAnsi="宋体" w:eastAsia="宋体" w:cs="宋体"/>
                <w:b w:val="0"/>
                <w:bCs w:val="0"/>
                <w:color w:val="FF0000"/>
                <w:kern w:val="0"/>
                <w:sz w:val="18"/>
                <w:szCs w:val="18"/>
                <w:highlight w:val="none"/>
                <w:lang w:val="en-US" w:eastAsia="zh-CN" w:bidi="ar-SA"/>
              </w:rPr>
            </w:pPr>
          </w:p>
        </w:tc>
      </w:tr>
      <w:tr w14:paraId="6607C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14:paraId="543C5E2F">
            <w:pPr>
              <w:adjustRightInd w:val="0"/>
              <w:snapToGrid w:val="0"/>
              <w:spacing w:beforeLines="0" w:afterLines="0" w:line="360" w:lineRule="auto"/>
              <w:jc w:val="center"/>
              <w:rPr>
                <w:rFonts w:hint="default" w:ascii="宋体" w:hAnsi="宋体" w:eastAsia="宋体"/>
                <w:color w:val="auto"/>
                <w:kern w:val="0"/>
                <w:sz w:val="18"/>
                <w:szCs w:val="21"/>
                <w:highlight w:val="none"/>
              </w:rPr>
            </w:pPr>
          </w:p>
        </w:tc>
        <w:tc>
          <w:tcPr>
            <w:tcW w:w="1987" w:type="dxa"/>
            <w:noWrap w:val="0"/>
            <w:vAlign w:val="center"/>
          </w:tcPr>
          <w:p w14:paraId="5D827D88">
            <w:pPr>
              <w:keepNext w:val="0"/>
              <w:keepLines w:val="0"/>
              <w:widowControl/>
              <w:suppressLineNumbers w:val="0"/>
              <w:jc w:val="center"/>
              <w:textAlignment w:val="center"/>
              <w:rPr>
                <w:rFonts w:hint="eastAsia" w:ascii="宋体" w:hAnsi="宋体" w:eastAsia="宋体" w:cs="宋体"/>
                <w:b w:val="0"/>
                <w:bCs w:val="0"/>
                <w:color w:val="auto"/>
                <w:kern w:val="0"/>
                <w:sz w:val="18"/>
                <w:szCs w:val="18"/>
                <w:highlight w:val="none"/>
                <w:lang w:val="en-US" w:eastAsia="zh-CN"/>
              </w:rPr>
            </w:pPr>
          </w:p>
        </w:tc>
        <w:tc>
          <w:tcPr>
            <w:tcW w:w="1075" w:type="dxa"/>
            <w:noWrap w:val="0"/>
            <w:vAlign w:val="center"/>
          </w:tcPr>
          <w:p w14:paraId="0B4C4CB0">
            <w:pPr>
              <w:adjustRightInd w:val="0"/>
              <w:snapToGrid w:val="0"/>
              <w:spacing w:beforeLines="0" w:afterLines="0" w:line="360" w:lineRule="auto"/>
              <w:jc w:val="center"/>
              <w:rPr>
                <w:rFonts w:hint="eastAsia" w:ascii="宋体" w:hAnsi="宋体" w:eastAsia="宋体" w:cs="宋体"/>
                <w:b w:val="0"/>
                <w:bCs w:val="0"/>
                <w:color w:val="auto"/>
                <w:kern w:val="0"/>
                <w:sz w:val="18"/>
                <w:szCs w:val="18"/>
                <w:highlight w:val="none"/>
                <w:u w:val="single"/>
                <w:lang w:val="en-US" w:eastAsia="zh-CN"/>
              </w:rPr>
            </w:pPr>
          </w:p>
        </w:tc>
        <w:tc>
          <w:tcPr>
            <w:tcW w:w="3735" w:type="dxa"/>
            <w:noWrap w:val="0"/>
            <w:vAlign w:val="center"/>
          </w:tcPr>
          <w:p w14:paraId="6DB65155">
            <w:pPr>
              <w:keepNext w:val="0"/>
              <w:keepLines w:val="0"/>
              <w:widowControl/>
              <w:suppressLineNumbers w:val="0"/>
              <w:jc w:val="center"/>
              <w:textAlignment w:val="center"/>
              <w:rPr>
                <w:rFonts w:hint="eastAsia" w:ascii="宋体" w:hAnsi="宋体" w:eastAsia="宋体" w:cs="宋体"/>
                <w:color w:val="auto"/>
                <w:kern w:val="2"/>
                <w:sz w:val="18"/>
                <w:szCs w:val="18"/>
                <w:highlight w:val="none"/>
                <w:lang w:val="en-US" w:eastAsia="zh-CN" w:bidi="ar-SA"/>
              </w:rPr>
            </w:pPr>
          </w:p>
        </w:tc>
        <w:tc>
          <w:tcPr>
            <w:tcW w:w="2732" w:type="dxa"/>
            <w:noWrap w:val="0"/>
            <w:vAlign w:val="center"/>
          </w:tcPr>
          <w:p w14:paraId="70192CB7">
            <w:pPr>
              <w:adjustRightInd w:val="0"/>
              <w:snapToGrid w:val="0"/>
              <w:spacing w:line="360" w:lineRule="auto"/>
              <w:jc w:val="both"/>
              <w:rPr>
                <w:rFonts w:hint="eastAsia" w:ascii="宋体" w:hAnsi="宋体" w:eastAsia="宋体" w:cs="宋体"/>
                <w:b w:val="0"/>
                <w:bCs w:val="0"/>
                <w:color w:val="FF0000"/>
                <w:kern w:val="0"/>
                <w:sz w:val="18"/>
                <w:szCs w:val="18"/>
                <w:highlight w:val="none"/>
                <w:lang w:val="en-US" w:eastAsia="zh-CN"/>
              </w:rPr>
            </w:pPr>
          </w:p>
        </w:tc>
      </w:tr>
    </w:tbl>
    <w:p w14:paraId="7D151E30">
      <w:pPr>
        <w:rPr>
          <w:rFonts w:hint="eastAsia"/>
          <w:color w:val="auto"/>
          <w:lang w:val="en-US" w:eastAsia="zh-CN"/>
        </w:rPr>
      </w:pPr>
    </w:p>
    <w:p w14:paraId="708B841A">
      <w:pPr>
        <w:pStyle w:val="2"/>
        <w:rPr>
          <w:rFonts w:hint="eastAsia"/>
          <w:color w:val="auto"/>
          <w:lang w:val="en-US" w:eastAsia="zh-CN"/>
        </w:rPr>
      </w:pPr>
    </w:p>
    <w:p w14:paraId="2CE38F07">
      <w:pPr>
        <w:pStyle w:val="2"/>
        <w:rPr>
          <w:rFonts w:hint="eastAsia"/>
          <w:color w:val="auto"/>
          <w:lang w:val="en-US" w:eastAsia="zh-CN"/>
        </w:rPr>
      </w:pPr>
    </w:p>
    <w:p w14:paraId="384570BE">
      <w:pPr>
        <w:pStyle w:val="3"/>
        <w:rPr>
          <w:rFonts w:hint="eastAsia"/>
          <w:color w:val="auto"/>
          <w:lang w:val="en-US" w:eastAsia="zh-CN"/>
        </w:rPr>
      </w:pPr>
    </w:p>
    <w:p w14:paraId="6A892C39">
      <w:pPr>
        <w:rPr>
          <w:rFonts w:hint="eastAsia"/>
          <w:color w:val="auto"/>
          <w:lang w:val="en-US" w:eastAsia="zh-CN"/>
        </w:rPr>
      </w:pPr>
    </w:p>
    <w:p w14:paraId="37BCCB3B">
      <w:pPr>
        <w:pStyle w:val="2"/>
        <w:rPr>
          <w:rFonts w:hint="eastAsia"/>
          <w:color w:val="auto"/>
          <w:lang w:val="en-US" w:eastAsia="zh-CN"/>
        </w:rPr>
      </w:pPr>
    </w:p>
    <w:p w14:paraId="442946E8">
      <w:pPr>
        <w:pStyle w:val="3"/>
        <w:rPr>
          <w:rFonts w:hint="eastAsia"/>
          <w:color w:val="auto"/>
          <w:lang w:val="en-US" w:eastAsia="zh-CN"/>
        </w:rPr>
      </w:pPr>
    </w:p>
    <w:p w14:paraId="03F13389">
      <w:pPr>
        <w:rPr>
          <w:rFonts w:hint="eastAsia"/>
          <w:color w:val="auto"/>
          <w:lang w:val="en-US" w:eastAsia="zh-CN"/>
        </w:rPr>
      </w:pPr>
    </w:p>
    <w:p w14:paraId="6C4DBC9E">
      <w:pPr>
        <w:pStyle w:val="3"/>
        <w:rPr>
          <w:rFonts w:hint="eastAsia"/>
          <w:lang w:val="en-US" w:eastAsia="zh-CN"/>
        </w:rPr>
      </w:pPr>
    </w:p>
    <w:p w14:paraId="2F27F02C"/>
    <w:sectPr>
      <w:headerReference r:id="rId4" w:type="default"/>
      <w:footerReference r:id="rId5"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楷体_GB2312"/>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8A39D">
    <w:pPr>
      <w:pStyle w:val="5"/>
      <w:jc w:val="center"/>
    </w:pPr>
    <w:r>
      <w:rPr>
        <w:rFonts w:hint="eastAsia"/>
        <w:lang w:eastAsia="zh-CN"/>
      </w:rPr>
      <w:t>第</w:t>
    </w: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5</w:t>
    </w:r>
    <w:r>
      <w:rPr>
        <w:b/>
        <w:bCs/>
        <w:sz w:val="24"/>
        <w:szCs w:val="24"/>
      </w:rPr>
      <w:fldChar w:fldCharType="end"/>
    </w:r>
    <w:r>
      <w:rPr>
        <w:rFonts w:hint="eastAsia"/>
        <w:lang w:val="zh-CN" w:eastAsia="zh-CN"/>
      </w:rPr>
      <w:t>页</w:t>
    </w:r>
    <w:r>
      <w:rPr>
        <w:lang w:val="zh-CN" w:eastAsia="zh-CN"/>
      </w:rPr>
      <w:t xml:space="preserve"> /</w:t>
    </w:r>
    <w:r>
      <w:rPr>
        <w:rFonts w:hint="eastAsia"/>
        <w:lang w:val="zh-CN" w:eastAsia="zh-CN"/>
      </w:rPr>
      <w:t>共</w:t>
    </w:r>
    <w:r>
      <w:rPr>
        <w:b/>
        <w:bCs/>
        <w:sz w:val="24"/>
        <w:szCs w:val="24"/>
      </w:rPr>
      <w:fldChar w:fldCharType="begin"/>
    </w:r>
    <w:r>
      <w:rPr>
        <w:b/>
        <w:bCs/>
      </w:rPr>
      <w:instrText xml:space="preserve">NUMPAGES</w:instrText>
    </w:r>
    <w:r>
      <w:rPr>
        <w:b/>
        <w:bCs/>
        <w:sz w:val="24"/>
        <w:szCs w:val="24"/>
      </w:rPr>
      <w:fldChar w:fldCharType="separate"/>
    </w:r>
    <w:r>
      <w:rPr>
        <w:b/>
        <w:bCs/>
      </w:rPr>
      <w:t>15</w:t>
    </w:r>
    <w:r>
      <w:rPr>
        <w:b/>
        <w:bCs/>
        <w:sz w:val="24"/>
        <w:szCs w:val="24"/>
      </w:rPr>
      <w:fldChar w:fldCharType="end"/>
    </w:r>
    <w:r>
      <w:rPr>
        <w:rFonts w:hint="eastAsia"/>
        <w:lang w:val="zh-CN" w:eastAsia="zh-CN"/>
      </w:rPr>
      <w:t>页</w:t>
    </w:r>
  </w:p>
  <w:p w14:paraId="4603DB3A">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9CB5B">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47807E1">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747807E1">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14:paraId="03DECC79">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EvXZXN4BAACyAwAADgAA&#10;AAAAAAABACAAAAAiAQAAZHJzL2Uyb0RvYy54bWxQSwUGAAAAAAYABgBZAQAAcgUAAAAA&#10;">
              <v:fill on="f" focussize="0,0"/>
              <v:stroke on="f"/>
              <v:imagedata o:title=""/>
              <o:lock v:ext="edit" aspectratio="f"/>
              <v:textbox inset="0mm,0mm,0mm,0mm" style="mso-fit-shape-to-text:t;">
                <w:txbxContent>
                  <w:p w14:paraId="03DECC79">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3F127">
    <w:pPr>
      <w:pStyle w:val="6"/>
      <w:pBdr>
        <w:bottom w:val="none" w:color="auto" w:sz="0" w:space="0"/>
      </w:pBdr>
    </w:pPr>
  </w:p>
  <w:p w14:paraId="04A7ABE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5306C8"/>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DA3B58"/>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08511A"/>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C711D"/>
    <w:rsid w:val="0B7F40B4"/>
    <w:rsid w:val="0B8348EE"/>
    <w:rsid w:val="0BB909EB"/>
    <w:rsid w:val="0BC87409"/>
    <w:rsid w:val="0BD0477F"/>
    <w:rsid w:val="0BD33980"/>
    <w:rsid w:val="0BD62A7D"/>
    <w:rsid w:val="0BE57AEE"/>
    <w:rsid w:val="0C23558B"/>
    <w:rsid w:val="0C40504F"/>
    <w:rsid w:val="0C5B4095"/>
    <w:rsid w:val="0C6A35C6"/>
    <w:rsid w:val="0C7B6761"/>
    <w:rsid w:val="0C9E47DF"/>
    <w:rsid w:val="0CA92493"/>
    <w:rsid w:val="0CB414E2"/>
    <w:rsid w:val="0CBA1D90"/>
    <w:rsid w:val="0CBC3C74"/>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20479"/>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094621"/>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2B7516"/>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DF4D82"/>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00ABE"/>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B27C52"/>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55E6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29773C"/>
    <w:rsid w:val="2B3A41B6"/>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839AE"/>
    <w:rsid w:val="36A711F2"/>
    <w:rsid w:val="36B12354"/>
    <w:rsid w:val="36B83FD2"/>
    <w:rsid w:val="36C15E10"/>
    <w:rsid w:val="36CF11F2"/>
    <w:rsid w:val="36DB4E18"/>
    <w:rsid w:val="36EA7E1E"/>
    <w:rsid w:val="36FE1B1E"/>
    <w:rsid w:val="370E14A3"/>
    <w:rsid w:val="37172BEB"/>
    <w:rsid w:val="37274929"/>
    <w:rsid w:val="373905EC"/>
    <w:rsid w:val="37480099"/>
    <w:rsid w:val="375706D4"/>
    <w:rsid w:val="37627D3D"/>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7D29"/>
    <w:rsid w:val="3B8E5E13"/>
    <w:rsid w:val="3BA13CE3"/>
    <w:rsid w:val="3BA76A1B"/>
    <w:rsid w:val="3BA94B25"/>
    <w:rsid w:val="3BB1015F"/>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07"/>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BD0C14"/>
    <w:rsid w:val="41CA5C68"/>
    <w:rsid w:val="41DA2351"/>
    <w:rsid w:val="41DB145C"/>
    <w:rsid w:val="41F71EDB"/>
    <w:rsid w:val="41FD491F"/>
    <w:rsid w:val="42012231"/>
    <w:rsid w:val="420153BA"/>
    <w:rsid w:val="42463CF2"/>
    <w:rsid w:val="424E7592"/>
    <w:rsid w:val="42745D96"/>
    <w:rsid w:val="42812AB4"/>
    <w:rsid w:val="42A47BF0"/>
    <w:rsid w:val="42A70B14"/>
    <w:rsid w:val="42B14241"/>
    <w:rsid w:val="42C51575"/>
    <w:rsid w:val="4307269F"/>
    <w:rsid w:val="43253A48"/>
    <w:rsid w:val="432B47C2"/>
    <w:rsid w:val="432C1F9E"/>
    <w:rsid w:val="434945A5"/>
    <w:rsid w:val="436D627C"/>
    <w:rsid w:val="437F587F"/>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295484"/>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5B22DB"/>
    <w:rsid w:val="4F617C13"/>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56E20"/>
    <w:rsid w:val="536A4B68"/>
    <w:rsid w:val="536C5FE3"/>
    <w:rsid w:val="537D5A7D"/>
    <w:rsid w:val="53807BD9"/>
    <w:rsid w:val="53820F43"/>
    <w:rsid w:val="53896DD9"/>
    <w:rsid w:val="539A2B8B"/>
    <w:rsid w:val="53F11A8D"/>
    <w:rsid w:val="53F8401A"/>
    <w:rsid w:val="54006754"/>
    <w:rsid w:val="540B3869"/>
    <w:rsid w:val="54147CEB"/>
    <w:rsid w:val="542441BC"/>
    <w:rsid w:val="542C110E"/>
    <w:rsid w:val="543B3CC9"/>
    <w:rsid w:val="543E164A"/>
    <w:rsid w:val="54492AD9"/>
    <w:rsid w:val="54586003"/>
    <w:rsid w:val="545D0932"/>
    <w:rsid w:val="545F1B52"/>
    <w:rsid w:val="5468342F"/>
    <w:rsid w:val="549439E0"/>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57CE0"/>
    <w:rsid w:val="56D03E60"/>
    <w:rsid w:val="56DF4C9C"/>
    <w:rsid w:val="56EF724A"/>
    <w:rsid w:val="56F624D0"/>
    <w:rsid w:val="572E17D9"/>
    <w:rsid w:val="573B6221"/>
    <w:rsid w:val="574526C2"/>
    <w:rsid w:val="574F4D30"/>
    <w:rsid w:val="576E4B41"/>
    <w:rsid w:val="57703552"/>
    <w:rsid w:val="577210B5"/>
    <w:rsid w:val="5774636B"/>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B727D2"/>
    <w:rsid w:val="59B7353F"/>
    <w:rsid w:val="59CA4011"/>
    <w:rsid w:val="59D72AF2"/>
    <w:rsid w:val="59E76C44"/>
    <w:rsid w:val="59F034A6"/>
    <w:rsid w:val="59F43016"/>
    <w:rsid w:val="5A1E7B0E"/>
    <w:rsid w:val="5A3547C6"/>
    <w:rsid w:val="5A4F32DC"/>
    <w:rsid w:val="5A5D1513"/>
    <w:rsid w:val="5A62495D"/>
    <w:rsid w:val="5A672916"/>
    <w:rsid w:val="5A7A2908"/>
    <w:rsid w:val="5A7F7766"/>
    <w:rsid w:val="5A9F4957"/>
    <w:rsid w:val="5AC667C1"/>
    <w:rsid w:val="5AE07A51"/>
    <w:rsid w:val="5AEA5BB9"/>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607728"/>
    <w:rsid w:val="5D65761F"/>
    <w:rsid w:val="5D7622A6"/>
    <w:rsid w:val="5D9616AB"/>
    <w:rsid w:val="5DB46EAB"/>
    <w:rsid w:val="5DBC3BD6"/>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DE327C"/>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DB149A"/>
    <w:rsid w:val="67E45C01"/>
    <w:rsid w:val="67E9310A"/>
    <w:rsid w:val="67F24AE2"/>
    <w:rsid w:val="680841F7"/>
    <w:rsid w:val="68216248"/>
    <w:rsid w:val="6832491F"/>
    <w:rsid w:val="686A5143"/>
    <w:rsid w:val="68795A22"/>
    <w:rsid w:val="687B737E"/>
    <w:rsid w:val="68865177"/>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C63A92"/>
    <w:rsid w:val="6BDC1E93"/>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FB6D13"/>
    <w:rsid w:val="6EFD5BBE"/>
    <w:rsid w:val="6F1B486A"/>
    <w:rsid w:val="6F211D2D"/>
    <w:rsid w:val="6F281BA4"/>
    <w:rsid w:val="6F327323"/>
    <w:rsid w:val="6F333990"/>
    <w:rsid w:val="6F4540F7"/>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3E131A"/>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7095357"/>
    <w:rsid w:val="771529E6"/>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6E4089"/>
    <w:rsid w:val="7A760982"/>
    <w:rsid w:val="7A7A0FB7"/>
    <w:rsid w:val="7A9202CE"/>
    <w:rsid w:val="7A9579F8"/>
    <w:rsid w:val="7AA30AEA"/>
    <w:rsid w:val="7AB92960"/>
    <w:rsid w:val="7AC4522C"/>
    <w:rsid w:val="7AD77726"/>
    <w:rsid w:val="7ADC38AB"/>
    <w:rsid w:val="7AE860BA"/>
    <w:rsid w:val="7AFD3C43"/>
    <w:rsid w:val="7B112691"/>
    <w:rsid w:val="7B192531"/>
    <w:rsid w:val="7B5D7B42"/>
    <w:rsid w:val="7B9B1BC8"/>
    <w:rsid w:val="7B9B3CBB"/>
    <w:rsid w:val="7BDC0132"/>
    <w:rsid w:val="7BE02A78"/>
    <w:rsid w:val="7BE76085"/>
    <w:rsid w:val="7BEE1F1B"/>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line="360" w:lineRule="auto"/>
      <w:outlineLvl w:val="0"/>
    </w:pPr>
    <w:rPr>
      <w:b/>
      <w:bCs/>
      <w:kern w:val="44"/>
      <w:sz w:val="32"/>
      <w:szCs w:val="44"/>
    </w:rPr>
  </w:style>
  <w:style w:type="character" w:default="1" w:styleId="9">
    <w:name w:val="Default Paragraph Font"/>
    <w:semiHidden/>
    <w:qFormat/>
    <w:uiPriority w:val="0"/>
  </w:style>
  <w:style w:type="table" w:default="1" w:styleId="7">
    <w:name w:val="Normal Table"/>
    <w:semiHidden/>
    <w:qFormat/>
    <w:uiPriority w:val="0"/>
    <w:tblPr>
      <w:tblStyle w:val="7"/>
      <w:tblCellMar>
        <w:top w:w="0" w:type="dxa"/>
        <w:left w:w="108" w:type="dxa"/>
        <w:bottom w:w="0" w:type="dxa"/>
        <w:right w:w="108" w:type="dxa"/>
      </w:tblCellMar>
    </w:tblPr>
  </w:style>
  <w:style w:type="paragraph" w:styleId="2">
    <w:name w:val="Body Text"/>
    <w:basedOn w:val="3"/>
    <w:next w:val="3"/>
    <w:unhideWhenUsed/>
    <w:uiPriority w:val="99"/>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Style w:val="7"/>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186</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kmj_liunuozhou</cp:lastModifiedBy>
  <dcterms:modified xsi:type="dcterms:W3CDTF">2026-06-15T06:21:11Z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E0C6A78696DA490D810015389DC21FA4_13</vt:lpwstr>
  </property>
</Properties>
</file>