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620"/>
        </w:tabs>
        <w:bidi w:val="0"/>
        <w:ind w:left="0" w:leftChars="0" w:firstLine="0" w:firstLineChars="0"/>
        <w:jc w:val="left"/>
        <w:rPr>
          <w:rFonts w:hint="eastAsia"/>
          <w:lang w:val="en-US" w:eastAsia="zh-CN"/>
        </w:rPr>
        <w:sectPr>
          <w:footerReference r:id="rId5" w:type="default"/>
          <w:pgSz w:w="11900" w:h="16840"/>
          <w:pgMar w:top="1134" w:right="1526" w:bottom="1134" w:left="1134" w:header="0" w:footer="465" w:gutter="0"/>
          <w:pgNumType w:start="1"/>
          <w:cols w:space="720" w:num="1"/>
        </w:sectPr>
      </w:pPr>
      <w:bookmarkStart w:id="0" w:name="_bookmark0"/>
      <w:bookmarkEnd w:id="0"/>
      <w:r>
        <w:rPr>
          <w:rFonts w:hint="eastAsia" w:cs="宋体"/>
          <w:sz w:val="22"/>
          <w:szCs w:val="22"/>
        </w:rPr>
        <mc:AlternateContent>
          <mc:Choice Requires="wps">
            <w:drawing>
              <wp:anchor distT="45720" distB="45720" distL="114300" distR="114300" simplePos="0" relativeHeight="251660288" behindDoc="0" locked="0" layoutInCell="1" allowOverlap="1">
                <wp:simplePos x="0" y="0"/>
                <wp:positionH relativeFrom="column">
                  <wp:posOffset>314325</wp:posOffset>
                </wp:positionH>
                <wp:positionV relativeFrom="paragraph">
                  <wp:posOffset>3888105</wp:posOffset>
                </wp:positionV>
                <wp:extent cx="5488305" cy="1064895"/>
                <wp:effectExtent l="0" t="0" r="0" b="1905"/>
                <wp:wrapSquare wrapText="bothSides"/>
                <wp:docPr id="1190354324" name="矩形 5"/>
                <wp:cNvGraphicFramePr/>
                <a:graphic xmlns:a="http://schemas.openxmlformats.org/drawingml/2006/main">
                  <a:graphicData uri="http://schemas.microsoft.com/office/word/2010/wordprocessingShape">
                    <wps:wsp>
                      <wps:cNvSpPr/>
                      <wps:spPr bwMode="auto">
                        <a:xfrm>
                          <a:off x="0" y="0"/>
                          <a:ext cx="5488305" cy="1064895"/>
                        </a:xfrm>
                        <a:prstGeom prst="rect">
                          <a:avLst/>
                        </a:prstGeom>
                        <a:noFill/>
                        <a:ln>
                          <a:noFill/>
                        </a:ln>
                      </wps:spPr>
                      <wps:txbx>
                        <w:txbxContent>
                          <w:p>
                            <w:pPr>
                              <w:spacing w:line="0" w:lineRule="atLeast"/>
                              <w:ind w:left="0" w:leftChars="0" w:firstLine="0" w:firstLineChars="0"/>
                              <w:jc w:val="center"/>
                              <w:rPr>
                                <w:rFonts w:hint="eastAsia" w:ascii="思源黑体 HW Bold" w:hAnsi="思源黑体 HW Bold" w:eastAsia="思源黑体 HW Bold"/>
                                <w:b/>
                                <w:bCs/>
                                <w:color w:val="003A74"/>
                                <w:sz w:val="96"/>
                                <w:szCs w:val="144"/>
                              </w:rPr>
                            </w:pPr>
                            <w:r>
                              <w:rPr>
                                <w:rFonts w:hint="eastAsia" w:ascii="思源黑体 HW Bold" w:hAnsi="思源黑体 HW Bold" w:eastAsia="思源黑体 HW Bold"/>
                                <w:b/>
                                <w:bCs/>
                                <w:color w:val="003A74"/>
                                <w:sz w:val="96"/>
                                <w:szCs w:val="144"/>
                              </w:rPr>
                              <w:t>技术规范书</w:t>
                            </w:r>
                          </w:p>
                        </w:txbxContent>
                      </wps:txbx>
                      <wps:bodyPr rot="0" spcFirstLastPara="0" vertOverflow="overflow" horzOverflow="overflow" vert="horz" wrap="square" lIns="91440" tIns="45720" rIns="91440" bIns="45720" numCol="1" anchor="t">
                        <a:noAutofit/>
                      </wps:bodyPr>
                    </wps:wsp>
                  </a:graphicData>
                </a:graphic>
              </wp:anchor>
            </w:drawing>
          </mc:Choice>
          <mc:Fallback>
            <w:pict>
              <v:rect id="矩形 5" o:spid="_x0000_s1026" o:spt="1" style="position:absolute;left:0pt;margin-left:24.75pt;margin-top:306.15pt;height:83.85pt;width:432.15pt;mso-wrap-distance-bottom:3.6pt;mso-wrap-distance-left:9pt;mso-wrap-distance-right:9pt;mso-wrap-distance-top:3.6pt;z-index:251660288;mso-width-relative:page;mso-height-relative:page;" filled="f" stroked="f" coordsize="21600,21600" o:gfxdata="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6VGSzbAAAACgEAAA8A&#10;AAAAAAAAAQAgAAAAIgAAAGRycy9kb3ducmV2LnhtbFBLAQIUABQAAAAIAIdO4kBZeKMbFAIAABgE&#10;AAAOAAAAAAAAAAEAIAAAACoBAABkcnMvZTJvRG9jLnhtbFBLBQYAAAAABgAGAFkBAACwBQAAAAA=&#10;">
                <v:fill on="f" focussize="0,0"/>
                <v:stroke on="f"/>
                <v:imagedata o:title=""/>
                <o:lock v:ext="edit" aspectratio="f"/>
                <v:textbox>
                  <w:txbxContent>
                    <w:p>
                      <w:pPr>
                        <w:spacing w:line="0" w:lineRule="atLeast"/>
                        <w:ind w:left="0" w:leftChars="0" w:firstLine="0" w:firstLineChars="0"/>
                        <w:jc w:val="center"/>
                        <w:rPr>
                          <w:rFonts w:hint="eastAsia" w:ascii="思源黑体 HW Bold" w:hAnsi="思源黑体 HW Bold" w:eastAsia="思源黑体 HW Bold"/>
                          <w:b/>
                          <w:bCs/>
                          <w:color w:val="003A74"/>
                          <w:sz w:val="96"/>
                          <w:szCs w:val="144"/>
                        </w:rPr>
                      </w:pPr>
                      <w:r>
                        <w:rPr>
                          <w:rFonts w:hint="eastAsia" w:ascii="思源黑体 HW Bold" w:hAnsi="思源黑体 HW Bold" w:eastAsia="思源黑体 HW Bold"/>
                          <w:b/>
                          <w:bCs/>
                          <w:color w:val="003A74"/>
                          <w:sz w:val="96"/>
                          <w:szCs w:val="144"/>
                        </w:rPr>
                        <w:t>技术规范书</w:t>
                      </w:r>
                    </w:p>
                  </w:txbxContent>
                </v:textbox>
                <w10:wrap type="square"/>
              </v:rect>
            </w:pict>
          </mc:Fallback>
        </mc:AlternateContent>
      </w:r>
      <w:r>
        <w:rPr>
          <w:rFonts w:hint="eastAsia" w:ascii="黑体" w:hAnsi="黑体" w:eastAsia="黑体" w:cs="黑体"/>
          <w:sz w:val="32"/>
          <w:szCs w:val="32"/>
        </w:rPr>
        <w:drawing>
          <wp:anchor distT="0" distB="0" distL="114300" distR="114300" simplePos="0" relativeHeight="251661312" behindDoc="1" locked="0" layoutInCell="1" allowOverlap="1">
            <wp:simplePos x="0" y="0"/>
            <wp:positionH relativeFrom="column">
              <wp:posOffset>-739775</wp:posOffset>
            </wp:positionH>
            <wp:positionV relativeFrom="paragraph">
              <wp:posOffset>-712470</wp:posOffset>
            </wp:positionV>
            <wp:extent cx="7570470" cy="10008235"/>
            <wp:effectExtent l="0" t="0" r="11430" b="0"/>
            <wp:wrapNone/>
            <wp:docPr id="1067"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 name="图片 3" descr="D:\2021文件夹\南方电网\20210531——南网VI完稿修改\中国南方电网2021版交接设计稿\应用文件AI\B办公事务系统\未标题-2_画板 1.png未标题-2_画板 1"/>
                    <pic:cNvPicPr>
                      <a:picLocks noChangeAspect="1"/>
                    </pic:cNvPicPr>
                  </pic:nvPicPr>
                  <pic:blipFill>
                    <a:blip r:embed="rId8"/>
                    <a:stretch>
                      <a:fillRect/>
                    </a:stretch>
                  </pic:blipFill>
                  <pic:spPr>
                    <a:xfrm>
                      <a:off x="0" y="0"/>
                      <a:ext cx="7570470" cy="10008235"/>
                    </a:xfrm>
                    <a:prstGeom prst="rect">
                      <a:avLst/>
                    </a:prstGeom>
                    <a:noFill/>
                    <a:ln>
                      <a:noFill/>
                    </a:ln>
                  </pic:spPr>
                </pic:pic>
              </a:graphicData>
            </a:graphic>
          </wp:anchor>
        </w:drawing>
      </w:r>
      <w:r>
        <w:rPr>
          <w:rFonts w:hint="eastAsia" w:cs="宋体"/>
          <w:sz w:val="22"/>
          <w:szCs w:val="22"/>
        </w:rPr>
        <mc:AlternateContent>
          <mc:Choice Requires="wps">
            <w:drawing>
              <wp:anchor distT="45720" distB="45720" distL="114300" distR="114300" simplePos="0" relativeHeight="251661312" behindDoc="0" locked="0" layoutInCell="1" allowOverlap="1">
                <wp:simplePos x="0" y="0"/>
                <wp:positionH relativeFrom="column">
                  <wp:posOffset>-299085</wp:posOffset>
                </wp:positionH>
                <wp:positionV relativeFrom="paragraph">
                  <wp:posOffset>1984375</wp:posOffset>
                </wp:positionV>
                <wp:extent cx="6714490" cy="1594485"/>
                <wp:effectExtent l="0" t="0" r="0" b="0"/>
                <wp:wrapTopAndBottom/>
                <wp:docPr id="1420701876" name="矩形 9"/>
                <wp:cNvGraphicFramePr/>
                <a:graphic xmlns:a="http://schemas.openxmlformats.org/drawingml/2006/main">
                  <a:graphicData uri="http://schemas.microsoft.com/office/word/2010/wordprocessingShape">
                    <wps:wsp>
                      <wps:cNvSpPr/>
                      <wps:spPr bwMode="auto">
                        <a:xfrm>
                          <a:off x="0" y="0"/>
                          <a:ext cx="6714490" cy="1594485"/>
                        </a:xfrm>
                        <a:prstGeom prst="rect">
                          <a:avLst/>
                        </a:prstGeom>
                        <a:noFill/>
                        <a:ln>
                          <a:noFill/>
                        </a:ln>
                      </wps:spPr>
                      <wps:txbx>
                        <w:txbxContent>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center"/>
                              <w:textAlignment w:val="auto"/>
                              <w:rPr>
                                <w:rFonts w:hint="eastAsia" w:ascii="思源宋体 Heavy" w:hAnsi="思源宋体 Heavy" w:eastAsia="思源宋体 Heavy"/>
                                <w:color w:val="003A74"/>
                                <w:sz w:val="52"/>
                                <w:szCs w:val="56"/>
                                <w:u w:val="single"/>
                              </w:rPr>
                            </w:pPr>
                            <w:bookmarkStart w:id="2" w:name="TXT_09B98C3489C3EB1154979B7B4B28ECF7_1"/>
                            <w:r>
                              <w:rPr>
                                <w:rFonts w:hint="eastAsia" w:ascii="思源宋体 Heavy" w:hAnsi="思源宋体 Heavy" w:eastAsia="思源宋体 Heavy"/>
                                <w:color w:val="003A74"/>
                                <w:sz w:val="52"/>
                                <w:szCs w:val="56"/>
                                <w:u w:val="single"/>
                              </w:rPr>
                              <w:t>云南通用航空有限公司职工创新项目《一种太阳能航障爆闪电力铁塔标识装置研制》</w:t>
                            </w:r>
                          </w:p>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center"/>
                              <w:textAlignment w:val="auto"/>
                              <w:rPr>
                                <w:rFonts w:hint="eastAsia"/>
                              </w:rPr>
                            </w:pPr>
                            <w:r>
                              <w:rPr>
                                <w:rFonts w:hint="eastAsia" w:ascii="思源宋体 Heavy" w:hAnsi="思源宋体 Heavy" w:eastAsia="思源宋体 Heavy"/>
                                <w:color w:val="003A74"/>
                                <w:sz w:val="52"/>
                                <w:szCs w:val="56"/>
                                <w:u w:val="single"/>
                              </w:rPr>
                              <w:t>测试加工服务（零星采购）</w:t>
                            </w:r>
                            <w:bookmarkEnd w:id="2"/>
                          </w:p>
                        </w:txbxContent>
                      </wps:txbx>
                      <wps:bodyPr rot="0" spcFirstLastPara="0" vertOverflow="overflow" horzOverflow="overflow" vert="horz" wrap="square" lIns="91440" tIns="45720" rIns="91440" bIns="45720" numCol="1" anchor="t">
                        <a:noAutofit/>
                      </wps:bodyPr>
                    </wps:wsp>
                  </a:graphicData>
                </a:graphic>
              </wp:anchor>
            </w:drawing>
          </mc:Choice>
          <mc:Fallback>
            <w:pict>
              <v:rect id="矩形 9" o:spid="_x0000_s1026" o:spt="1" style="position:absolute;left:0pt;margin-left:-23.55pt;margin-top:156.25pt;height:125.55pt;width:528.7pt;mso-wrap-distance-bottom:3.6pt;mso-wrap-distance-top:3.6pt;z-index:251661312;mso-width-relative:page;mso-height-relative:page;" filled="f" stroked="f" coordsize="21600,21600" o:gfxdata="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H8ReKNwAAAAMAQAADwAA&#10;AAAAAAABACAAAAAiAAAAZHJzL2Rvd25yZXYueG1sUEsBAhQAFAAAAAgAh07iQOwUbrwSAgAAGAQA&#10;AA4AAAAAAAAAAQAgAAAAKwEAAGRycy9lMm9Eb2MueG1sUEsFBgAAAAAGAAYAWQEAAK8FAAAAAA==&#10;">
                <v:fill on="f" focussize="0,0"/>
                <v:stroke on="f"/>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center"/>
                        <w:textAlignment w:val="auto"/>
                        <w:rPr>
                          <w:rFonts w:hint="eastAsia" w:ascii="思源宋体 Heavy" w:hAnsi="思源宋体 Heavy" w:eastAsia="思源宋体 Heavy"/>
                          <w:color w:val="003A74"/>
                          <w:sz w:val="52"/>
                          <w:szCs w:val="56"/>
                          <w:u w:val="single"/>
                        </w:rPr>
                      </w:pPr>
                      <w:bookmarkStart w:id="2" w:name="TXT_09B98C3489C3EB1154979B7B4B28ECF7_1"/>
                      <w:r>
                        <w:rPr>
                          <w:rFonts w:hint="eastAsia" w:ascii="思源宋体 Heavy" w:hAnsi="思源宋体 Heavy" w:eastAsia="思源宋体 Heavy"/>
                          <w:color w:val="003A74"/>
                          <w:sz w:val="52"/>
                          <w:szCs w:val="56"/>
                          <w:u w:val="single"/>
                        </w:rPr>
                        <w:t>云南通用航空有限公司职工创新项目《一种太阳能航障爆闪电力铁塔标识装置研制》</w:t>
                      </w:r>
                    </w:p>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center"/>
                        <w:textAlignment w:val="auto"/>
                        <w:rPr>
                          <w:rFonts w:hint="eastAsia"/>
                        </w:rPr>
                      </w:pPr>
                      <w:r>
                        <w:rPr>
                          <w:rFonts w:hint="eastAsia" w:ascii="思源宋体 Heavy" w:hAnsi="思源宋体 Heavy" w:eastAsia="思源宋体 Heavy"/>
                          <w:color w:val="003A74"/>
                          <w:sz w:val="52"/>
                          <w:szCs w:val="56"/>
                          <w:u w:val="single"/>
                        </w:rPr>
                        <w:t>测试加工服务（零星采购）</w:t>
                      </w:r>
                      <w:bookmarkEnd w:id="2"/>
                    </w:p>
                  </w:txbxContent>
                </v:textbox>
                <w10:wrap type="topAndBottom"/>
              </v:rect>
            </w:pict>
          </mc:Fallback>
        </mc:AlternateContent>
      </w:r>
      <w:r>
        <w:rPr>
          <w:rFonts w:hint="eastAsia"/>
          <w:sz w:val="24"/>
          <w:szCs w:val="24"/>
        </w:rPr>
        <mc:AlternateContent>
          <mc:Choice Requires="wps">
            <w:drawing>
              <wp:anchor distT="0" distB="0" distL="114300" distR="114300" simplePos="0" relativeHeight="251659264" behindDoc="0" locked="0" layoutInCell="1" allowOverlap="1">
                <wp:simplePos x="0" y="0"/>
                <wp:positionH relativeFrom="column">
                  <wp:posOffset>1487170</wp:posOffset>
                </wp:positionH>
                <wp:positionV relativeFrom="paragraph">
                  <wp:posOffset>7691755</wp:posOffset>
                </wp:positionV>
                <wp:extent cx="3141345" cy="502920"/>
                <wp:effectExtent l="0" t="0" r="0" b="0"/>
                <wp:wrapTight wrapText="bothSides">
                  <wp:wrapPolygon>
                    <wp:start x="262" y="0"/>
                    <wp:lineTo x="262" y="20455"/>
                    <wp:lineTo x="21220" y="20455"/>
                    <wp:lineTo x="21220" y="0"/>
                    <wp:lineTo x="262" y="0"/>
                  </wp:wrapPolygon>
                </wp:wrapTight>
                <wp:docPr id="907811478" name="矩形 3"/>
                <wp:cNvGraphicFramePr/>
                <a:graphic xmlns:a="http://schemas.openxmlformats.org/drawingml/2006/main">
                  <a:graphicData uri="http://schemas.microsoft.com/office/word/2010/wordprocessingShape">
                    <wps:wsp>
                      <wps:cNvSpPr/>
                      <wps:spPr>
                        <a:xfrm>
                          <a:off x="0" y="0"/>
                          <a:ext cx="3141345" cy="502920"/>
                        </a:xfrm>
                        <a:prstGeom prst="rect">
                          <a:avLst/>
                        </a:prstGeom>
                        <a:noFill/>
                        <a:ln>
                          <a:noFill/>
                        </a:ln>
                      </wps:spPr>
                      <wps:txbx>
                        <w:txbxContent>
                          <w:p>
                            <w:pPr>
                              <w:spacing w:line="0" w:lineRule="atLeast"/>
                              <w:ind w:left="0" w:leftChars="0" w:firstLine="0" w:firstLineChars="0"/>
                              <w:jc w:val="center"/>
                              <w:rPr>
                                <w:rFonts w:hint="eastAsia" w:ascii="思源宋体 SemiBold" w:hAnsi="思源宋体 SemiBold" w:eastAsia="思源宋体 SemiBold"/>
                                <w:color w:val="003A74"/>
                                <w:sz w:val="36"/>
                                <w:szCs w:val="36"/>
                              </w:rPr>
                            </w:pPr>
                            <w:bookmarkStart w:id="3" w:name="TXT_4ff67f90eec6993ba080a3c4bf7af3cf_1"/>
                            <w:r>
                              <w:rPr>
                                <w:rFonts w:hint="eastAsia" w:ascii="思源宋体 SemiBold" w:hAnsi="思源宋体 SemiBold" w:eastAsia="思源宋体 SemiBold"/>
                                <w:color w:val="003A74"/>
                                <w:sz w:val="36"/>
                                <w:szCs w:val="36"/>
                                <w:u w:val="single"/>
                              </w:rPr>
                              <w:t>2026年6月</w:t>
                            </w:r>
                            <w:bookmarkEnd w:id="3"/>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id="矩形 3" o:spid="_x0000_s1026" o:spt="1" style="position:absolute;left:0pt;margin-left:117.1pt;margin-top:605.65pt;height:39.6pt;width:247.35pt;mso-wrap-distance-left:9pt;mso-wrap-distance-right:9pt;z-index:251659264;mso-width-relative:page;mso-height-relative:page;" filled="f" stroked="f" coordsize="21600,21600" wrapcoords="262 0 262 20455 21220 20455 21220 0 262 0" o:gfxdata="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056LfN0AAAANAQAADwAA&#10;AAAAAAABACAAAAAiAAAAZHJzL2Rvd25yZXYueG1sUEsBAhQAFAAAAAgAh07iQKn/FicRAgAAFAQA&#10;AA4AAAAAAAAAAQAgAAAALAEAAGRycy9lMm9Eb2MueG1sUEsFBgAAAAAGAAYAWQEAAK8FAAAAAA==&#10;">
                <v:fill on="f" focussize="0,0"/>
                <v:stroke on="f"/>
                <v:imagedata o:title=""/>
                <o:lock v:ext="edit" aspectratio="f"/>
                <v:textbox>
                  <w:txbxContent>
                    <w:p>
                      <w:pPr>
                        <w:spacing w:line="0" w:lineRule="atLeast"/>
                        <w:ind w:left="0" w:leftChars="0" w:firstLine="0" w:firstLineChars="0"/>
                        <w:jc w:val="center"/>
                        <w:rPr>
                          <w:rFonts w:hint="eastAsia" w:ascii="思源宋体 SemiBold" w:hAnsi="思源宋体 SemiBold" w:eastAsia="思源宋体 SemiBold"/>
                          <w:color w:val="003A74"/>
                          <w:sz w:val="36"/>
                          <w:szCs w:val="36"/>
                        </w:rPr>
                      </w:pPr>
                      <w:bookmarkStart w:id="3" w:name="TXT_4ff67f90eec6993ba080a3c4bf7af3cf_1"/>
                      <w:r>
                        <w:rPr>
                          <w:rFonts w:hint="eastAsia" w:ascii="思源宋体 SemiBold" w:hAnsi="思源宋体 SemiBold" w:eastAsia="思源宋体 SemiBold"/>
                          <w:color w:val="003A74"/>
                          <w:sz w:val="36"/>
                          <w:szCs w:val="36"/>
                          <w:u w:val="single"/>
                        </w:rPr>
                        <w:t>2026年6月</w:t>
                      </w:r>
                      <w:bookmarkEnd w:id="3"/>
                    </w:p>
                  </w:txbxContent>
                </v:textbox>
                <w10:wrap type="tight"/>
              </v:rect>
            </w:pict>
          </mc:Fallback>
        </mc:AlternateContent>
      </w:r>
    </w:p>
    <w:p>
      <w:pPr>
        <w:pStyle w:val="2"/>
        <w:rPr>
          <w:rFonts w:hint="eastAsia" w:ascii="宋体" w:hAnsi="宋体" w:eastAsia="宋体" w:cs="宋体"/>
          <w:sz w:val="32"/>
          <w:szCs w:val="32"/>
        </w:rPr>
      </w:pPr>
      <w:bookmarkStart w:id="1" w:name="一、总则"/>
      <w:bookmarkEnd w:id="1"/>
      <w:r>
        <w:rPr>
          <w:rFonts w:hint="eastAsia" w:ascii="宋体" w:hAnsi="宋体" w:eastAsia="宋体" w:cs="宋体"/>
          <w:sz w:val="32"/>
          <w:szCs w:val="32"/>
        </w:rPr>
        <w:t>1、总则</w:t>
      </w:r>
    </w:p>
    <w:p>
      <w:pPr>
        <w:pStyle w:val="3"/>
        <w:rPr>
          <w:b w:val="0"/>
          <w:bCs w:val="0"/>
        </w:rPr>
      </w:pPr>
      <w:r>
        <w:rPr>
          <w:rFonts w:hint="eastAsia"/>
          <w:b w:val="0"/>
          <w:bCs w:val="0"/>
        </w:rPr>
        <w:t>1.1概述</w:t>
      </w:r>
    </w:p>
    <w:p>
      <w:pPr>
        <w:spacing w:line="360" w:lineRule="auto"/>
        <w:ind w:firstLine="480"/>
        <w:rPr>
          <w:rFonts w:hint="eastAsia" w:ascii="宋体" w:hAnsi="宋体" w:cs="宋体"/>
          <w:sz w:val="24"/>
        </w:rPr>
      </w:pPr>
      <w:r>
        <w:rPr>
          <w:rFonts w:hint="eastAsia" w:ascii="宋体" w:hAnsi="宋体" w:cs="宋体"/>
          <w:sz w:val="24"/>
        </w:rPr>
        <w:t>1.1.1.本技术规范书提出了云南通用航空有限公司职工创新项目《一种太阳能航障爆闪电力铁塔标识装置研制》测试加工的技术服务要求。</w:t>
      </w:r>
    </w:p>
    <w:p>
      <w:pPr>
        <w:spacing w:line="360" w:lineRule="auto"/>
        <w:ind w:firstLine="480"/>
        <w:rPr>
          <w:rFonts w:hint="eastAsia" w:ascii="宋体" w:hAnsi="宋体" w:cs="宋体"/>
          <w:sz w:val="24"/>
        </w:rPr>
      </w:pPr>
      <w:r>
        <w:rPr>
          <w:rFonts w:hint="eastAsia" w:ascii="宋体" w:hAnsi="宋体" w:cs="宋体"/>
          <w:sz w:val="24"/>
        </w:rPr>
        <w:t>1.1.2.本技术规范书所描述的各种功能、性能需求仅供响应方编制投标文件之用。响应方可以提出不同的建议方案，但是建议方案必须满足但不限于本技术规范书所阐述的全部技术功能要求。</w:t>
      </w:r>
    </w:p>
    <w:p>
      <w:pPr>
        <w:spacing w:line="360" w:lineRule="auto"/>
        <w:ind w:firstLine="480"/>
        <w:rPr>
          <w:rFonts w:hint="eastAsia" w:ascii="宋体" w:hAnsi="宋体" w:cs="宋体"/>
          <w:sz w:val="24"/>
        </w:rPr>
      </w:pPr>
      <w:r>
        <w:rPr>
          <w:rFonts w:hint="eastAsia" w:ascii="宋体" w:hAnsi="宋体" w:cs="宋体"/>
          <w:sz w:val="24"/>
        </w:rPr>
        <w:t>1.1.3.响应方在投标文件中，对本技术规范书应逐项予以说明和答复，同时根据具体情况提出相关的建议，并附详细资料和说明。</w:t>
      </w:r>
    </w:p>
    <w:p>
      <w:pPr>
        <w:spacing w:line="360" w:lineRule="auto"/>
        <w:ind w:firstLine="480"/>
        <w:rPr>
          <w:rFonts w:hint="eastAsia" w:ascii="宋体" w:hAnsi="宋体" w:cs="宋体"/>
          <w:sz w:val="24"/>
        </w:rPr>
      </w:pPr>
      <w:r>
        <w:rPr>
          <w:rFonts w:hint="eastAsia" w:ascii="宋体" w:hAnsi="宋体" w:cs="宋体"/>
          <w:sz w:val="24"/>
        </w:rPr>
        <w:t>1.1.4.响应方必须仔细阅读采购文件的全部条款，并作出明确响应。本文件中带“★”号的条款及要求，响应方必须满足。</w:t>
      </w:r>
    </w:p>
    <w:p>
      <w:pPr>
        <w:spacing w:line="360" w:lineRule="auto"/>
        <w:ind w:firstLine="480"/>
        <w:rPr>
          <w:rFonts w:hint="eastAsia" w:ascii="宋体" w:hAnsi="宋体" w:cs="宋体"/>
          <w:sz w:val="24"/>
        </w:rPr>
      </w:pPr>
      <w:r>
        <w:rPr>
          <w:rFonts w:hint="eastAsia" w:ascii="宋体" w:hAnsi="宋体" w:cs="宋体"/>
          <w:sz w:val="24"/>
        </w:rPr>
        <w:t>1.1.5.本技术规范书仅描述基本的技术需求，并未对一切技术细节做出规定，也未充分引述有关标准和技术条文，响应方应根据需求目标提供进一步具体的可满足要求的功能和性能指标。</w:t>
      </w:r>
    </w:p>
    <w:p>
      <w:pPr>
        <w:spacing w:line="360" w:lineRule="auto"/>
        <w:ind w:firstLine="480"/>
        <w:rPr>
          <w:rFonts w:hint="eastAsia" w:ascii="宋体" w:hAnsi="宋体" w:cs="宋体"/>
          <w:sz w:val="24"/>
        </w:rPr>
      </w:pPr>
      <w:r>
        <w:rPr>
          <w:rFonts w:hint="eastAsia" w:ascii="宋体" w:hAnsi="宋体" w:cs="宋体"/>
          <w:sz w:val="24"/>
        </w:rPr>
        <w:t>1.1.6.投标技术文件要求文字精练、数据准确、表述及图示清晰明确，具有针对性。</w:t>
      </w:r>
    </w:p>
    <w:p>
      <w:pPr>
        <w:spacing w:line="360" w:lineRule="auto"/>
        <w:ind w:firstLine="480"/>
        <w:rPr>
          <w:rFonts w:hint="eastAsia" w:ascii="宋体" w:hAnsi="宋体" w:cs="宋体"/>
          <w:sz w:val="24"/>
        </w:rPr>
      </w:pPr>
      <w:r>
        <w:rPr>
          <w:rFonts w:hint="eastAsia" w:ascii="宋体" w:hAnsi="宋体" w:cs="宋体"/>
          <w:sz w:val="24"/>
        </w:rPr>
        <w:t>1.1.7.本项目成交方应参与项目的全过程，包括配合项目的最终验收。</w:t>
      </w:r>
    </w:p>
    <w:p>
      <w:pPr>
        <w:spacing w:line="360" w:lineRule="auto"/>
        <w:ind w:firstLine="480"/>
        <w:rPr>
          <w:rFonts w:hint="eastAsia" w:ascii="宋体" w:hAnsi="宋体" w:cs="宋体"/>
          <w:sz w:val="24"/>
        </w:rPr>
      </w:pPr>
      <w:r>
        <w:rPr>
          <w:rFonts w:hint="eastAsia" w:ascii="宋体" w:hAnsi="宋体" w:cs="宋体"/>
          <w:sz w:val="24"/>
        </w:rPr>
        <w:t>1.1.8.响应方必须仔细阅读采购文件的全部条款，并作出明确响应。</w:t>
      </w:r>
    </w:p>
    <w:p>
      <w:pPr>
        <w:spacing w:line="360" w:lineRule="auto"/>
        <w:ind w:firstLine="480"/>
        <w:rPr>
          <w:rFonts w:hint="eastAsia" w:ascii="宋体" w:hAnsi="宋体" w:cs="宋体"/>
          <w:sz w:val="24"/>
        </w:rPr>
      </w:pPr>
      <w:r>
        <w:rPr>
          <w:rFonts w:hint="eastAsia" w:ascii="宋体" w:hAnsi="宋体" w:cs="宋体"/>
          <w:sz w:val="24"/>
        </w:rPr>
        <w:t>1.1.9.如果响应方没有以书面形式对本采购文件技术规范的条文提出差异，则意味着响应方提供的服务完全符合本技术规范书的要求。若有与本技术规范书要求不一致的地方，必须逐项在《偏差表》中列出。</w:t>
      </w:r>
    </w:p>
    <w:p>
      <w:pPr>
        <w:spacing w:line="360" w:lineRule="auto"/>
        <w:ind w:firstLine="480"/>
        <w:rPr>
          <w:rFonts w:hint="eastAsia" w:ascii="宋体" w:hAnsi="宋体" w:cs="宋体"/>
          <w:sz w:val="24"/>
        </w:rPr>
      </w:pPr>
      <w:r>
        <w:rPr>
          <w:rFonts w:hint="eastAsia" w:ascii="宋体" w:hAnsi="宋体" w:cs="宋体"/>
          <w:sz w:val="24"/>
        </w:rPr>
        <w:t>1.1.10.本技术规范书经采购方、成交方双方确认后作为签订合同的技术附件，与合同正文具有同等的法律效力。</w:t>
      </w:r>
    </w:p>
    <w:p>
      <w:pPr>
        <w:spacing w:line="360" w:lineRule="auto"/>
        <w:ind w:firstLine="480"/>
        <w:rPr>
          <w:rFonts w:hint="eastAsia" w:ascii="宋体" w:hAnsi="宋体" w:cs="宋体"/>
          <w:sz w:val="24"/>
        </w:rPr>
      </w:pPr>
      <w:r>
        <w:rPr>
          <w:rFonts w:hint="eastAsia" w:ascii="宋体" w:hAnsi="宋体" w:cs="宋体"/>
          <w:sz w:val="24"/>
        </w:rPr>
        <w:t>1.1.11.本技术规范书未尽事宜，由采购方、成交方双方协商确定。</w:t>
      </w:r>
    </w:p>
    <w:p>
      <w:pPr>
        <w:pStyle w:val="3"/>
        <w:rPr>
          <w:b w:val="0"/>
          <w:bCs w:val="0"/>
        </w:rPr>
      </w:pPr>
      <w:r>
        <w:rPr>
          <w:rFonts w:hint="eastAsia"/>
          <w:b w:val="0"/>
          <w:bCs w:val="0"/>
        </w:rPr>
        <w:t>1.2定义</w:t>
      </w:r>
    </w:p>
    <w:p>
      <w:pPr>
        <w:spacing w:line="360" w:lineRule="auto"/>
        <w:ind w:firstLine="480"/>
        <w:rPr>
          <w:rFonts w:hint="eastAsia" w:ascii="宋体" w:hAnsi="宋体" w:cs="宋体"/>
          <w:sz w:val="24"/>
        </w:rPr>
      </w:pPr>
      <w:r>
        <w:rPr>
          <w:rFonts w:hint="eastAsia" w:ascii="宋体" w:hAnsi="宋体" w:cs="宋体"/>
          <w:sz w:val="24"/>
        </w:rPr>
        <w:t>1.采购方：南方电网通用航空服务有限公司云南通用航空有限公司。</w:t>
      </w:r>
    </w:p>
    <w:p>
      <w:pPr>
        <w:spacing w:line="360" w:lineRule="auto"/>
        <w:ind w:firstLine="480"/>
        <w:rPr>
          <w:rFonts w:hint="eastAsia" w:ascii="宋体" w:hAnsi="宋体" w:cs="宋体"/>
          <w:sz w:val="24"/>
        </w:rPr>
      </w:pPr>
      <w:r>
        <w:rPr>
          <w:rFonts w:hint="eastAsia" w:ascii="宋体" w:hAnsi="宋体" w:cs="宋体"/>
          <w:sz w:val="24"/>
        </w:rPr>
        <w:t>2.响应方：指响应招标、参加投标竞争的法人。</w:t>
      </w:r>
    </w:p>
    <w:p>
      <w:pPr>
        <w:spacing w:line="360" w:lineRule="auto"/>
        <w:ind w:firstLine="480"/>
        <w:rPr>
          <w:rFonts w:hint="eastAsia" w:ascii="宋体" w:hAnsi="宋体" w:cs="宋体"/>
          <w:sz w:val="24"/>
        </w:rPr>
      </w:pPr>
      <w:r>
        <w:rPr>
          <w:rFonts w:hint="eastAsia" w:ascii="宋体" w:hAnsi="宋体" w:cs="宋体"/>
          <w:sz w:val="24"/>
        </w:rPr>
        <w:t>3.成交方：经过评标，被授予合同的响应方。</w:t>
      </w:r>
    </w:p>
    <w:p>
      <w:pPr>
        <w:pStyle w:val="2"/>
        <w:rPr>
          <w:rFonts w:hint="eastAsia" w:ascii="宋体" w:hAnsi="宋体" w:eastAsia="宋体" w:cs="宋体"/>
          <w:sz w:val="32"/>
          <w:szCs w:val="32"/>
        </w:rPr>
      </w:pPr>
      <w:r>
        <w:rPr>
          <w:rFonts w:hint="eastAsia" w:ascii="宋体" w:hAnsi="宋体" w:eastAsia="宋体" w:cs="宋体"/>
          <w:sz w:val="32"/>
          <w:szCs w:val="32"/>
        </w:rPr>
        <w:t>2、服务内容</w:t>
      </w:r>
    </w:p>
    <w:p>
      <w:pPr>
        <w:ind w:firstLine="520"/>
        <w:rPr>
          <w:rFonts w:hint="eastAsia" w:ascii="宋体" w:hAnsi="宋体" w:cs="宋体"/>
          <w:szCs w:val="26"/>
        </w:rPr>
      </w:pPr>
      <w:r>
        <w:rPr>
          <w:rFonts w:hint="eastAsia" w:ascii="宋体" w:hAnsi="宋体" w:cs="宋体"/>
          <w:szCs w:val="26"/>
        </w:rPr>
        <w:t>响应方为采购方提供太阳能航障爆闪电力铁塔标识装置样机的代工生产、出厂测试、送检及售后等服务。</w:t>
      </w:r>
    </w:p>
    <w:p>
      <w:pPr>
        <w:pStyle w:val="2"/>
        <w:rPr>
          <w:rFonts w:hint="eastAsia" w:ascii="宋体" w:hAnsi="宋体" w:eastAsia="宋体" w:cs="宋体"/>
          <w:sz w:val="32"/>
          <w:szCs w:val="32"/>
        </w:rPr>
      </w:pPr>
      <w:r>
        <w:rPr>
          <w:rFonts w:hint="eastAsia" w:ascii="宋体" w:hAnsi="宋体" w:eastAsia="宋体" w:cs="宋体"/>
          <w:sz w:val="32"/>
          <w:szCs w:val="32"/>
        </w:rPr>
        <w:t>3、项目背景</w:t>
      </w:r>
    </w:p>
    <w:p>
      <w:pPr>
        <w:tabs>
          <w:tab w:val="left" w:pos="7560"/>
        </w:tabs>
        <w:ind w:firstLine="520"/>
      </w:pPr>
      <w:r>
        <w:rPr>
          <w:rFonts w:hint="eastAsia"/>
        </w:rPr>
        <w:t>为解决传统航空障碍灯光源存在不稳定、警示效果单一、安装适配性差的问题，采购方拟研发一种太阳能航障爆闪电力铁塔标识装置设备。现需委托具备加工生产能力的供应商，提供</w:t>
      </w:r>
      <w:r>
        <w:rPr>
          <w:rFonts w:hint="eastAsia" w:ascii="宋体" w:hAnsi="宋体" w:cs="宋体"/>
          <w:szCs w:val="26"/>
        </w:rPr>
        <w:t>样机的代工生产、出厂测试、送检及售后等服务。</w:t>
      </w:r>
    </w:p>
    <w:p>
      <w:pPr>
        <w:pStyle w:val="2"/>
        <w:rPr>
          <w:rFonts w:hint="eastAsia" w:ascii="宋体" w:hAnsi="宋体" w:eastAsia="宋体" w:cs="宋体"/>
          <w:sz w:val="32"/>
          <w:szCs w:val="32"/>
        </w:rPr>
      </w:pPr>
      <w:r>
        <w:rPr>
          <w:rFonts w:hint="eastAsia" w:ascii="宋体" w:hAnsi="宋体" w:eastAsia="宋体" w:cs="宋体"/>
          <w:sz w:val="32"/>
          <w:szCs w:val="32"/>
        </w:rPr>
        <w:t>4、产品基本功能及产品部件清单</w:t>
      </w:r>
    </w:p>
    <w:p>
      <w:pPr>
        <w:pStyle w:val="3"/>
        <w:rPr>
          <w:b w:val="0"/>
          <w:bCs w:val="0"/>
        </w:rPr>
      </w:pPr>
      <w:r>
        <w:rPr>
          <w:rFonts w:hint="eastAsia"/>
          <w:b w:val="0"/>
          <w:bCs w:val="0"/>
        </w:rPr>
        <w:t>4.1产品基本功能</w:t>
      </w:r>
    </w:p>
    <w:p>
      <w:pPr>
        <w:ind w:firstLine="520"/>
        <w:rPr>
          <w:rFonts w:hint="eastAsia" w:ascii="宋体" w:hAnsi="宋体" w:cs="宋体"/>
        </w:rPr>
      </w:pPr>
      <w:r>
        <w:rPr>
          <w:rFonts w:hint="eastAsia" w:ascii="宋体" w:hAnsi="宋体" w:cs="宋体"/>
        </w:rPr>
        <w:t>实现能源持续供应、警示精准高效、安装适配灵活及状态可追溯的技术目标，提升铁塔等电力设施在航线内警示安全防护的智能化水平。</w:t>
      </w:r>
    </w:p>
    <w:p>
      <w:pPr>
        <w:ind w:firstLine="520"/>
        <w:rPr>
          <w:rFonts w:hint="eastAsia" w:ascii="宋体" w:hAnsi="宋体" w:cs="宋体"/>
        </w:rPr>
      </w:pPr>
      <w:r>
        <w:rPr>
          <w:rFonts w:hint="eastAsia" w:ascii="宋体" w:hAnsi="宋体" w:cs="宋体"/>
        </w:rPr>
        <w:t>（1）能源系统设计（太阳能自给）：针对电力铁塔不同供电场景，尤其是野外无市电区域的续航痛点，设计适配性强、稳定性高的能源供电系统。极端天气下保障装置在连续15-20天阴雨天仍能正常运行，设计过充、过压、欠压三重安全保护机制，有效延长蓄电池使用寿命，同时适配-40℃~70℃极端温差环境。</w:t>
      </w:r>
    </w:p>
    <w:p>
      <w:pPr>
        <w:ind w:firstLine="520"/>
        <w:rPr>
          <w:rFonts w:hint="eastAsia" w:ascii="宋体" w:hAnsi="宋体" w:cs="宋体"/>
        </w:rPr>
      </w:pPr>
      <w:r>
        <w:rPr>
          <w:rFonts w:hint="eastAsia" w:ascii="宋体" w:hAnsi="宋体" w:cs="宋体"/>
        </w:rPr>
        <w:t>（2）控制模块设计（智能控制+动态警示）：控制模块选用低功耗单片机作为核心处理器，搭配集成化智能模块，重点开发集成光感、时控、北斗同步三大核心功能，其中光感模块能自动识别环境光照强度，精准触发昼夜模式切换；北斗同步功能可实现多灯组同频闪烁。采用动态爆闪与声光联动模式结合的警示方式，夜间识别距离达500m以上，且可根据低空飞行轨迹定向触发强化警示。同时支持光强、闪烁频率远程调节，通过4G通讯模块实现远程操控。此外，内置故障检测模块及远程监控系统，可实时检测太阳能板、蓄电池、警示装置等核心元器件的运行状态，实现故障提前预警，响应时间2小时以内。</w:t>
      </w:r>
    </w:p>
    <w:p>
      <w:pPr>
        <w:ind w:firstLine="520"/>
        <w:rPr>
          <w:rFonts w:hint="eastAsia" w:ascii="宋体" w:hAnsi="宋体" w:cs="宋体"/>
        </w:rPr>
      </w:pPr>
      <w:r>
        <w:rPr>
          <w:rFonts w:hint="eastAsia" w:ascii="宋体" w:hAnsi="宋体" w:cs="宋体"/>
        </w:rPr>
        <w:t>（3）结构设计（高适配性+智能运维）：结合电力铁塔的结构特点及不同地形安装需求，重点优化结构与防护设计，可有效抵御野外风雨、沙尘、盐雾等恶劣环境侵蚀。防护等级达IP65，可有效防尘、防水，避免雨水、沙尘进入装置内部导致短路故障。采用自适应结构设计，可兼容90%以上规格的电力铁塔，无需针对不同铁塔规格定制安装支架，无需铺设外接线路，可快速完成安装调试。具备自动清洁功能，可自动清除灯体表面的灰尘、杂物，避免灰尘遮挡影响警示效果。</w:t>
      </w:r>
    </w:p>
    <w:p>
      <w:pPr>
        <w:pStyle w:val="3"/>
        <w:rPr>
          <w:b w:val="0"/>
          <w:bCs w:val="0"/>
        </w:rPr>
      </w:pPr>
      <w:r>
        <w:rPr>
          <w:rFonts w:hint="eastAsia"/>
          <w:b w:val="0"/>
          <w:bCs w:val="0"/>
        </w:rPr>
        <w:t>4.2产品部件清单</w:t>
      </w:r>
    </w:p>
    <w:tbl>
      <w:tblPr>
        <w:tblStyle w:val="15"/>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560"/>
        <w:gridCol w:w="2947"/>
        <w:gridCol w:w="728"/>
        <w:gridCol w:w="676"/>
        <w:gridCol w:w="1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7" w:type="dxa"/>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序号</w:t>
            </w:r>
          </w:p>
        </w:tc>
        <w:tc>
          <w:tcPr>
            <w:tcW w:w="1560" w:type="dxa"/>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材料名称</w:t>
            </w:r>
          </w:p>
        </w:tc>
        <w:tc>
          <w:tcPr>
            <w:tcW w:w="2947" w:type="dxa"/>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规格型号</w:t>
            </w:r>
          </w:p>
        </w:tc>
        <w:tc>
          <w:tcPr>
            <w:tcW w:w="728" w:type="dxa"/>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单位</w:t>
            </w:r>
          </w:p>
        </w:tc>
        <w:tc>
          <w:tcPr>
            <w:tcW w:w="676" w:type="dxa"/>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数量</w:t>
            </w:r>
          </w:p>
        </w:tc>
        <w:tc>
          <w:tcPr>
            <w:tcW w:w="1744" w:type="dxa"/>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1</w:t>
            </w:r>
          </w:p>
        </w:tc>
        <w:tc>
          <w:tcPr>
            <w:tcW w:w="1560"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太阳能板</w:t>
            </w:r>
          </w:p>
        </w:tc>
        <w:tc>
          <w:tcPr>
            <w:tcW w:w="294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单晶硅光伏板</w:t>
            </w:r>
          </w:p>
        </w:tc>
        <w:tc>
          <w:tcPr>
            <w:tcW w:w="72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套</w:t>
            </w:r>
          </w:p>
        </w:tc>
        <w:tc>
          <w:tcPr>
            <w:tcW w:w="676"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2</w:t>
            </w:r>
          </w:p>
        </w:tc>
        <w:tc>
          <w:tcPr>
            <w:tcW w:w="1744" w:type="dxa"/>
            <w:vAlign w:val="center"/>
          </w:tcPr>
          <w:p>
            <w:pPr>
              <w:spacing w:line="240" w:lineRule="exact"/>
              <w:ind w:firstLine="0" w:firstLineChars="0"/>
              <w:jc w:val="center"/>
              <w:rPr>
                <w:rFonts w:hint="eastAsia"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9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2</w:t>
            </w:r>
          </w:p>
        </w:tc>
        <w:tc>
          <w:tcPr>
            <w:tcW w:w="1560"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电池</w:t>
            </w:r>
          </w:p>
        </w:tc>
        <w:tc>
          <w:tcPr>
            <w:tcW w:w="294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磷酸铁锂电池</w:t>
            </w:r>
          </w:p>
        </w:tc>
        <w:tc>
          <w:tcPr>
            <w:tcW w:w="72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套</w:t>
            </w:r>
          </w:p>
        </w:tc>
        <w:tc>
          <w:tcPr>
            <w:tcW w:w="676"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1</w:t>
            </w:r>
          </w:p>
        </w:tc>
        <w:tc>
          <w:tcPr>
            <w:tcW w:w="1744" w:type="dxa"/>
            <w:vAlign w:val="center"/>
          </w:tcPr>
          <w:p>
            <w:pPr>
              <w:spacing w:line="240" w:lineRule="exact"/>
              <w:ind w:firstLine="0" w:firstLineChars="0"/>
              <w:jc w:val="center"/>
              <w:rPr>
                <w:rFonts w:hint="eastAsia"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3</w:t>
            </w:r>
          </w:p>
        </w:tc>
        <w:tc>
          <w:tcPr>
            <w:tcW w:w="1560"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光感模块</w:t>
            </w:r>
          </w:p>
        </w:tc>
        <w:tc>
          <w:tcPr>
            <w:tcW w:w="294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w:t>
            </w:r>
          </w:p>
        </w:tc>
        <w:tc>
          <w:tcPr>
            <w:tcW w:w="72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套</w:t>
            </w:r>
          </w:p>
        </w:tc>
        <w:tc>
          <w:tcPr>
            <w:tcW w:w="676"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1</w:t>
            </w:r>
          </w:p>
        </w:tc>
        <w:tc>
          <w:tcPr>
            <w:tcW w:w="1744" w:type="dxa"/>
            <w:vAlign w:val="center"/>
          </w:tcPr>
          <w:p>
            <w:pPr>
              <w:spacing w:line="240" w:lineRule="exact"/>
              <w:ind w:firstLine="0" w:firstLineChars="0"/>
              <w:jc w:val="center"/>
              <w:rPr>
                <w:rFonts w:hint="eastAsia"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4</w:t>
            </w:r>
          </w:p>
        </w:tc>
        <w:tc>
          <w:tcPr>
            <w:tcW w:w="1560"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4G通讯模块</w:t>
            </w:r>
          </w:p>
        </w:tc>
        <w:tc>
          <w:tcPr>
            <w:tcW w:w="294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w:t>
            </w:r>
          </w:p>
        </w:tc>
        <w:tc>
          <w:tcPr>
            <w:tcW w:w="72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套</w:t>
            </w:r>
          </w:p>
        </w:tc>
        <w:tc>
          <w:tcPr>
            <w:tcW w:w="676"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1</w:t>
            </w:r>
          </w:p>
        </w:tc>
        <w:tc>
          <w:tcPr>
            <w:tcW w:w="1744" w:type="dxa"/>
            <w:vAlign w:val="center"/>
          </w:tcPr>
          <w:p>
            <w:pPr>
              <w:spacing w:line="240" w:lineRule="exact"/>
              <w:ind w:firstLine="0" w:firstLineChars="0"/>
              <w:jc w:val="center"/>
              <w:rPr>
                <w:rFonts w:hint="eastAsia"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69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5</w:t>
            </w:r>
          </w:p>
        </w:tc>
        <w:tc>
          <w:tcPr>
            <w:tcW w:w="1560"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低功耗警示爆闪装置</w:t>
            </w:r>
          </w:p>
        </w:tc>
        <w:tc>
          <w:tcPr>
            <w:tcW w:w="294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1"/>
                <w:szCs w:val="21"/>
              </w:rPr>
              <w:t>外壳、爆闪灯（LED）、连接片及支架、垫片</w:t>
            </w:r>
          </w:p>
        </w:tc>
        <w:tc>
          <w:tcPr>
            <w:tcW w:w="72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套</w:t>
            </w:r>
          </w:p>
        </w:tc>
        <w:tc>
          <w:tcPr>
            <w:tcW w:w="676"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1</w:t>
            </w:r>
          </w:p>
        </w:tc>
        <w:tc>
          <w:tcPr>
            <w:tcW w:w="1744" w:type="dxa"/>
            <w:vAlign w:val="center"/>
          </w:tcPr>
          <w:p>
            <w:pPr>
              <w:spacing w:line="240" w:lineRule="exact"/>
              <w:ind w:firstLine="0" w:firstLineChars="0"/>
              <w:jc w:val="center"/>
              <w:rPr>
                <w:rFonts w:hint="eastAsia" w:ascii="宋体" w:hAnsi="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6</w:t>
            </w:r>
          </w:p>
        </w:tc>
        <w:tc>
          <w:tcPr>
            <w:tcW w:w="1560"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装置底座</w:t>
            </w:r>
          </w:p>
        </w:tc>
        <w:tc>
          <w:tcPr>
            <w:tcW w:w="2947"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w:t>
            </w:r>
          </w:p>
        </w:tc>
        <w:tc>
          <w:tcPr>
            <w:tcW w:w="72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套</w:t>
            </w:r>
          </w:p>
        </w:tc>
        <w:tc>
          <w:tcPr>
            <w:tcW w:w="676"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1</w:t>
            </w:r>
          </w:p>
        </w:tc>
        <w:tc>
          <w:tcPr>
            <w:tcW w:w="1744" w:type="dxa"/>
            <w:vAlign w:val="center"/>
          </w:tcPr>
          <w:p>
            <w:pPr>
              <w:spacing w:line="240" w:lineRule="exact"/>
              <w:ind w:firstLine="0" w:firstLineChars="0"/>
              <w:jc w:val="center"/>
              <w:rPr>
                <w:rFonts w:hint="eastAsia" w:ascii="宋体" w:hAnsi="宋体" w:cs="宋体"/>
                <w:sz w:val="22"/>
                <w:szCs w:val="22"/>
              </w:rPr>
            </w:pPr>
          </w:p>
        </w:tc>
      </w:tr>
    </w:tbl>
    <w:p>
      <w:pPr>
        <w:pStyle w:val="2"/>
        <w:rPr>
          <w:rFonts w:hint="eastAsia" w:ascii="宋体" w:hAnsi="宋体" w:eastAsia="宋体" w:cs="宋体"/>
          <w:sz w:val="32"/>
          <w:szCs w:val="32"/>
        </w:rPr>
      </w:pPr>
      <w:r>
        <w:rPr>
          <w:rFonts w:hint="eastAsia" w:ascii="宋体" w:hAnsi="宋体" w:eastAsia="宋体" w:cs="宋体"/>
          <w:sz w:val="32"/>
          <w:szCs w:val="32"/>
        </w:rPr>
        <w:t>5、价格构成及服务要求</w:t>
      </w:r>
    </w:p>
    <w:p>
      <w:pPr>
        <w:pStyle w:val="3"/>
        <w:rPr>
          <w:b w:val="0"/>
          <w:bCs w:val="0"/>
        </w:rPr>
      </w:pPr>
      <w:r>
        <w:rPr>
          <w:rFonts w:hint="eastAsia"/>
          <w:b w:val="0"/>
          <w:bCs w:val="0"/>
        </w:rPr>
        <w:t>5.1价格构成</w:t>
      </w:r>
    </w:p>
    <w:tbl>
      <w:tblPr>
        <w:tblStyle w:val="14"/>
        <w:tblW w:w="6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1160"/>
        <w:gridCol w:w="2112"/>
        <w:gridCol w:w="975"/>
        <w:gridCol w:w="1559"/>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blHeader/>
          <w:jc w:val="center"/>
        </w:trPr>
        <w:tc>
          <w:tcPr>
            <w:tcW w:w="1161" w:type="dxa"/>
            <w:vMerge w:val="restart"/>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项目计划完成时间</w:t>
            </w:r>
          </w:p>
        </w:tc>
        <w:tc>
          <w:tcPr>
            <w:tcW w:w="2115" w:type="dxa"/>
            <w:vMerge w:val="restart"/>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样机交付需求</w:t>
            </w:r>
          </w:p>
        </w:tc>
        <w:tc>
          <w:tcPr>
            <w:tcW w:w="3615" w:type="dxa"/>
            <w:gridSpan w:val="3"/>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采购限价（万元，含税</w:t>
            </w:r>
            <w:r>
              <w:rPr>
                <w:rFonts w:hint="eastAsia" w:ascii="宋体" w:hAnsi="宋体" w:cs="宋体"/>
                <w:b/>
                <w:bCs/>
                <w:sz w:val="22"/>
                <w:szCs w:val="22"/>
                <w:lang w:val="en-US" w:eastAsia="zh-CN"/>
              </w:rPr>
              <w:t>6</w:t>
            </w:r>
            <w:r>
              <w:rPr>
                <w:rFonts w:hint="eastAsia" w:ascii="宋体" w:hAnsi="宋体" w:cs="宋体"/>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20" w:hRule="atLeast"/>
          <w:tblHeader/>
          <w:jc w:val="center"/>
        </w:trPr>
        <w:tc>
          <w:tcPr>
            <w:tcW w:w="1161" w:type="dxa"/>
            <w:vMerge w:val="continue"/>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rPr>
            </w:pPr>
          </w:p>
        </w:tc>
        <w:tc>
          <w:tcPr>
            <w:tcW w:w="2115" w:type="dxa"/>
            <w:vMerge w:val="continue"/>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rPr>
            </w:pPr>
          </w:p>
        </w:tc>
        <w:tc>
          <w:tcPr>
            <w:tcW w:w="970" w:type="dxa"/>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材料</w:t>
            </w:r>
          </w:p>
        </w:tc>
        <w:tc>
          <w:tcPr>
            <w:tcW w:w="1560" w:type="dxa"/>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加工测试（含劳务）</w:t>
            </w:r>
          </w:p>
        </w:tc>
        <w:tc>
          <w:tcPr>
            <w:tcW w:w="1085" w:type="dxa"/>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总限价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567" w:hRule="atLeast"/>
          <w:jc w:val="center"/>
        </w:trPr>
        <w:tc>
          <w:tcPr>
            <w:tcW w:w="1161" w:type="dxa"/>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2026年12月</w:t>
            </w:r>
          </w:p>
        </w:tc>
        <w:tc>
          <w:tcPr>
            <w:tcW w:w="2115" w:type="dxa"/>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太阳能航障爆闪电力铁塔标识装置1套</w:t>
            </w:r>
          </w:p>
        </w:tc>
        <w:tc>
          <w:tcPr>
            <w:tcW w:w="970" w:type="dxa"/>
            <w:shd w:val="clear" w:color="auto" w:fill="FFFFFF"/>
            <w:tcMar>
              <w:top w:w="120" w:type="dxa"/>
              <w:left w:w="210" w:type="dxa"/>
              <w:bottom w:w="120" w:type="dxa"/>
              <w:right w:w="210" w:type="dxa"/>
            </w:tcMar>
            <w:vAlign w:val="center"/>
          </w:tcPr>
          <w:p>
            <w:pPr>
              <w:spacing w:line="240" w:lineRule="exact"/>
              <w:ind w:firstLine="0" w:firstLineChars="0"/>
              <w:jc w:val="center"/>
              <w:rPr>
                <w:rFonts w:hint="eastAsia" w:ascii="宋体" w:hAnsi="宋体" w:cs="宋体"/>
                <w:b/>
                <w:bCs/>
                <w:sz w:val="22"/>
                <w:szCs w:val="22"/>
                <w:lang w:eastAsia="zh-CN"/>
              </w:rPr>
            </w:pPr>
            <w:r>
              <w:rPr>
                <w:rFonts w:hint="eastAsia" w:ascii="宋体" w:hAnsi="宋体" w:cs="宋体"/>
                <w:b/>
                <w:bCs/>
                <w:sz w:val="22"/>
                <w:szCs w:val="22"/>
                <w:lang w:eastAsia="zh-CN"/>
              </w:rPr>
              <w:t>0.852</w:t>
            </w:r>
          </w:p>
        </w:tc>
        <w:tc>
          <w:tcPr>
            <w:tcW w:w="1560" w:type="dxa"/>
            <w:shd w:val="clear" w:color="auto" w:fill="FFFFFF"/>
            <w:tcMar>
              <w:top w:w="120" w:type="dxa"/>
              <w:left w:w="210" w:type="dxa"/>
              <w:bottom w:w="120" w:type="dxa"/>
              <w:right w:w="210" w:type="dxa"/>
            </w:tcMar>
            <w:vAlign w:val="center"/>
          </w:tcPr>
          <w:p>
            <w:pPr>
              <w:spacing w:line="240" w:lineRule="exact"/>
              <w:ind w:firstLine="0" w:firstLineChars="0"/>
              <w:jc w:val="center"/>
              <w:rPr>
                <w:rFonts w:hint="default" w:ascii="宋体" w:hAnsi="宋体" w:cs="宋体"/>
                <w:b/>
                <w:bCs/>
                <w:sz w:val="22"/>
                <w:szCs w:val="22"/>
                <w:lang w:val="en-US" w:eastAsia="zh-CN"/>
              </w:rPr>
            </w:pPr>
            <w:r>
              <w:rPr>
                <w:rFonts w:hint="eastAsia" w:ascii="宋体" w:hAnsi="宋体" w:cs="宋体"/>
                <w:b/>
                <w:bCs/>
                <w:sz w:val="22"/>
                <w:szCs w:val="22"/>
                <w:lang w:val="en-US" w:eastAsia="zh-CN"/>
              </w:rPr>
              <w:t>2.759</w:t>
            </w:r>
          </w:p>
        </w:tc>
        <w:tc>
          <w:tcPr>
            <w:tcW w:w="1085" w:type="dxa"/>
            <w:shd w:val="clear" w:color="auto" w:fill="FFFFFF"/>
            <w:tcMar>
              <w:top w:w="120" w:type="dxa"/>
              <w:left w:w="210" w:type="dxa"/>
              <w:bottom w:w="120" w:type="dxa"/>
              <w:right w:w="210" w:type="dxa"/>
            </w:tcMar>
            <w:vAlign w:val="center"/>
          </w:tcPr>
          <w:p>
            <w:pPr>
              <w:spacing w:line="240" w:lineRule="exact"/>
              <w:ind w:firstLine="0" w:firstLineChars="0"/>
              <w:jc w:val="center"/>
              <w:rPr>
                <w:rFonts w:hint="default" w:ascii="宋体" w:hAnsi="宋体" w:eastAsia="宋体" w:cs="宋体"/>
                <w:b/>
                <w:bCs/>
                <w:sz w:val="22"/>
                <w:szCs w:val="22"/>
                <w:lang w:val="en-US" w:eastAsia="zh-CN"/>
              </w:rPr>
            </w:pPr>
            <w:r>
              <w:rPr>
                <w:rFonts w:hint="eastAsia" w:ascii="宋体" w:hAnsi="宋体" w:cs="宋体"/>
                <w:b/>
                <w:bCs/>
                <w:sz w:val="22"/>
                <w:szCs w:val="22"/>
                <w:lang w:val="en-US" w:eastAsia="zh-CN"/>
              </w:rPr>
              <w:t>3.611</w:t>
            </w:r>
          </w:p>
        </w:tc>
      </w:tr>
    </w:tbl>
    <w:p>
      <w:pPr>
        <w:pStyle w:val="3"/>
        <w:rPr>
          <w:b w:val="0"/>
          <w:bCs w:val="0"/>
        </w:rPr>
      </w:pPr>
      <w:r>
        <w:rPr>
          <w:rFonts w:hint="eastAsia"/>
          <w:b w:val="0"/>
          <w:bCs w:val="0"/>
        </w:rPr>
        <w:t>5.2加工测试（含劳务）需求内容清单</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3929"/>
        <w:gridCol w:w="1005"/>
        <w:gridCol w:w="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0" w:type="auto"/>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序号</w:t>
            </w:r>
          </w:p>
        </w:tc>
        <w:tc>
          <w:tcPr>
            <w:tcW w:w="3929" w:type="dxa"/>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加工（含劳务）内容</w:t>
            </w:r>
          </w:p>
        </w:tc>
        <w:tc>
          <w:tcPr>
            <w:tcW w:w="1005" w:type="dxa"/>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单位</w:t>
            </w:r>
          </w:p>
        </w:tc>
        <w:tc>
          <w:tcPr>
            <w:tcW w:w="938" w:type="dxa"/>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1</w:t>
            </w:r>
          </w:p>
        </w:tc>
        <w:tc>
          <w:tcPr>
            <w:tcW w:w="3929" w:type="dxa"/>
            <w:vAlign w:val="center"/>
          </w:tcPr>
          <w:p>
            <w:pPr>
              <w:spacing w:line="240" w:lineRule="exact"/>
              <w:ind w:firstLine="0" w:firstLineChars="0"/>
              <w:jc w:val="left"/>
              <w:rPr>
                <w:rFonts w:hint="eastAsia" w:ascii="宋体" w:hAnsi="宋体" w:cs="宋体"/>
                <w:sz w:val="22"/>
                <w:szCs w:val="22"/>
              </w:rPr>
            </w:pPr>
            <w:r>
              <w:rPr>
                <w:rFonts w:hint="eastAsia" w:ascii="宋体" w:hAnsi="宋体" w:cs="宋体"/>
                <w:color w:val="000000"/>
                <w:kern w:val="0"/>
                <w:sz w:val="22"/>
                <w:szCs w:val="22"/>
                <w:lang w:bidi="ar"/>
              </w:rPr>
              <w:t>太阳能板制作</w:t>
            </w:r>
          </w:p>
        </w:tc>
        <w:tc>
          <w:tcPr>
            <w:tcW w:w="1005"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项</w:t>
            </w:r>
          </w:p>
        </w:tc>
        <w:tc>
          <w:tcPr>
            <w:tcW w:w="938" w:type="dxa"/>
            <w:vAlign w:val="center"/>
          </w:tcPr>
          <w:p>
            <w:pPr>
              <w:spacing w:line="240" w:lineRule="exact"/>
              <w:ind w:firstLine="0" w:firstLineChars="0"/>
              <w:jc w:val="center"/>
              <w:rPr>
                <w:rFonts w:hint="eastAsia" w:ascii="宋体" w:hAnsi="宋体" w:eastAsia="宋体" w:cs="宋体"/>
                <w:sz w:val="22"/>
                <w:szCs w:val="22"/>
                <w:lang w:eastAsia="zh-CN"/>
              </w:rPr>
            </w:pPr>
            <w:r>
              <w:rPr>
                <w:rFonts w:hint="eastAsia" w:ascii="宋体" w:hAnsi="宋体" w:cs="宋体"/>
                <w:sz w:val="22"/>
                <w:szCs w:val="22"/>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5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2</w:t>
            </w:r>
          </w:p>
        </w:tc>
        <w:tc>
          <w:tcPr>
            <w:tcW w:w="3929" w:type="dxa"/>
            <w:vAlign w:val="center"/>
          </w:tcPr>
          <w:p>
            <w:pPr>
              <w:spacing w:line="240" w:lineRule="exact"/>
              <w:ind w:firstLine="0" w:firstLineChars="0"/>
              <w:jc w:val="left"/>
              <w:rPr>
                <w:rFonts w:hint="eastAsia" w:ascii="宋体" w:hAnsi="宋体" w:cs="宋体"/>
                <w:sz w:val="22"/>
                <w:szCs w:val="22"/>
                <w:highlight w:val="yellow"/>
              </w:rPr>
            </w:pPr>
            <w:r>
              <w:rPr>
                <w:rFonts w:hint="eastAsia" w:ascii="宋体" w:hAnsi="宋体" w:cs="宋体"/>
                <w:sz w:val="21"/>
                <w:szCs w:val="21"/>
              </w:rPr>
              <w:t>电源模块打样</w:t>
            </w:r>
          </w:p>
        </w:tc>
        <w:tc>
          <w:tcPr>
            <w:tcW w:w="1005"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项</w:t>
            </w:r>
          </w:p>
        </w:tc>
        <w:tc>
          <w:tcPr>
            <w:tcW w:w="93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65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3</w:t>
            </w:r>
          </w:p>
        </w:tc>
        <w:tc>
          <w:tcPr>
            <w:tcW w:w="3929" w:type="dxa"/>
            <w:vAlign w:val="center"/>
          </w:tcPr>
          <w:p>
            <w:pPr>
              <w:spacing w:line="240" w:lineRule="exact"/>
              <w:ind w:firstLine="0" w:firstLineChars="0"/>
              <w:jc w:val="left"/>
              <w:rPr>
                <w:rFonts w:hint="eastAsia" w:ascii="宋体" w:hAnsi="宋体" w:cs="宋体"/>
                <w:sz w:val="22"/>
                <w:szCs w:val="22"/>
                <w:highlight w:val="yellow"/>
              </w:rPr>
            </w:pPr>
            <w:r>
              <w:rPr>
                <w:rFonts w:hint="eastAsia" w:ascii="宋体" w:hAnsi="宋体" w:cs="宋体"/>
                <w:sz w:val="22"/>
                <w:szCs w:val="22"/>
              </w:rPr>
              <w:t>爆闪灯底座开模打样</w:t>
            </w:r>
          </w:p>
        </w:tc>
        <w:tc>
          <w:tcPr>
            <w:tcW w:w="1005"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项</w:t>
            </w:r>
          </w:p>
        </w:tc>
        <w:tc>
          <w:tcPr>
            <w:tcW w:w="93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65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4</w:t>
            </w:r>
          </w:p>
        </w:tc>
        <w:tc>
          <w:tcPr>
            <w:tcW w:w="3929" w:type="dxa"/>
            <w:vAlign w:val="center"/>
          </w:tcPr>
          <w:p>
            <w:pPr>
              <w:spacing w:line="240" w:lineRule="exact"/>
              <w:ind w:firstLine="0" w:firstLineChars="0"/>
              <w:jc w:val="left"/>
              <w:rPr>
                <w:rFonts w:hint="eastAsia" w:ascii="宋体" w:hAnsi="宋体" w:cs="宋体"/>
                <w:sz w:val="22"/>
                <w:szCs w:val="22"/>
              </w:rPr>
            </w:pPr>
            <w:r>
              <w:rPr>
                <w:rFonts w:hint="eastAsia" w:ascii="宋体" w:hAnsi="宋体" w:cs="宋体"/>
                <w:sz w:val="22"/>
                <w:szCs w:val="22"/>
              </w:rPr>
              <w:t>通讯调试</w:t>
            </w:r>
          </w:p>
        </w:tc>
        <w:tc>
          <w:tcPr>
            <w:tcW w:w="1005"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项</w:t>
            </w:r>
          </w:p>
        </w:tc>
        <w:tc>
          <w:tcPr>
            <w:tcW w:w="93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65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5</w:t>
            </w:r>
          </w:p>
        </w:tc>
        <w:tc>
          <w:tcPr>
            <w:tcW w:w="3929" w:type="dxa"/>
            <w:vAlign w:val="center"/>
          </w:tcPr>
          <w:p>
            <w:pPr>
              <w:spacing w:line="240" w:lineRule="exact"/>
              <w:ind w:firstLine="0" w:firstLineChars="0"/>
              <w:jc w:val="left"/>
              <w:rPr>
                <w:rFonts w:hint="eastAsia" w:ascii="宋体" w:hAnsi="宋体" w:cs="宋体"/>
                <w:sz w:val="22"/>
                <w:szCs w:val="22"/>
              </w:rPr>
            </w:pPr>
            <w:r>
              <w:rPr>
                <w:rFonts w:hint="eastAsia" w:ascii="宋体" w:hAnsi="宋体" w:cs="宋体"/>
                <w:sz w:val="22"/>
                <w:szCs w:val="22"/>
              </w:rPr>
              <w:t>测试化验</w:t>
            </w:r>
          </w:p>
        </w:tc>
        <w:tc>
          <w:tcPr>
            <w:tcW w:w="1005"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项</w:t>
            </w:r>
          </w:p>
        </w:tc>
        <w:tc>
          <w:tcPr>
            <w:tcW w:w="938" w:type="dxa"/>
            <w:vAlign w:val="center"/>
          </w:tcPr>
          <w:p>
            <w:pPr>
              <w:spacing w:line="240" w:lineRule="exact"/>
              <w:ind w:firstLine="0" w:firstLineChars="0"/>
              <w:jc w:val="center"/>
              <w:rPr>
                <w:rFonts w:hint="eastAsia" w:ascii="宋体" w:hAnsi="宋体" w:cs="宋体"/>
                <w:sz w:val="22"/>
                <w:szCs w:val="22"/>
              </w:rPr>
            </w:pPr>
            <w:r>
              <w:rPr>
                <w:rFonts w:hint="eastAsia" w:ascii="宋体" w:hAnsi="宋体" w:cs="宋体"/>
                <w:sz w:val="22"/>
                <w:szCs w:val="22"/>
              </w:rPr>
              <w:t>4</w:t>
            </w:r>
          </w:p>
        </w:tc>
      </w:tr>
    </w:tbl>
    <w:p>
      <w:pPr>
        <w:pStyle w:val="3"/>
      </w:pPr>
      <w:r>
        <w:rPr>
          <w:rFonts w:hint="eastAsia"/>
          <w:b w:val="0"/>
          <w:bCs w:val="0"/>
        </w:rPr>
        <w:t>5.3</w:t>
      </w:r>
      <w:r>
        <w:rPr>
          <w:b w:val="0"/>
          <w:bCs w:val="0"/>
        </w:rPr>
        <w:t>时间</w:t>
      </w:r>
      <w:r>
        <w:rPr>
          <w:rFonts w:hint="eastAsia"/>
          <w:b w:val="0"/>
          <w:bCs w:val="0"/>
        </w:rPr>
        <w:t>与进度安排</w:t>
      </w:r>
    </w:p>
    <w:p>
      <w:pPr>
        <w:ind w:firstLine="520"/>
      </w:pPr>
      <w:r>
        <w:rPr>
          <w:rFonts w:hint="eastAsia"/>
        </w:rPr>
        <w:t>交付期限：</w:t>
      </w:r>
      <w:r>
        <w:rPr>
          <w:rFonts w:hint="eastAsia"/>
          <w:color w:val="auto"/>
          <w:highlight w:val="none"/>
        </w:rPr>
        <w:t>自合同签订后</w:t>
      </w:r>
      <w:r>
        <w:rPr>
          <w:rFonts w:hint="eastAsia"/>
          <w:color w:val="auto"/>
          <w:highlight w:val="none"/>
          <w:lang w:val="en-US" w:eastAsia="zh-CN"/>
        </w:rPr>
        <w:t>5</w:t>
      </w:r>
      <w:r>
        <w:rPr>
          <w:rFonts w:hint="eastAsia"/>
          <w:color w:val="auto"/>
          <w:highlight w:val="none"/>
        </w:rPr>
        <w:t>月内，完成</w:t>
      </w:r>
      <w:r>
        <w:rPr>
          <w:rFonts w:hint="eastAsia"/>
        </w:rPr>
        <w:t>样机生产及全部测试，向采购方交付由具备CNAS/CMA等权威检测机构检测合格的样机，提交该样机检测报告，</w:t>
      </w:r>
      <w:r>
        <w:t>并配合</w:t>
      </w:r>
      <w:r>
        <w:rPr>
          <w:rFonts w:hint="eastAsia"/>
        </w:rPr>
        <w:t>采购方</w:t>
      </w:r>
      <w:r>
        <w:t>开展项目验收。</w:t>
      </w:r>
    </w:p>
    <w:p>
      <w:pPr>
        <w:pStyle w:val="3"/>
        <w:rPr>
          <w:b w:val="0"/>
          <w:bCs w:val="0"/>
        </w:rPr>
      </w:pPr>
      <w:r>
        <w:rPr>
          <w:rFonts w:hint="eastAsia"/>
          <w:b w:val="0"/>
          <w:bCs w:val="0"/>
        </w:rPr>
        <w:t>5.4服务要求</w:t>
      </w:r>
    </w:p>
    <w:p>
      <w:pPr>
        <w:ind w:firstLine="520"/>
      </w:pPr>
      <w:r>
        <w:rPr>
          <w:rFonts w:hint="eastAsia"/>
        </w:rPr>
        <w:t>（1）在项目实施过程中，如采购方提出设计参数、工艺优化、技术要求变更调整等要求，成交方应免费积极响应，并于72小时内给出指导意见，确保变更方案的落地性和可实施性。</w:t>
      </w:r>
    </w:p>
    <w:p>
      <w:pPr>
        <w:ind w:firstLine="520"/>
      </w:pPr>
      <w:r>
        <w:rPr>
          <w:rFonts w:hint="eastAsia"/>
        </w:rPr>
        <w:t>（2）合同签订后，成交方应指定负责本项目的项目经理，负责协调成交方在项目全过程的各项工作，如过程进度、图纸文件、制造确认、包装运输、操作指导、验收等。</w:t>
      </w:r>
    </w:p>
    <w:p>
      <w:pPr>
        <w:ind w:firstLine="520"/>
      </w:pPr>
      <w:r>
        <w:rPr>
          <w:rFonts w:hint="eastAsia"/>
        </w:rPr>
        <w:t>（3）成交方需按照采购方提供的图纸、文档资料、功能技术说明手册、技术要求及质量标准进行生产加工，保证原材料、生产加工的产品质量符合国家相关标准及采购方的技术要求，未经采购方书面同意，不得擅自更改。</w:t>
      </w:r>
    </w:p>
    <w:p>
      <w:pPr>
        <w:ind w:firstLine="520"/>
      </w:pPr>
      <w:r>
        <w:rPr>
          <w:rFonts w:hint="eastAsia"/>
        </w:rPr>
        <w:t>（4）成交方负责产品的生产、出厂试验、送检（按采购方的检测要求，由成交方将样机送至具备CNAS/CMA等权威机构检测，且检测结果合格）、售后和配送等工作，产生的所有费用均由成交方负责。</w:t>
      </w:r>
    </w:p>
    <w:p>
      <w:pPr>
        <w:ind w:firstLine="520"/>
      </w:pPr>
      <w:r>
        <w:rPr>
          <w:rFonts w:hint="eastAsia"/>
        </w:rPr>
        <w:t>（5）协助采购方准备发明专利、实用新型专利申请所需的技术材料。</w:t>
      </w:r>
    </w:p>
    <w:p>
      <w:pPr>
        <w:ind w:firstLine="520"/>
      </w:pPr>
      <w:r>
        <w:rPr>
          <w:rFonts w:hint="eastAsia"/>
        </w:rPr>
        <w:t>（6）样机在使用过程中出现的故障，成交方应在48小时内解决，对于一些紧急故障和关键问题，应在24小时内解决。</w:t>
      </w:r>
    </w:p>
    <w:p>
      <w:pPr>
        <w:ind w:firstLine="520"/>
      </w:pPr>
      <w:r>
        <w:rPr>
          <w:rFonts w:hint="eastAsia"/>
        </w:rPr>
        <w:t>（7）成交方与采购方签订保密协议，成交方必须制定保密措施，对产品加工的整个过程中都应做到安全和保密，包括但不限于因履行本合同而知悉的采购方商业秘密、工作秘密、敏感信息及其他非公开的技术和经营信息等。</w:t>
      </w:r>
    </w:p>
    <w:p>
      <w:pPr>
        <w:ind w:firstLine="520"/>
        <w:rPr>
          <w:rFonts w:hint="eastAsia" w:ascii="仿宋_GB2312" w:hAnsi="仿宋" w:eastAsia="仿宋_GB2312"/>
          <w:szCs w:val="32"/>
        </w:rPr>
      </w:pPr>
      <w:r>
        <w:rPr>
          <w:rFonts w:hint="eastAsia"/>
        </w:rPr>
        <w:t>（8）采购方对成交方的履约全过程进行跟踪、监督管理。对于成交方在合同有效期、质保期的各类失信行为实施扣分管理，具体扣分标准参照《中国南方电网有限责任公司供应商失信扣分管理细则》执行。</w:t>
      </w:r>
    </w:p>
    <w:p>
      <w:pPr>
        <w:pStyle w:val="2"/>
        <w:rPr>
          <w:rFonts w:hint="eastAsia" w:ascii="宋体" w:hAnsi="宋体" w:eastAsia="宋体" w:cs="宋体"/>
          <w:sz w:val="32"/>
          <w:szCs w:val="32"/>
        </w:rPr>
      </w:pPr>
      <w:r>
        <w:rPr>
          <w:rFonts w:hint="eastAsia" w:ascii="宋体" w:hAnsi="宋体" w:eastAsia="宋体" w:cs="宋体"/>
          <w:sz w:val="32"/>
          <w:szCs w:val="32"/>
        </w:rPr>
        <w:t>6、技术参数要求</w:t>
      </w:r>
    </w:p>
    <w:p>
      <w:pPr>
        <w:spacing w:line="380" w:lineRule="exact"/>
        <w:ind w:firstLine="480"/>
        <w:rPr>
          <w:rFonts w:hint="eastAsia" w:ascii="宋体" w:hAnsi="宋体" w:cs="宋体"/>
          <w:sz w:val="24"/>
          <w:szCs w:val="22"/>
        </w:rPr>
      </w:pPr>
      <w:r>
        <w:rPr>
          <w:rFonts w:hint="eastAsia" w:ascii="宋体" w:hAnsi="宋体" w:cs="宋体"/>
          <w:sz w:val="24"/>
          <w:szCs w:val="22"/>
        </w:rPr>
        <w:t>响应方应认真逐项填写产品技术参数和性能要求响应表中“响应方保证值”栏，填写具体的保证值，不能空格，也不能以“响应”、“符合”、“满足”等文字代替。如有差异，需逐项填写《偏差表》。</w:t>
      </w:r>
    </w:p>
    <w:p>
      <w:pPr>
        <w:spacing w:line="380" w:lineRule="exact"/>
        <w:ind w:firstLine="480"/>
        <w:jc w:val="center"/>
        <w:rPr>
          <w:rFonts w:hint="eastAsia" w:ascii="宋体" w:hAnsi="宋体" w:cs="宋体"/>
          <w:sz w:val="24"/>
          <w:szCs w:val="22"/>
        </w:rPr>
      </w:pPr>
      <w:r>
        <w:rPr>
          <w:rFonts w:hint="eastAsia" w:ascii="宋体" w:hAnsi="宋体" w:cs="宋体"/>
          <w:sz w:val="24"/>
          <w:szCs w:val="22"/>
        </w:rPr>
        <w:t>技术参数和性能要求响应表</w:t>
      </w:r>
    </w:p>
    <w:tbl>
      <w:tblPr>
        <w:tblStyle w:val="15"/>
        <w:tblW w:w="4775" w:type="pct"/>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1571"/>
        <w:gridCol w:w="2986"/>
        <w:gridCol w:w="2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549" w:type="pct"/>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序号</w:t>
            </w:r>
          </w:p>
        </w:tc>
        <w:tc>
          <w:tcPr>
            <w:tcW w:w="965" w:type="pct"/>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技术参数</w:t>
            </w:r>
          </w:p>
        </w:tc>
        <w:tc>
          <w:tcPr>
            <w:tcW w:w="1834" w:type="pct"/>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具体要求</w:t>
            </w:r>
          </w:p>
        </w:tc>
        <w:tc>
          <w:tcPr>
            <w:tcW w:w="1651" w:type="pct"/>
            <w:vAlign w:val="center"/>
          </w:tcPr>
          <w:p>
            <w:pPr>
              <w:spacing w:line="240" w:lineRule="exact"/>
              <w:ind w:firstLine="0" w:firstLineChars="0"/>
              <w:jc w:val="center"/>
              <w:rPr>
                <w:rFonts w:hint="eastAsia" w:ascii="宋体" w:hAnsi="宋体" w:cs="宋体"/>
                <w:b/>
                <w:bCs/>
                <w:sz w:val="22"/>
                <w:szCs w:val="22"/>
              </w:rPr>
            </w:pPr>
            <w:r>
              <w:rPr>
                <w:rFonts w:hint="eastAsia" w:ascii="宋体" w:hAnsi="宋体" w:cs="宋体"/>
                <w:b/>
                <w:bCs/>
                <w:sz w:val="22"/>
                <w:szCs w:val="22"/>
              </w:rPr>
              <w:t>响应方保证值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549" w:type="pct"/>
            <w:vAlign w:val="center"/>
          </w:tcPr>
          <w:p>
            <w:pPr>
              <w:ind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65"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设计适配性强、稳定性高的能源供电系统</w:t>
            </w:r>
          </w:p>
        </w:tc>
        <w:tc>
          <w:tcPr>
            <w:tcW w:w="1834"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宋体" w:hAnsi="宋体" w:cs="宋体"/>
                <w:sz w:val="24"/>
              </w:rPr>
              <w:t>★</w:t>
            </w:r>
            <w:r>
              <w:rPr>
                <w:rFonts w:hint="eastAsia" w:asciiTheme="minorEastAsia" w:hAnsiTheme="minorEastAsia" w:eastAsiaTheme="minorEastAsia" w:cstheme="minorEastAsia"/>
                <w:sz w:val="21"/>
                <w:szCs w:val="21"/>
              </w:rPr>
              <w:t>系统采用“国产高效单晶硅太阳能板+高性能宽温锂电池”的核心组合，其中太阳能板选用转换效率≥18%的国产高效单晶硅材质。</w:t>
            </w:r>
          </w:p>
        </w:tc>
        <w:tc>
          <w:tcPr>
            <w:tcW w:w="1651" w:type="pct"/>
            <w:vAlign w:val="center"/>
          </w:tcPr>
          <w:p>
            <w:pPr>
              <w:ind w:firstLine="420"/>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549" w:type="pct"/>
            <w:vAlign w:val="center"/>
          </w:tcPr>
          <w:p>
            <w:pPr>
              <w:ind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965"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能源系统设计过充、过压、欠压三重安全保护机制</w:t>
            </w:r>
          </w:p>
        </w:tc>
        <w:tc>
          <w:tcPr>
            <w:tcW w:w="1834"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宋体" w:hAnsi="宋体" w:cs="宋体"/>
                <w:sz w:val="24"/>
              </w:rPr>
              <w:t>★</w:t>
            </w:r>
            <w:r>
              <w:rPr>
                <w:rFonts w:hint="eastAsia" w:asciiTheme="minorEastAsia" w:hAnsiTheme="minorEastAsia" w:eastAsiaTheme="minorEastAsia" w:cstheme="minorEastAsia"/>
                <w:sz w:val="21"/>
                <w:szCs w:val="21"/>
              </w:rPr>
              <w:t>有效延长蓄电池使用寿命，同时适配-40℃~70℃极端温差环境。</w:t>
            </w:r>
          </w:p>
        </w:tc>
        <w:tc>
          <w:tcPr>
            <w:tcW w:w="1651" w:type="pct"/>
            <w:vAlign w:val="center"/>
          </w:tcPr>
          <w:p>
            <w:pPr>
              <w:ind w:firstLine="420"/>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549" w:type="pct"/>
            <w:vAlign w:val="center"/>
          </w:tcPr>
          <w:p>
            <w:pPr>
              <w:ind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65"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控制模块选用低功耗单片机作为核心处理器，搭配集成化智能模块</w:t>
            </w:r>
          </w:p>
        </w:tc>
        <w:tc>
          <w:tcPr>
            <w:tcW w:w="1834"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宋体" w:hAnsi="宋体" w:cs="宋体"/>
                <w:sz w:val="24"/>
              </w:rPr>
              <w:t>★</w:t>
            </w:r>
            <w:r>
              <w:rPr>
                <w:rFonts w:hint="eastAsia" w:asciiTheme="minorEastAsia" w:hAnsiTheme="minorEastAsia" w:eastAsiaTheme="minorEastAsia" w:cstheme="minorEastAsia"/>
                <w:sz w:val="21"/>
                <w:szCs w:val="21"/>
              </w:rPr>
              <w:t>重点开发集成光感、时控、北斗同步三大核心功能，其中光感模块能自动识别环境光照强度，精准触发昼夜模式切换；北斗同步功能可实现多灯组同频闪烁，解决因多塔警示灯闪烁不同步导致的低空飞行误判隐患，提升警示准确性。</w:t>
            </w:r>
          </w:p>
        </w:tc>
        <w:tc>
          <w:tcPr>
            <w:tcW w:w="1651" w:type="pct"/>
            <w:vAlign w:val="center"/>
          </w:tcPr>
          <w:p>
            <w:pPr>
              <w:ind w:firstLine="420"/>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549" w:type="pct"/>
            <w:vAlign w:val="center"/>
          </w:tcPr>
          <w:p>
            <w:pPr>
              <w:ind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965"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采用动态爆闪与声光联动模式结合的警示方式，实现动态警示</w:t>
            </w:r>
          </w:p>
        </w:tc>
        <w:tc>
          <w:tcPr>
            <w:tcW w:w="1834"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宋体" w:hAnsi="宋体" w:cs="宋体"/>
                <w:sz w:val="24"/>
              </w:rPr>
              <w:t>★</w:t>
            </w:r>
            <w:r>
              <w:rPr>
                <w:rFonts w:hint="eastAsia" w:asciiTheme="minorEastAsia" w:hAnsiTheme="minorEastAsia" w:eastAsiaTheme="minorEastAsia" w:cstheme="minorEastAsia"/>
                <w:sz w:val="21"/>
                <w:szCs w:val="21"/>
              </w:rPr>
              <w:t>夜间识别距离达500m以上，较传统常亮模式提升3倍，且可根据低空飞行轨迹定向触发强化警示，大幅提升警示效果。同时支持光强、闪烁频率远程调节，通过4G通讯模块实现远程操控，可根据铁塔高度（10-100米不同区间）、低空飞行场景差异（如机场周边、航线附近），精准调整参数，适配不同场景的警示需求。</w:t>
            </w:r>
          </w:p>
        </w:tc>
        <w:tc>
          <w:tcPr>
            <w:tcW w:w="1651" w:type="pct"/>
            <w:vAlign w:val="center"/>
          </w:tcPr>
          <w:p>
            <w:pPr>
              <w:ind w:firstLine="420"/>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49" w:type="pct"/>
            <w:vAlign w:val="center"/>
          </w:tcPr>
          <w:p>
            <w:pPr>
              <w:ind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965"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内置故障检测模块及远程监控系统</w:t>
            </w:r>
          </w:p>
        </w:tc>
        <w:tc>
          <w:tcPr>
            <w:tcW w:w="1834"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可实时检测太阳能板、蓄电池、警示装置等核心元器件的运行状态，实现故障提前预警，响应时间在2小时以内，大幅提升电力设施安全防护的智能化水平。</w:t>
            </w:r>
          </w:p>
        </w:tc>
        <w:tc>
          <w:tcPr>
            <w:tcW w:w="1651" w:type="pct"/>
            <w:vAlign w:val="center"/>
          </w:tcPr>
          <w:p>
            <w:pPr>
              <w:ind w:firstLine="420"/>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49" w:type="pct"/>
            <w:vAlign w:val="center"/>
          </w:tcPr>
          <w:p>
            <w:pPr>
              <w:ind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965"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优化结构与防护设计，突破高适配性、高防护性及智能运维技术瓶颈，确保装置适配各类复杂场景并降低运维成本</w:t>
            </w:r>
          </w:p>
        </w:tc>
        <w:tc>
          <w:tcPr>
            <w:tcW w:w="1834"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宋体" w:hAnsi="宋体" w:cs="宋体"/>
                <w:sz w:val="24"/>
              </w:rPr>
              <w:t>★</w:t>
            </w:r>
            <w:r>
              <w:rPr>
                <w:rFonts w:hint="eastAsia" w:asciiTheme="minorEastAsia" w:hAnsiTheme="minorEastAsia" w:eastAsiaTheme="minorEastAsia" w:cstheme="minorEastAsia"/>
                <w:sz w:val="21"/>
                <w:szCs w:val="21"/>
              </w:rPr>
              <w:t>创新采用自适应结构设计，可兼容90%以上规格的电力铁塔，无需针对不同铁塔规格定制安装支架，通用性极强；模块化安装设计，兼容各类铁塔角钢支架，无需铺设外接线路，可快速完成安装调试。</w:t>
            </w:r>
          </w:p>
        </w:tc>
        <w:tc>
          <w:tcPr>
            <w:tcW w:w="1651" w:type="pct"/>
            <w:vAlign w:val="center"/>
          </w:tcPr>
          <w:p>
            <w:pPr>
              <w:ind w:firstLine="420"/>
              <w:jc w:val="center"/>
              <w:rPr>
                <w:rFonts w:hint="eastAsia"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549" w:type="pct"/>
            <w:vAlign w:val="center"/>
          </w:tcPr>
          <w:p>
            <w:pPr>
              <w:ind w:firstLine="0" w:firstLineChars="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965"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具备自动清洁功能</w:t>
            </w:r>
          </w:p>
        </w:tc>
        <w:tc>
          <w:tcPr>
            <w:tcW w:w="1834" w:type="pct"/>
            <w:vAlign w:val="center"/>
          </w:tcPr>
          <w:p>
            <w:pPr>
              <w:spacing w:line="240" w:lineRule="exact"/>
              <w:ind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可自动清除灯体表面的灰尘、杂物，避免灰尘遮挡影响警示效果。</w:t>
            </w:r>
          </w:p>
        </w:tc>
        <w:tc>
          <w:tcPr>
            <w:tcW w:w="1651" w:type="pct"/>
            <w:vAlign w:val="center"/>
          </w:tcPr>
          <w:p>
            <w:pPr>
              <w:ind w:firstLine="420"/>
              <w:jc w:val="center"/>
              <w:rPr>
                <w:rFonts w:hint="eastAsia" w:asciiTheme="minorEastAsia" w:hAnsiTheme="minorEastAsia" w:eastAsiaTheme="minorEastAsia" w:cstheme="minorEastAsia"/>
                <w:sz w:val="21"/>
                <w:szCs w:val="21"/>
              </w:rPr>
            </w:pPr>
          </w:p>
        </w:tc>
      </w:tr>
    </w:tbl>
    <w:p>
      <w:pPr>
        <w:pStyle w:val="2"/>
        <w:rPr>
          <w:rFonts w:hint="eastAsia" w:ascii="宋体" w:hAnsi="宋体" w:eastAsia="宋体" w:cs="宋体"/>
          <w:sz w:val="32"/>
          <w:szCs w:val="32"/>
        </w:rPr>
      </w:pPr>
      <w:r>
        <w:rPr>
          <w:rFonts w:hint="eastAsia" w:ascii="宋体" w:hAnsi="宋体" w:eastAsia="宋体" w:cs="宋体"/>
          <w:sz w:val="32"/>
          <w:szCs w:val="32"/>
        </w:rPr>
        <w:t>7、试验要求</w:t>
      </w:r>
    </w:p>
    <w:p>
      <w:pPr>
        <w:pStyle w:val="3"/>
        <w:rPr>
          <w:b w:val="0"/>
          <w:bCs w:val="0"/>
        </w:rPr>
      </w:pPr>
      <w:r>
        <w:rPr>
          <w:rFonts w:hint="eastAsia"/>
          <w:b w:val="0"/>
          <w:bCs w:val="0"/>
        </w:rPr>
        <w:t>7.1试验</w:t>
      </w:r>
    </w:p>
    <w:p>
      <w:pPr>
        <w:ind w:firstLine="520"/>
      </w:pPr>
      <w:r>
        <w:rPr>
          <w:rFonts w:hint="eastAsia"/>
        </w:rPr>
        <w:t>（1）成交方在加工生产过程中，应对样机的部件、组装、工艺、整体以及功能进行试验和检查，以保证完全符合本规范书和已确认的设计图纸的要求。</w:t>
      </w:r>
    </w:p>
    <w:p>
      <w:pPr>
        <w:ind w:firstLine="520"/>
      </w:pPr>
      <w:r>
        <w:rPr>
          <w:rFonts w:hint="eastAsia"/>
        </w:rPr>
        <w:t>（2）采购方有权在任何时候对产品的质量管理情况，包括产品试验的记录进行检查。</w:t>
      </w:r>
    </w:p>
    <w:p>
      <w:pPr>
        <w:ind w:firstLine="520"/>
      </w:pPr>
      <w:r>
        <w:rPr>
          <w:rFonts w:hint="eastAsia"/>
        </w:rPr>
        <w:t>（3）在试验、检查过程中，如发现任何不符合本规范书要求的零部件，成交方都必须及时更换，由此引起的任何费用都应由成交方承担。</w:t>
      </w:r>
    </w:p>
    <w:p>
      <w:pPr>
        <w:ind w:firstLine="520"/>
      </w:pPr>
      <w:r>
        <w:rPr>
          <w:rFonts w:hint="eastAsia"/>
        </w:rPr>
        <w:t>（4）成交方应进行工厂试验、工厂验收试验和协助现场试验。</w:t>
      </w:r>
    </w:p>
    <w:p>
      <w:pPr>
        <w:pStyle w:val="3"/>
        <w:rPr>
          <w:b w:val="0"/>
          <w:bCs w:val="0"/>
        </w:rPr>
      </w:pPr>
      <w:r>
        <w:rPr>
          <w:rFonts w:hint="eastAsia"/>
          <w:b w:val="0"/>
          <w:bCs w:val="0"/>
        </w:rPr>
        <w:t>7.2出厂检验</w:t>
      </w:r>
    </w:p>
    <w:p>
      <w:pPr>
        <w:ind w:firstLine="520"/>
      </w:pPr>
      <w:r>
        <w:rPr>
          <w:rFonts w:hint="eastAsia"/>
        </w:rPr>
        <w:t>（1）样机出厂前应由成交方在正常试验条件下按规定进行例行检验，检验合格后，附有合格证，方可允许出厂。</w:t>
      </w:r>
    </w:p>
    <w:p>
      <w:pPr>
        <w:ind w:firstLine="520"/>
      </w:pPr>
      <w:r>
        <w:rPr>
          <w:rFonts w:hint="eastAsia"/>
        </w:rPr>
        <w:t>（2）为保证项目进度，确保产品满足技术规范书的性能指标要求，采购方将保留参加成交方的出厂检验的权力，成交方应予配合。</w:t>
      </w:r>
    </w:p>
    <w:p>
      <w:pPr>
        <w:numPr>
          <w:ilvl w:val="0"/>
          <w:numId w:val="1"/>
        </w:numPr>
        <w:ind w:firstLine="520"/>
      </w:pPr>
      <w:r>
        <w:rPr>
          <w:rFonts w:hint="eastAsia"/>
        </w:rPr>
        <w:t>出厂检验内容如下：</w:t>
      </w:r>
    </w:p>
    <w:tbl>
      <w:tblPr>
        <w:tblStyle w:val="26"/>
        <w:tblW w:w="7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82"/>
        <w:gridCol w:w="1483"/>
        <w:gridCol w:w="56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82"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cs="宋体"/>
                <w:b/>
                <w:sz w:val="21"/>
                <w:szCs w:val="21"/>
              </w:rPr>
            </w:pPr>
            <w:r>
              <w:rPr>
                <w:rFonts w:hint="eastAsia" w:ascii="宋体" w:hAnsi="宋体" w:cs="宋体"/>
                <w:b/>
                <w:sz w:val="21"/>
                <w:szCs w:val="21"/>
              </w:rPr>
              <w:t>序号</w:t>
            </w:r>
          </w:p>
        </w:tc>
        <w:tc>
          <w:tcPr>
            <w:tcW w:w="1483" w:type="dxa"/>
            <w:tcBorders>
              <w:top w:val="single" w:color="auto" w:sz="4" w:space="0"/>
              <w:left w:val="single" w:color="auto" w:sz="4" w:space="0"/>
              <w:bottom w:val="single" w:color="auto" w:sz="4" w:space="0"/>
              <w:right w:val="single" w:color="auto" w:sz="4" w:space="0"/>
            </w:tcBorders>
            <w:vAlign w:val="center"/>
          </w:tcPr>
          <w:p>
            <w:pPr>
              <w:pStyle w:val="21"/>
              <w:spacing w:line="240" w:lineRule="exact"/>
              <w:rPr>
                <w:rFonts w:hint="eastAsia" w:ascii="宋体" w:hAnsi="宋体" w:cs="宋体"/>
                <w:b/>
                <w:bCs w:val="0"/>
                <w:sz w:val="21"/>
              </w:rPr>
            </w:pPr>
            <w:r>
              <w:rPr>
                <w:rFonts w:hint="eastAsia" w:ascii="宋体" w:hAnsi="宋体" w:cs="宋体"/>
                <w:b/>
                <w:bCs w:val="0"/>
                <w:sz w:val="21"/>
              </w:rPr>
              <w:t>出厂试验项目</w:t>
            </w:r>
          </w:p>
        </w:tc>
        <w:tc>
          <w:tcPr>
            <w:tcW w:w="5653" w:type="dxa"/>
            <w:tcBorders>
              <w:top w:val="single" w:color="auto" w:sz="4" w:space="0"/>
              <w:left w:val="single" w:color="auto" w:sz="4" w:space="0"/>
              <w:bottom w:val="single" w:color="auto" w:sz="4" w:space="0"/>
              <w:right w:val="single" w:color="auto" w:sz="4" w:space="0"/>
            </w:tcBorders>
            <w:vAlign w:val="center"/>
          </w:tcPr>
          <w:p>
            <w:pPr>
              <w:pStyle w:val="21"/>
              <w:rPr>
                <w:rFonts w:hint="eastAsia" w:ascii="宋体" w:hAnsi="宋体" w:cs="宋体"/>
                <w:b/>
                <w:bCs w:val="0"/>
                <w:sz w:val="21"/>
              </w:rPr>
            </w:pPr>
            <w:r>
              <w:rPr>
                <w:rFonts w:hint="eastAsia" w:ascii="宋体" w:hAnsi="宋体" w:cs="宋体"/>
                <w:b/>
                <w:bCs w:val="0"/>
                <w:sz w:val="21"/>
              </w:rPr>
              <w:t>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82"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w:t>
            </w:r>
          </w:p>
        </w:tc>
        <w:tc>
          <w:tcPr>
            <w:tcW w:w="1483"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盐雾腐蚀测试</w:t>
            </w:r>
          </w:p>
        </w:tc>
        <w:tc>
          <w:tcPr>
            <w:tcW w:w="5653"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爆闪灯防护等级达IP65。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682"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w:t>
            </w:r>
          </w:p>
        </w:tc>
        <w:tc>
          <w:tcPr>
            <w:tcW w:w="1483"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感光度检测</w:t>
            </w:r>
          </w:p>
        </w:tc>
        <w:tc>
          <w:tcPr>
            <w:tcW w:w="5653"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能自动识别环境光照强度，精准触发昼夜模式切换，</w:t>
            </w:r>
            <w:r>
              <w:rPr>
                <w:rFonts w:hint="eastAsia" w:asciiTheme="minorEastAsia" w:hAnsiTheme="minorEastAsia" w:eastAsiaTheme="minorEastAsia" w:cstheme="minorEastAsia"/>
                <w:bCs/>
                <w:sz w:val="21"/>
                <w:szCs w:val="21"/>
              </w:rPr>
              <w:t>夜间识别距离达500m以上，同时</w:t>
            </w:r>
            <w:r>
              <w:rPr>
                <w:rFonts w:hint="eastAsia" w:asciiTheme="minorEastAsia" w:hAnsiTheme="minorEastAsia" w:eastAsiaTheme="minorEastAsia" w:cstheme="minorEastAsia"/>
                <w:sz w:val="21"/>
                <w:szCs w:val="21"/>
              </w:rPr>
              <w:t>可实现多灯组同频闪烁。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jc w:val="center"/>
        </w:trPr>
        <w:tc>
          <w:tcPr>
            <w:tcW w:w="682"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w:t>
            </w:r>
          </w:p>
        </w:tc>
        <w:tc>
          <w:tcPr>
            <w:tcW w:w="1483" w:type="dxa"/>
            <w:tcBorders>
              <w:top w:val="single" w:color="auto" w:sz="4" w:space="0"/>
              <w:left w:val="single" w:color="auto" w:sz="4" w:space="0"/>
              <w:bottom w:val="single" w:color="auto" w:sz="4" w:space="0"/>
              <w:right w:val="single" w:color="auto" w:sz="4" w:space="0"/>
            </w:tcBorders>
            <w:vAlign w:val="center"/>
          </w:tcPr>
          <w:p>
            <w:pPr>
              <w:spacing w:line="240" w:lineRule="exact"/>
              <w:ind w:firstLine="0" w:firstLineChars="0"/>
              <w:jc w:val="center"/>
              <w:rPr>
                <w:rFonts w:hint="eastAsia" w:asciiTheme="minorEastAsia" w:hAnsiTheme="minorEastAsia" w:eastAsiaTheme="minorEastAsia" w:cstheme="minorEastAsia"/>
                <w:bCs/>
                <w:color w:val="000000"/>
                <w:kern w:val="0"/>
                <w:sz w:val="21"/>
                <w:szCs w:val="21"/>
                <w:lang w:bidi="ar"/>
              </w:rPr>
            </w:pPr>
            <w:r>
              <w:rPr>
                <w:rFonts w:hint="eastAsia" w:asciiTheme="minorEastAsia" w:hAnsiTheme="minorEastAsia" w:eastAsiaTheme="minorEastAsia" w:cstheme="minorEastAsia"/>
                <w:bCs/>
                <w:color w:val="000000"/>
                <w:kern w:val="0"/>
                <w:sz w:val="21"/>
                <w:szCs w:val="21"/>
                <w:lang w:bidi="ar"/>
              </w:rPr>
              <w:t>老化试验</w:t>
            </w:r>
          </w:p>
        </w:tc>
        <w:tc>
          <w:tcPr>
            <w:tcW w:w="5653"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hint="eastAsia" w:asciiTheme="minorEastAsia" w:hAnsiTheme="minorEastAsia" w:eastAsiaTheme="minorEastAsia" w:cstheme="minorEastAsia"/>
                <w:bCs/>
                <w:kern w:val="0"/>
                <w:sz w:val="21"/>
                <w:szCs w:val="21"/>
                <w:lang w:bidi="ar"/>
              </w:rPr>
            </w:pPr>
            <w:r>
              <w:rPr>
                <w:rFonts w:hint="eastAsia" w:asciiTheme="minorEastAsia" w:hAnsiTheme="minorEastAsia" w:eastAsiaTheme="minorEastAsia" w:cstheme="minorEastAsia"/>
                <w:bCs/>
                <w:kern w:val="0"/>
                <w:sz w:val="21"/>
                <w:szCs w:val="21"/>
                <w:lang w:bidi="ar"/>
              </w:rPr>
              <w:t>满足国家相关标准与本项目需求。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82"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w:t>
            </w:r>
          </w:p>
        </w:tc>
        <w:tc>
          <w:tcPr>
            <w:tcW w:w="1483" w:type="dxa"/>
            <w:vMerge w:val="restart"/>
            <w:tcBorders>
              <w:top w:val="single" w:color="auto" w:sz="4" w:space="0"/>
              <w:left w:val="single" w:color="auto" w:sz="4" w:space="0"/>
              <w:right w:val="single" w:color="auto" w:sz="4" w:space="0"/>
            </w:tcBorders>
            <w:vAlign w:val="center"/>
          </w:tcPr>
          <w:p>
            <w:pPr>
              <w:spacing w:line="240" w:lineRule="exact"/>
              <w:ind w:firstLine="0" w:firstLineChars="0"/>
              <w:jc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综合测试</w:t>
            </w:r>
          </w:p>
        </w:tc>
        <w:tc>
          <w:tcPr>
            <w:tcW w:w="5653"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国产高效单晶硅太阳能板选用转换效率≥18%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82"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c>
          <w:tcPr>
            <w:tcW w:w="1483" w:type="dxa"/>
            <w:vMerge w:val="continue"/>
            <w:tcBorders>
              <w:left w:val="single" w:color="auto" w:sz="4" w:space="0"/>
              <w:right w:val="single" w:color="auto" w:sz="4" w:space="0"/>
            </w:tcBorders>
            <w:vAlign w:val="center"/>
          </w:tcPr>
          <w:p>
            <w:pPr>
              <w:spacing w:line="240" w:lineRule="exact"/>
              <w:ind w:firstLine="0" w:firstLineChars="0"/>
              <w:jc w:val="center"/>
              <w:rPr>
                <w:rFonts w:hint="eastAsia" w:asciiTheme="minorEastAsia" w:hAnsiTheme="minorEastAsia" w:eastAsiaTheme="minorEastAsia" w:cstheme="minorEastAsia"/>
                <w:color w:val="000000"/>
                <w:kern w:val="0"/>
                <w:sz w:val="21"/>
                <w:szCs w:val="21"/>
                <w:lang w:bidi="ar"/>
              </w:rPr>
            </w:pPr>
          </w:p>
        </w:tc>
        <w:tc>
          <w:tcPr>
            <w:tcW w:w="5653"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充放电测试，通过太阳能与宽温锂电池技术的结合，极端天气下保障装置在连续15-20天阴雨天仍能正常运行，同时适配-40℃~70℃极端温差环境。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82"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w:t>
            </w:r>
          </w:p>
        </w:tc>
        <w:tc>
          <w:tcPr>
            <w:tcW w:w="1483" w:type="dxa"/>
            <w:vMerge w:val="continue"/>
            <w:tcBorders>
              <w:left w:val="single" w:color="auto" w:sz="4" w:space="0"/>
              <w:right w:val="single" w:color="auto" w:sz="4" w:space="0"/>
            </w:tcBorders>
            <w:vAlign w:val="center"/>
          </w:tcPr>
          <w:p>
            <w:pPr>
              <w:spacing w:line="240" w:lineRule="exact"/>
              <w:ind w:firstLine="0" w:firstLineChars="0"/>
              <w:jc w:val="center"/>
              <w:rPr>
                <w:rFonts w:hint="eastAsia" w:asciiTheme="minorEastAsia" w:hAnsiTheme="minorEastAsia" w:eastAsiaTheme="minorEastAsia" w:cstheme="minorEastAsia"/>
                <w:color w:val="000000"/>
                <w:kern w:val="0"/>
                <w:sz w:val="21"/>
                <w:szCs w:val="21"/>
                <w:lang w:bidi="ar"/>
              </w:rPr>
            </w:pPr>
          </w:p>
        </w:tc>
        <w:tc>
          <w:tcPr>
            <w:tcW w:w="5653"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故障检测模块及远程监控系统测试，可实时检测太阳能板、蓄电池、警示装置等核心元器件的运行状态，实现故障提前预警。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82"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7</w:t>
            </w:r>
          </w:p>
        </w:tc>
        <w:tc>
          <w:tcPr>
            <w:tcW w:w="1483" w:type="dxa"/>
            <w:vMerge w:val="continue"/>
            <w:tcBorders>
              <w:left w:val="single" w:color="auto" w:sz="4" w:space="0"/>
              <w:right w:val="single" w:color="auto" w:sz="4" w:space="0"/>
            </w:tcBorders>
            <w:vAlign w:val="center"/>
          </w:tcPr>
          <w:p>
            <w:pPr>
              <w:spacing w:line="240" w:lineRule="exact"/>
              <w:ind w:firstLine="0" w:firstLineChars="0"/>
              <w:jc w:val="center"/>
              <w:rPr>
                <w:rFonts w:hint="eastAsia" w:asciiTheme="minorEastAsia" w:hAnsiTheme="minorEastAsia" w:eastAsiaTheme="minorEastAsia" w:cstheme="minorEastAsia"/>
                <w:color w:val="000000"/>
                <w:kern w:val="0"/>
                <w:sz w:val="21"/>
                <w:szCs w:val="21"/>
                <w:lang w:bidi="ar"/>
              </w:rPr>
            </w:pPr>
          </w:p>
        </w:tc>
        <w:tc>
          <w:tcPr>
            <w:tcW w:w="5653"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自动清洁功能测试，</w:t>
            </w:r>
            <w:r>
              <w:rPr>
                <w:rFonts w:hint="eastAsia" w:asciiTheme="minorEastAsia" w:hAnsiTheme="minorEastAsia" w:eastAsiaTheme="minorEastAsia" w:cstheme="minorEastAsia"/>
                <w:sz w:val="21"/>
                <w:szCs w:val="21"/>
              </w:rPr>
              <w:t>可自动清除灯体表面的灰尘、杂物。</w:t>
            </w:r>
          </w:p>
        </w:tc>
      </w:tr>
    </w:tbl>
    <w:p>
      <w:pPr>
        <w:pStyle w:val="3"/>
        <w:rPr>
          <w:b w:val="0"/>
          <w:bCs w:val="0"/>
        </w:rPr>
      </w:pPr>
      <w:r>
        <w:rPr>
          <w:rFonts w:hint="eastAsia"/>
          <w:b w:val="0"/>
          <w:bCs w:val="0"/>
        </w:rPr>
        <w:t>7.3现场验收试验</w:t>
      </w:r>
    </w:p>
    <w:p>
      <w:pPr>
        <w:ind w:firstLine="520"/>
      </w:pPr>
      <w:r>
        <w:rPr>
          <w:rFonts w:hint="eastAsia"/>
        </w:rPr>
        <w:t>（1）成交方应确认提供的加工样机满足采购方的要求。</w:t>
      </w:r>
    </w:p>
    <w:p>
      <w:pPr>
        <w:ind w:firstLine="520"/>
      </w:pPr>
      <w:r>
        <w:rPr>
          <w:rFonts w:hint="eastAsia"/>
        </w:rPr>
        <w:t>（2）成交方应向采购方提供出厂检验报告，第三方委托检验报告。</w:t>
      </w:r>
    </w:p>
    <w:p>
      <w:pPr>
        <w:ind w:firstLine="520"/>
      </w:pPr>
      <w:r>
        <w:rPr>
          <w:rFonts w:hint="eastAsia"/>
        </w:rPr>
        <w:t>（3）在工厂验收试验期间，成交方应向采购方参加试验的工作人员提供检查、测试和记录设备。</w:t>
      </w:r>
    </w:p>
    <w:p>
      <w:pPr>
        <w:ind w:firstLine="520"/>
        <w:rPr>
          <w:rFonts w:hint="eastAsia" w:ascii="仿宋_GB2312" w:hAnsi="仿宋" w:eastAsia="仿宋_GB2312"/>
          <w:szCs w:val="32"/>
        </w:rPr>
      </w:pPr>
      <w:r>
        <w:rPr>
          <w:rFonts w:hint="eastAsia"/>
        </w:rPr>
        <w:t>（4</w:t>
      </w:r>
      <w:bookmarkStart w:id="4" w:name="_GoBack"/>
      <w:r>
        <w:rPr>
          <w:rFonts w:hint="eastAsia"/>
        </w:rPr>
        <w:t>）</w:t>
      </w:r>
      <w:r>
        <w:rPr>
          <w:rFonts w:hint="eastAsia" w:ascii="Times New Roman"/>
        </w:rPr>
        <w:t>采购方代表参与交货前检验及签署交货前检验记录的行为，不视为对合同设备质量的确认，不影响成交方交货后采购方依照合同约定对合同设备提出质量异议和（或）退货的权利，也不免除成交方依照合同约定对合同设备所应承担的任何义务或</w:t>
      </w:r>
      <w:bookmarkEnd w:id="4"/>
      <w:r>
        <w:rPr>
          <w:rFonts w:hint="eastAsia" w:ascii="Times New Roman"/>
        </w:rPr>
        <w:t>责任。</w:t>
      </w:r>
    </w:p>
    <w:p>
      <w:pPr>
        <w:pStyle w:val="2"/>
        <w:rPr>
          <w:rFonts w:hint="eastAsia" w:ascii="宋体" w:hAnsi="宋体" w:eastAsia="宋体" w:cs="宋体"/>
          <w:sz w:val="32"/>
          <w:szCs w:val="32"/>
        </w:rPr>
      </w:pPr>
      <w:r>
        <w:rPr>
          <w:rFonts w:hint="eastAsia" w:ascii="宋体" w:hAnsi="宋体" w:eastAsia="宋体" w:cs="宋体"/>
          <w:sz w:val="32"/>
          <w:szCs w:val="32"/>
        </w:rPr>
        <w:t>8、包装、运输和储存</w:t>
      </w:r>
    </w:p>
    <w:p>
      <w:pPr>
        <w:pStyle w:val="3"/>
        <w:rPr>
          <w:b w:val="0"/>
          <w:bCs w:val="0"/>
        </w:rPr>
      </w:pPr>
      <w:r>
        <w:rPr>
          <w:rFonts w:hint="eastAsia"/>
          <w:b w:val="0"/>
          <w:bCs w:val="0"/>
        </w:rPr>
        <w:t>8</w:t>
      </w:r>
      <w:r>
        <w:rPr>
          <w:b w:val="0"/>
          <w:bCs w:val="0"/>
        </w:rPr>
        <w:t>.1包装</w:t>
      </w:r>
    </w:p>
    <w:p>
      <w:pPr>
        <w:ind w:firstLine="520"/>
        <w:rPr>
          <w:rFonts w:hint="eastAsia" w:eastAsia="宋体"/>
        </w:rPr>
      </w:pPr>
      <w:r>
        <w:rPr>
          <w:rFonts w:hint="eastAsia" w:eastAsia="宋体"/>
        </w:rPr>
        <w:t>（1）包装材料应清洁、干燥，酸碱性应符合中性材料包装要求。</w:t>
      </w:r>
    </w:p>
    <w:p>
      <w:pPr>
        <w:ind w:firstLine="520"/>
        <w:rPr>
          <w:rFonts w:hint="eastAsia" w:eastAsia="宋体"/>
        </w:rPr>
      </w:pPr>
      <w:r>
        <w:rPr>
          <w:rFonts w:hint="eastAsia" w:eastAsia="宋体"/>
        </w:rPr>
        <w:t>（2）每把锁应按规定的配件配齐，并附有产品使用说明书、合格标记。</w:t>
      </w:r>
    </w:p>
    <w:p>
      <w:pPr>
        <w:ind w:firstLine="520"/>
        <w:rPr>
          <w:rFonts w:hint="eastAsia" w:eastAsia="宋体"/>
        </w:rPr>
      </w:pPr>
      <w:r>
        <w:rPr>
          <w:rFonts w:hint="eastAsia" w:eastAsia="宋体"/>
        </w:rPr>
        <w:t>（3）外包装应有足够的强度确保其在运输途中产品不受到损坏和划伤。</w:t>
      </w:r>
    </w:p>
    <w:p>
      <w:pPr>
        <w:pStyle w:val="3"/>
        <w:rPr>
          <w:b w:val="0"/>
          <w:bCs w:val="0"/>
        </w:rPr>
      </w:pPr>
      <w:r>
        <w:rPr>
          <w:rFonts w:hint="eastAsia"/>
          <w:b w:val="0"/>
          <w:bCs w:val="0"/>
        </w:rPr>
        <w:t>8.2运输</w:t>
      </w:r>
    </w:p>
    <w:p>
      <w:pPr>
        <w:ind w:firstLine="520"/>
      </w:pPr>
      <w:r>
        <w:rPr>
          <w:rFonts w:hint="eastAsia"/>
        </w:rPr>
        <w:t>包装好的产品应能确保汽车、火车、飞机和轮船运输中的安全，运输包装应符合搬运要求。</w:t>
      </w:r>
    </w:p>
    <w:p>
      <w:pPr>
        <w:pStyle w:val="3"/>
        <w:rPr>
          <w:b w:val="0"/>
          <w:bCs w:val="0"/>
        </w:rPr>
      </w:pPr>
      <w:r>
        <w:rPr>
          <w:rFonts w:hint="eastAsia"/>
          <w:b w:val="0"/>
          <w:bCs w:val="0"/>
        </w:rPr>
        <w:t>8.3储存</w:t>
      </w:r>
    </w:p>
    <w:p>
      <w:pPr>
        <w:ind w:firstLine="520"/>
        <w:rPr>
          <w:rFonts w:hint="eastAsia" w:ascii="仿宋_GB2312" w:hAnsi="仿宋" w:eastAsia="仿宋_GB2312"/>
          <w:szCs w:val="32"/>
        </w:rPr>
      </w:pPr>
      <w:r>
        <w:rPr>
          <w:rFonts w:hint="eastAsia"/>
        </w:rPr>
        <w:t>产品应贮存在空气干燥，周围无腐蚀性气体的仓库内，且应有防潮或防雨措施，放置在离地面20cm以上的环境中。</w:t>
      </w:r>
    </w:p>
    <w:p>
      <w:pPr>
        <w:pStyle w:val="2"/>
        <w:rPr>
          <w:rFonts w:hint="eastAsia" w:ascii="宋体" w:hAnsi="宋体" w:eastAsia="宋体" w:cs="宋体"/>
          <w:sz w:val="32"/>
          <w:szCs w:val="32"/>
        </w:rPr>
      </w:pPr>
      <w:r>
        <w:rPr>
          <w:rFonts w:hint="eastAsia" w:ascii="宋体" w:hAnsi="宋体" w:eastAsia="宋体" w:cs="宋体"/>
          <w:sz w:val="32"/>
          <w:szCs w:val="32"/>
        </w:rPr>
        <w:t>9、质保期</w:t>
      </w:r>
    </w:p>
    <w:p>
      <w:pPr>
        <w:ind w:firstLine="520"/>
        <w:rPr>
          <w:rFonts w:hint="eastAsia" w:eastAsia="宋体"/>
        </w:rPr>
      </w:pPr>
      <w:r>
        <w:rPr>
          <w:rFonts w:hint="eastAsia" w:eastAsia="宋体"/>
        </w:rPr>
        <w:t>（1）产品的质保期为采购方签收后，经采购方、成交方双方签字之日起算，质保年限不少于3年；产品在合同规定的质保期内，发生非人为损坏和缺陷，或者由于产品缺陷、材料、工艺、制造、装配等原因造成的损坏，或是不满足合同的要求，采购方将用书面方式通知成交方，成交方应立即免费维修或更换这些有损坏和有缺陷的产品（包括运输费、税收等）。</w:t>
      </w:r>
    </w:p>
    <w:p>
      <w:pPr>
        <w:ind w:firstLine="520"/>
        <w:rPr>
          <w:rFonts w:hint="eastAsia" w:eastAsia="宋体"/>
        </w:rPr>
      </w:pPr>
      <w:r>
        <w:rPr>
          <w:rFonts w:hint="eastAsia" w:eastAsia="宋体"/>
        </w:rPr>
        <w:t>（2）在接到采购方通知后，成交方虽经努力改进，但仍不满足合同要求，则采购方可按合同处理或更换样机，由此引起的一切费用由成交方承担。</w:t>
      </w:r>
    </w:p>
    <w:p>
      <w:pPr>
        <w:ind w:firstLine="520"/>
        <w:rPr>
          <w:rFonts w:hint="eastAsia" w:eastAsia="宋体"/>
        </w:rPr>
      </w:pPr>
      <w:r>
        <w:rPr>
          <w:rFonts w:hint="eastAsia" w:eastAsia="宋体"/>
        </w:rPr>
        <w:t>（3）当样机出现故障时，成交方应在接到采购方通知的48小时内派人到现场处理。</w:t>
      </w:r>
    </w:p>
    <w:p>
      <w:pPr>
        <w:ind w:firstLine="520"/>
        <w:rPr>
          <w:rFonts w:hint="eastAsia" w:eastAsia="宋体"/>
        </w:rPr>
      </w:pPr>
      <w:r>
        <w:rPr>
          <w:rFonts w:hint="eastAsia" w:eastAsia="宋体"/>
        </w:rPr>
        <w:t>（4）在质保期内，由于成交方产品质量问题而需要更换和修复的任何部件及维修费用由成交方承担。</w:t>
      </w:r>
    </w:p>
    <w:p>
      <w:pPr>
        <w:ind w:firstLine="520"/>
        <w:rPr>
          <w:rFonts w:hint="eastAsia" w:eastAsia="宋体"/>
        </w:rPr>
      </w:pPr>
      <w:r>
        <w:rPr>
          <w:rFonts w:hint="eastAsia" w:eastAsia="宋体"/>
        </w:rPr>
        <w:t>（5）提供7×24小时技术支持服务，指定相对固定的技术负责人及联络电话、传真、e-mail等。</w:t>
      </w:r>
    </w:p>
    <w:p>
      <w:pPr>
        <w:pStyle w:val="2"/>
        <w:rPr>
          <w:rFonts w:hint="eastAsia" w:ascii="宋体" w:hAnsi="宋体" w:eastAsia="宋体" w:cs="宋体"/>
          <w:sz w:val="32"/>
          <w:szCs w:val="32"/>
        </w:rPr>
      </w:pPr>
      <w:r>
        <w:rPr>
          <w:rFonts w:hint="eastAsia" w:ascii="宋体" w:hAnsi="宋体" w:eastAsia="宋体" w:cs="宋体"/>
          <w:sz w:val="32"/>
          <w:szCs w:val="32"/>
        </w:rPr>
        <w:t>10、安全管理要求</w:t>
      </w:r>
    </w:p>
    <w:p>
      <w:pPr>
        <w:ind w:firstLine="520"/>
        <w:rPr>
          <w:rFonts w:hint="eastAsia" w:eastAsia="宋体"/>
        </w:rPr>
      </w:pPr>
      <w:r>
        <w:rPr>
          <w:rFonts w:hint="eastAsia" w:eastAsia="宋体"/>
        </w:rPr>
        <w:t>（1）成交方需贯彻落实“安全第一，预防为主”的方针，确保生产、加工、组装、检验、配送等过程中的人身安全，遵守《中华人民共和国安全生产法》《电力安全工作规程》以及《中国南方电网有限责任公司安全生产管理规定》等安全管理相关要求。</w:t>
      </w:r>
    </w:p>
    <w:p>
      <w:pPr>
        <w:ind w:firstLine="520"/>
        <w:rPr>
          <w:rFonts w:hint="eastAsia" w:eastAsia="宋体"/>
        </w:rPr>
      </w:pPr>
      <w:r>
        <w:rPr>
          <w:rFonts w:hint="eastAsia" w:eastAsia="宋体"/>
        </w:rPr>
        <w:t>（2）对于所有环节过程中、场所中可能存在的造成的产品损坏、人员伤害、财产损失或其他意外事件的危险因素和环境因素进行正确的判断，以确定需要控制的重大危险因素和环境因素。</w:t>
      </w:r>
    </w:p>
    <w:p>
      <w:pPr>
        <w:ind w:firstLine="520"/>
        <w:rPr>
          <w:rFonts w:hint="eastAsia" w:eastAsia="宋体"/>
        </w:rPr>
      </w:pPr>
      <w:r>
        <w:rPr>
          <w:rFonts w:hint="eastAsia" w:eastAsia="宋体"/>
        </w:rPr>
        <w:t>（3）危险源、环境因素的识别应覆盖成交方所有车间、部室和项目现场，覆盖所有管理和作业活动，所有可能造成的人员伤害、财产损失、其他意外事故。</w:t>
      </w:r>
    </w:p>
    <w:p>
      <w:pPr>
        <w:ind w:firstLine="520"/>
        <w:rPr>
          <w:rFonts w:hint="eastAsia" w:eastAsia="宋体"/>
        </w:rPr>
      </w:pPr>
      <w:r>
        <w:rPr>
          <w:rFonts w:hint="eastAsia" w:eastAsia="宋体"/>
        </w:rPr>
        <w:t>（4）成交方应对加工过程中的安全生产负全部责任，若因成交方未遵守安全生产规定，导致第三方人身伤害、自身损害或财产损失的，成交方应承担全部赔偿责任。</w:t>
      </w:r>
    </w:p>
    <w:p>
      <w:pPr>
        <w:pStyle w:val="2"/>
        <w:rPr>
          <w:rFonts w:hint="eastAsia" w:ascii="宋体" w:hAnsi="宋体" w:eastAsia="宋体" w:cs="宋体"/>
          <w:sz w:val="32"/>
          <w:szCs w:val="32"/>
        </w:rPr>
      </w:pPr>
      <w:r>
        <w:rPr>
          <w:rFonts w:hint="eastAsia" w:ascii="宋体" w:hAnsi="宋体" w:eastAsia="宋体" w:cs="宋体"/>
          <w:sz w:val="32"/>
          <w:szCs w:val="32"/>
        </w:rPr>
        <w:t>11、其他要求</w:t>
      </w:r>
    </w:p>
    <w:p>
      <w:pPr>
        <w:ind w:firstLine="520"/>
      </w:pPr>
      <w:r>
        <w:rPr>
          <w:rFonts w:hint="eastAsia"/>
        </w:rPr>
        <w:t>本项目职工创新产品的知识产权归采购方所有，成交方在加工过程中不得侵犯他人的知识产权，同时也不得将采购方提供的技术资料、图纸等用于非本项目的其他用途，响应方需按采购方要求提供加盖单位公章(含电子签章)或投标专用章的《关于职工创新产品样机试制知识产权无侵权问题的承诺函》。</w:t>
      </w:r>
    </w:p>
    <w:p>
      <w:pPr>
        <w:ind w:firstLine="480"/>
        <w:rPr>
          <w:rFonts w:hint="eastAsia" w:ascii="宋体" w:hAnsi="宋体" w:cs="宋体"/>
          <w:sz w:val="24"/>
        </w:rPr>
      </w:pPr>
    </w:p>
    <w:sectPr>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20"/>
      </w:pPr>
      <w:r>
        <w:separator/>
      </w:r>
    </w:p>
  </w:endnote>
  <w:endnote w:type="continuationSeparator" w:id="1">
    <w:p>
      <w:pPr>
        <w:ind w:firstLine="5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思源黑体 HW Bold">
    <w:altName w:val="黑体"/>
    <w:panose1 w:val="00000000000000000000"/>
    <w:charset w:val="86"/>
    <w:family w:val="auto"/>
    <w:pitch w:val="default"/>
    <w:sig w:usb0="00000000" w:usb1="00000000" w:usb2="00000016" w:usb3="00000000" w:csb0="002E0107" w:csb1="00000000"/>
  </w:font>
  <w:font w:name="思源宋体 Heavy">
    <w:altName w:val="宋体"/>
    <w:panose1 w:val="00000000000000000000"/>
    <w:charset w:val="86"/>
    <w:family w:val="auto"/>
    <w:pitch w:val="default"/>
    <w:sig w:usb0="00000000" w:usb1="00000000" w:usb2="00000016" w:usb3="00000000" w:csb0="002E0107" w:csb1="00000000"/>
  </w:font>
  <w:font w:name="思源宋体 SemiBold">
    <w:altName w:val="宋体"/>
    <w:panose1 w:val="00000000000000000000"/>
    <w:charset w:val="86"/>
    <w:family w:val="auto"/>
    <w:pitch w:val="default"/>
    <w:sig w:usb0="00000000" w:usb1="00000000" w:usb2="00000016" w:usb3="00000000" w:csb0="002E0107"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ind w:firstLine="480"/>
      <w:rPr>
        <w:rFonts w:hint="eastAsia"/>
        <w:sz w:val="20"/>
      </w:rPr>
    </w:pPr>
    <w:r>
      <w:rPr>
        <w:rFonts w:hint="eastAsia"/>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2135" cy="147955"/>
              <wp:effectExtent l="0" t="0" r="1270" b="8255"/>
              <wp:wrapNone/>
              <wp:docPr id="344176854" name="文本框 11"/>
              <wp:cNvGraphicFramePr/>
              <a:graphic xmlns:a="http://schemas.openxmlformats.org/drawingml/2006/main">
                <a:graphicData uri="http://schemas.microsoft.com/office/word/2010/wordprocessingShape">
                  <wps:wsp>
                    <wps:cNvSpPr txBox="1"/>
                    <wps:spPr>
                      <a:xfrm>
                        <a:off x="0" y="0"/>
                        <a:ext cx="572135" cy="147955"/>
                      </a:xfrm>
                      <a:prstGeom prst="rect">
                        <a:avLst/>
                      </a:prstGeom>
                      <a:noFill/>
                      <a:ln w="15875">
                        <a:noFill/>
                      </a:ln>
                    </wps:spPr>
                    <wps:txbx>
                      <w:txbxContent>
                        <w:p>
                          <w:pPr>
                            <w:pStyle w:val="10"/>
                            <w:ind w:firstLine="360"/>
                          </w:pPr>
                          <w:r>
                            <w:rPr>
                              <w:rFonts w:hint="eastAsia"/>
                            </w:rPr>
                            <w:t>第</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页共</w:t>
                          </w:r>
                          <w:r>
                            <w:fldChar w:fldCharType="begin"/>
                          </w:r>
                          <w:r>
                            <w:instrText xml:space="preserve"> NUMPAGES  \* MERGEFORMAT </w:instrText>
                          </w:r>
                          <w:r>
                            <w:fldChar w:fldCharType="separate"/>
                          </w:r>
                          <w:r>
                            <w:t>10</w:t>
                          </w:r>
                          <w:r>
                            <w:fldChar w:fldCharType="end"/>
                          </w:r>
                          <w:r>
                            <w:rPr>
                              <w:rFonts w:hint="eastAsia"/>
                            </w:rPr>
                            <w:t>页</w:t>
                          </w:r>
                        </w:p>
                      </w:txbxContent>
                    </wps:txbx>
                    <wps:bodyPr wrap="none" lIns="0" tIns="0" rIns="0" bIns="0">
                      <a:spAutoFit/>
                    </wps:bodyPr>
                  </wps:wsp>
                </a:graphicData>
              </a:graphic>
            </wp:anchor>
          </w:drawing>
        </mc:Choice>
        <mc:Fallback>
          <w:pict>
            <v:shape id="文本框 11" o:spid="_x0000_s1026" o:spt="202" type="#_x0000_t202" style="position:absolute;left:0pt;margin-top:0pt;height:11.65pt;width:45.05pt;mso-position-horizontal:center;mso-position-horizontal-relative:margin;mso-wrap-style:none;z-index:251662336;mso-width-relative:page;mso-height-relative:page;" filled="f" stroked="f" coordsize="21600,21600" o:gfxdata="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CJhdWXVAAAAAwEAAA8AAAAAAAAAAQAg&#10;AAAAIgAAAGRycy9kb3ducmV2LnhtbFBLAQIUABQAAAAIAIdO4kBQvhra2AEAAJ4DAAAOAAAAAAAA&#10;AAEAIAAAACQBAABkcnMvZTJvRG9jLnhtbFBLBQYAAAAABgAGAFkBAABuBQAAAAA=&#10;">
              <v:fill on="f" focussize="0,0"/>
              <v:stroke on="f" weight="1.25pt"/>
              <v:imagedata o:title=""/>
              <o:lock v:ext="edit" aspectratio="f"/>
              <v:textbox inset="0mm,0mm,0mm,0mm" style="mso-fit-shape-to-text:t;">
                <w:txbxContent>
                  <w:p>
                    <w:pPr>
                      <w:pStyle w:val="10"/>
                      <w:ind w:firstLine="360"/>
                    </w:pPr>
                    <w:r>
                      <w:rPr>
                        <w:rFonts w:hint="eastAsia"/>
                      </w:rPr>
                      <w:t>第</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页共</w:t>
                    </w:r>
                    <w:r>
                      <w:fldChar w:fldCharType="begin"/>
                    </w:r>
                    <w:r>
                      <w:instrText xml:space="preserve"> NUMPAGES  \* MERGEFORMAT </w:instrText>
                    </w:r>
                    <w:r>
                      <w:fldChar w:fldCharType="separate"/>
                    </w:r>
                    <w:r>
                      <w:t>10</w:t>
                    </w:r>
                    <w:r>
                      <w:fldChar w:fldCharType="end"/>
                    </w:r>
                    <w:r>
                      <w:rPr>
                        <w:rFonts w:hint="eastAsia"/>
                      </w:rP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firstLine="36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0"/>
                      <w:ind w:firstLine="36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20"/>
      </w:pPr>
      <w:r>
        <w:separator/>
      </w:r>
    </w:p>
  </w:footnote>
  <w:footnote w:type="continuationSeparator" w:id="1">
    <w:p>
      <w:pPr>
        <w:ind w:firstLine="5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162CC3"/>
    <w:multiLevelType w:val="singleLevel"/>
    <w:tmpl w:val="DE162CC3"/>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lYWU5NzUwMjg5ZDE1ODliYzU3Y2ZlMjI1ZTIzZGMifQ=="/>
  </w:docVars>
  <w:rsids>
    <w:rsidRoot w:val="008921C5"/>
    <w:rsid w:val="000043EE"/>
    <w:rsid w:val="000424E2"/>
    <w:rsid w:val="000F40AA"/>
    <w:rsid w:val="001506CA"/>
    <w:rsid w:val="00193251"/>
    <w:rsid w:val="001B0409"/>
    <w:rsid w:val="00226E2D"/>
    <w:rsid w:val="00283D64"/>
    <w:rsid w:val="002A7FA3"/>
    <w:rsid w:val="002B1974"/>
    <w:rsid w:val="003D7B1E"/>
    <w:rsid w:val="0042702F"/>
    <w:rsid w:val="004E18A2"/>
    <w:rsid w:val="004F3938"/>
    <w:rsid w:val="00547F91"/>
    <w:rsid w:val="005635FB"/>
    <w:rsid w:val="005879A3"/>
    <w:rsid w:val="005E6E89"/>
    <w:rsid w:val="006C567E"/>
    <w:rsid w:val="007662DD"/>
    <w:rsid w:val="00791676"/>
    <w:rsid w:val="008324D3"/>
    <w:rsid w:val="008921C5"/>
    <w:rsid w:val="008D01CC"/>
    <w:rsid w:val="00A414EE"/>
    <w:rsid w:val="00A644B5"/>
    <w:rsid w:val="00AB7666"/>
    <w:rsid w:val="00AC07A4"/>
    <w:rsid w:val="00AC6D96"/>
    <w:rsid w:val="00B152F2"/>
    <w:rsid w:val="00BC6EA8"/>
    <w:rsid w:val="00BD18DB"/>
    <w:rsid w:val="00BE12A7"/>
    <w:rsid w:val="00C213CA"/>
    <w:rsid w:val="00C50B26"/>
    <w:rsid w:val="00C7644D"/>
    <w:rsid w:val="00CF632E"/>
    <w:rsid w:val="00D53104"/>
    <w:rsid w:val="00DE3FC0"/>
    <w:rsid w:val="00E608AD"/>
    <w:rsid w:val="00E87E61"/>
    <w:rsid w:val="00EC2A62"/>
    <w:rsid w:val="00F271B9"/>
    <w:rsid w:val="01443F22"/>
    <w:rsid w:val="01466841"/>
    <w:rsid w:val="017E25BD"/>
    <w:rsid w:val="019623C3"/>
    <w:rsid w:val="01E7372B"/>
    <w:rsid w:val="01F07F8C"/>
    <w:rsid w:val="02243FE0"/>
    <w:rsid w:val="02362D67"/>
    <w:rsid w:val="02420FE9"/>
    <w:rsid w:val="02A135A1"/>
    <w:rsid w:val="030B5708"/>
    <w:rsid w:val="03521A83"/>
    <w:rsid w:val="03614E95"/>
    <w:rsid w:val="037576B9"/>
    <w:rsid w:val="0388233A"/>
    <w:rsid w:val="03BA492B"/>
    <w:rsid w:val="03BE185C"/>
    <w:rsid w:val="03C93631"/>
    <w:rsid w:val="03E42333"/>
    <w:rsid w:val="04163446"/>
    <w:rsid w:val="048B2A85"/>
    <w:rsid w:val="04C80BE4"/>
    <w:rsid w:val="05577DE1"/>
    <w:rsid w:val="055C4DCD"/>
    <w:rsid w:val="05934176"/>
    <w:rsid w:val="06331B3C"/>
    <w:rsid w:val="066F069C"/>
    <w:rsid w:val="06944475"/>
    <w:rsid w:val="06E00785"/>
    <w:rsid w:val="074B6D85"/>
    <w:rsid w:val="07627C93"/>
    <w:rsid w:val="07696335"/>
    <w:rsid w:val="078C76EB"/>
    <w:rsid w:val="07AD1899"/>
    <w:rsid w:val="07D71FC9"/>
    <w:rsid w:val="080D6E43"/>
    <w:rsid w:val="08986B20"/>
    <w:rsid w:val="08F25A31"/>
    <w:rsid w:val="091153EC"/>
    <w:rsid w:val="094C64D1"/>
    <w:rsid w:val="09627775"/>
    <w:rsid w:val="09E15545"/>
    <w:rsid w:val="0A002BCE"/>
    <w:rsid w:val="0A1D12EE"/>
    <w:rsid w:val="0A2B71BE"/>
    <w:rsid w:val="0A4D56E8"/>
    <w:rsid w:val="0A9642EF"/>
    <w:rsid w:val="0ACD08C2"/>
    <w:rsid w:val="0AE01944"/>
    <w:rsid w:val="0AE84FF2"/>
    <w:rsid w:val="0AF946B2"/>
    <w:rsid w:val="0B3E6A1C"/>
    <w:rsid w:val="0B815B7C"/>
    <w:rsid w:val="0BBA0B5B"/>
    <w:rsid w:val="0BDF05C2"/>
    <w:rsid w:val="0C294E71"/>
    <w:rsid w:val="0C3673F7"/>
    <w:rsid w:val="0C6146A7"/>
    <w:rsid w:val="0C8E0BA6"/>
    <w:rsid w:val="0CBE4E2E"/>
    <w:rsid w:val="0CEF25F8"/>
    <w:rsid w:val="0DDE3227"/>
    <w:rsid w:val="0DE30F09"/>
    <w:rsid w:val="0DE51158"/>
    <w:rsid w:val="0E2E71CC"/>
    <w:rsid w:val="0E706467"/>
    <w:rsid w:val="0E887A67"/>
    <w:rsid w:val="0EA76C97"/>
    <w:rsid w:val="0EA93835"/>
    <w:rsid w:val="0EAA11FA"/>
    <w:rsid w:val="0EB55DE6"/>
    <w:rsid w:val="0EBF4B8E"/>
    <w:rsid w:val="0FA15A90"/>
    <w:rsid w:val="0FE1342B"/>
    <w:rsid w:val="100E549C"/>
    <w:rsid w:val="10400DC8"/>
    <w:rsid w:val="1051033C"/>
    <w:rsid w:val="10AD3CC0"/>
    <w:rsid w:val="11175B48"/>
    <w:rsid w:val="11BF4A2D"/>
    <w:rsid w:val="11CD4F59"/>
    <w:rsid w:val="121E0BCF"/>
    <w:rsid w:val="124F5C67"/>
    <w:rsid w:val="12D544CC"/>
    <w:rsid w:val="13342D43"/>
    <w:rsid w:val="137141F5"/>
    <w:rsid w:val="1374077C"/>
    <w:rsid w:val="13951B3B"/>
    <w:rsid w:val="13A00695"/>
    <w:rsid w:val="13A92ADE"/>
    <w:rsid w:val="13E214AD"/>
    <w:rsid w:val="13FA41EA"/>
    <w:rsid w:val="14057487"/>
    <w:rsid w:val="14946D53"/>
    <w:rsid w:val="14D0319D"/>
    <w:rsid w:val="1527732E"/>
    <w:rsid w:val="152D7C23"/>
    <w:rsid w:val="154B029E"/>
    <w:rsid w:val="15671D54"/>
    <w:rsid w:val="156758B0"/>
    <w:rsid w:val="15877314"/>
    <w:rsid w:val="15D01D90"/>
    <w:rsid w:val="15FD46F2"/>
    <w:rsid w:val="1642590A"/>
    <w:rsid w:val="16483E1A"/>
    <w:rsid w:val="164E5B75"/>
    <w:rsid w:val="167543A8"/>
    <w:rsid w:val="17084259"/>
    <w:rsid w:val="17D336D0"/>
    <w:rsid w:val="17E219BD"/>
    <w:rsid w:val="182A3C93"/>
    <w:rsid w:val="18767282"/>
    <w:rsid w:val="188350F6"/>
    <w:rsid w:val="193E1C7A"/>
    <w:rsid w:val="1964457C"/>
    <w:rsid w:val="19A56634"/>
    <w:rsid w:val="1A51546A"/>
    <w:rsid w:val="1A921072"/>
    <w:rsid w:val="1B0C4CC9"/>
    <w:rsid w:val="1B0D44F2"/>
    <w:rsid w:val="1B1D1971"/>
    <w:rsid w:val="1B2C68B2"/>
    <w:rsid w:val="1B726396"/>
    <w:rsid w:val="1B7968B7"/>
    <w:rsid w:val="1B8C352F"/>
    <w:rsid w:val="1BD42BB8"/>
    <w:rsid w:val="1C473DF0"/>
    <w:rsid w:val="1C5323E9"/>
    <w:rsid w:val="1C591DC2"/>
    <w:rsid w:val="1C743DF5"/>
    <w:rsid w:val="1C8B5133"/>
    <w:rsid w:val="1CAE2C2A"/>
    <w:rsid w:val="1CED3684"/>
    <w:rsid w:val="1D0B1216"/>
    <w:rsid w:val="1D3A36EC"/>
    <w:rsid w:val="1DA85FB6"/>
    <w:rsid w:val="1DBF4484"/>
    <w:rsid w:val="1DC665D5"/>
    <w:rsid w:val="1DF81251"/>
    <w:rsid w:val="1E273CCE"/>
    <w:rsid w:val="1E6939C7"/>
    <w:rsid w:val="1E885431"/>
    <w:rsid w:val="1E9F0AF3"/>
    <w:rsid w:val="1EBD3C4D"/>
    <w:rsid w:val="1F723771"/>
    <w:rsid w:val="1F793A0C"/>
    <w:rsid w:val="1FEC06ED"/>
    <w:rsid w:val="203B44D4"/>
    <w:rsid w:val="208529BE"/>
    <w:rsid w:val="20C15D89"/>
    <w:rsid w:val="20E525EC"/>
    <w:rsid w:val="20EF5C02"/>
    <w:rsid w:val="21004E0A"/>
    <w:rsid w:val="211728BC"/>
    <w:rsid w:val="211E0B18"/>
    <w:rsid w:val="21377975"/>
    <w:rsid w:val="21A00173"/>
    <w:rsid w:val="21BA3BD5"/>
    <w:rsid w:val="21C846EF"/>
    <w:rsid w:val="21F6205B"/>
    <w:rsid w:val="21FC1045"/>
    <w:rsid w:val="22515393"/>
    <w:rsid w:val="22626342"/>
    <w:rsid w:val="22D27DDA"/>
    <w:rsid w:val="22E8400C"/>
    <w:rsid w:val="230C2126"/>
    <w:rsid w:val="23146A9B"/>
    <w:rsid w:val="23210FF4"/>
    <w:rsid w:val="23330C42"/>
    <w:rsid w:val="234F29B2"/>
    <w:rsid w:val="23716AD6"/>
    <w:rsid w:val="23AD1279"/>
    <w:rsid w:val="23FB5A15"/>
    <w:rsid w:val="240905AE"/>
    <w:rsid w:val="241678C4"/>
    <w:rsid w:val="24413D25"/>
    <w:rsid w:val="246F4781"/>
    <w:rsid w:val="247F7C8F"/>
    <w:rsid w:val="24950570"/>
    <w:rsid w:val="24A95D2B"/>
    <w:rsid w:val="250E67D7"/>
    <w:rsid w:val="25695C10"/>
    <w:rsid w:val="258A2F7F"/>
    <w:rsid w:val="258E5272"/>
    <w:rsid w:val="25B234DA"/>
    <w:rsid w:val="265C02D9"/>
    <w:rsid w:val="269F5582"/>
    <w:rsid w:val="26B931D9"/>
    <w:rsid w:val="26BA35A8"/>
    <w:rsid w:val="26C70B8C"/>
    <w:rsid w:val="26CA05CE"/>
    <w:rsid w:val="26D34282"/>
    <w:rsid w:val="27155510"/>
    <w:rsid w:val="273147A0"/>
    <w:rsid w:val="2748414B"/>
    <w:rsid w:val="276969B7"/>
    <w:rsid w:val="277422DA"/>
    <w:rsid w:val="279531CA"/>
    <w:rsid w:val="27CC5A46"/>
    <w:rsid w:val="27D601F4"/>
    <w:rsid w:val="27E92460"/>
    <w:rsid w:val="27EB0DDD"/>
    <w:rsid w:val="280F3578"/>
    <w:rsid w:val="281D35AA"/>
    <w:rsid w:val="283E5C7F"/>
    <w:rsid w:val="28661A33"/>
    <w:rsid w:val="28896941"/>
    <w:rsid w:val="289320B5"/>
    <w:rsid w:val="28F22C3A"/>
    <w:rsid w:val="28F47807"/>
    <w:rsid w:val="290441D9"/>
    <w:rsid w:val="290E65E7"/>
    <w:rsid w:val="292E4C44"/>
    <w:rsid w:val="29652F79"/>
    <w:rsid w:val="29B7308B"/>
    <w:rsid w:val="29E37FC4"/>
    <w:rsid w:val="29FE0BAB"/>
    <w:rsid w:val="29FF78F4"/>
    <w:rsid w:val="2A062B02"/>
    <w:rsid w:val="2A2B739C"/>
    <w:rsid w:val="2A6E59AA"/>
    <w:rsid w:val="2A771FF1"/>
    <w:rsid w:val="2A7F14C7"/>
    <w:rsid w:val="2A901AA5"/>
    <w:rsid w:val="2A9734FF"/>
    <w:rsid w:val="2AA55299"/>
    <w:rsid w:val="2B045079"/>
    <w:rsid w:val="2B221E6C"/>
    <w:rsid w:val="2B386B7A"/>
    <w:rsid w:val="2B3A71F0"/>
    <w:rsid w:val="2B552B22"/>
    <w:rsid w:val="2B7D4BC3"/>
    <w:rsid w:val="2BA22524"/>
    <w:rsid w:val="2BFA09B4"/>
    <w:rsid w:val="2C0931CD"/>
    <w:rsid w:val="2C445BA9"/>
    <w:rsid w:val="2C5E4123"/>
    <w:rsid w:val="2C695F59"/>
    <w:rsid w:val="2C94532F"/>
    <w:rsid w:val="2C974345"/>
    <w:rsid w:val="2CFC5020"/>
    <w:rsid w:val="2CFE10BB"/>
    <w:rsid w:val="2D0211E6"/>
    <w:rsid w:val="2D096A9C"/>
    <w:rsid w:val="2D2036A2"/>
    <w:rsid w:val="2D3D07A2"/>
    <w:rsid w:val="2D4A5D8B"/>
    <w:rsid w:val="2D637F86"/>
    <w:rsid w:val="2D653489"/>
    <w:rsid w:val="2D801AB4"/>
    <w:rsid w:val="2D905129"/>
    <w:rsid w:val="2DB86BBC"/>
    <w:rsid w:val="2E367E80"/>
    <w:rsid w:val="2F0A018B"/>
    <w:rsid w:val="2F212A31"/>
    <w:rsid w:val="2F223020"/>
    <w:rsid w:val="2F3C7955"/>
    <w:rsid w:val="2F7A402B"/>
    <w:rsid w:val="2FB2548D"/>
    <w:rsid w:val="303D06B3"/>
    <w:rsid w:val="30717AD3"/>
    <w:rsid w:val="308A51D5"/>
    <w:rsid w:val="309F1C2F"/>
    <w:rsid w:val="30AB47DD"/>
    <w:rsid w:val="30DB1837"/>
    <w:rsid w:val="30E3244B"/>
    <w:rsid w:val="31031258"/>
    <w:rsid w:val="318A6ED7"/>
    <w:rsid w:val="318F4125"/>
    <w:rsid w:val="31E52673"/>
    <w:rsid w:val="327758A3"/>
    <w:rsid w:val="32957D37"/>
    <w:rsid w:val="32B310BD"/>
    <w:rsid w:val="32B91435"/>
    <w:rsid w:val="32C67045"/>
    <w:rsid w:val="33192266"/>
    <w:rsid w:val="33BB010C"/>
    <w:rsid w:val="33E24030"/>
    <w:rsid w:val="33E317AE"/>
    <w:rsid w:val="341462CB"/>
    <w:rsid w:val="34272C1F"/>
    <w:rsid w:val="34357F34"/>
    <w:rsid w:val="34533564"/>
    <w:rsid w:val="34623382"/>
    <w:rsid w:val="3474109D"/>
    <w:rsid w:val="34E174D6"/>
    <w:rsid w:val="350318F6"/>
    <w:rsid w:val="3564155D"/>
    <w:rsid w:val="356A0246"/>
    <w:rsid w:val="357047C0"/>
    <w:rsid w:val="3585695C"/>
    <w:rsid w:val="35B00755"/>
    <w:rsid w:val="35E50B7B"/>
    <w:rsid w:val="3606412B"/>
    <w:rsid w:val="361C2353"/>
    <w:rsid w:val="36913FB1"/>
    <w:rsid w:val="370A5E2B"/>
    <w:rsid w:val="370C3BA7"/>
    <w:rsid w:val="37865C12"/>
    <w:rsid w:val="37FCAA20"/>
    <w:rsid w:val="38103A87"/>
    <w:rsid w:val="38124DDF"/>
    <w:rsid w:val="381F62A0"/>
    <w:rsid w:val="38476234"/>
    <w:rsid w:val="384B18C4"/>
    <w:rsid w:val="38A415BE"/>
    <w:rsid w:val="38BC512F"/>
    <w:rsid w:val="38C67D33"/>
    <w:rsid w:val="38CC79F8"/>
    <w:rsid w:val="3916238C"/>
    <w:rsid w:val="394A1AD3"/>
    <w:rsid w:val="394B57D9"/>
    <w:rsid w:val="397C2744"/>
    <w:rsid w:val="39A64BAA"/>
    <w:rsid w:val="39C4201C"/>
    <w:rsid w:val="39F46F4B"/>
    <w:rsid w:val="3A06009B"/>
    <w:rsid w:val="3A1E278F"/>
    <w:rsid w:val="3A2D34E9"/>
    <w:rsid w:val="3A3A6D80"/>
    <w:rsid w:val="3A4630C0"/>
    <w:rsid w:val="3A4F11EA"/>
    <w:rsid w:val="3A9A767B"/>
    <w:rsid w:val="3AB921D7"/>
    <w:rsid w:val="3AEA64B7"/>
    <w:rsid w:val="3B3264CD"/>
    <w:rsid w:val="3B444F28"/>
    <w:rsid w:val="3B8C443F"/>
    <w:rsid w:val="3B9A4359"/>
    <w:rsid w:val="3BCF296B"/>
    <w:rsid w:val="3BEF256D"/>
    <w:rsid w:val="3C3745ED"/>
    <w:rsid w:val="3C502C92"/>
    <w:rsid w:val="3C54434B"/>
    <w:rsid w:val="3C7A3BD5"/>
    <w:rsid w:val="3C88295C"/>
    <w:rsid w:val="3C991E49"/>
    <w:rsid w:val="3CA820B9"/>
    <w:rsid w:val="3CEA4F7F"/>
    <w:rsid w:val="3D0D6C1B"/>
    <w:rsid w:val="3D2D7030"/>
    <w:rsid w:val="3D5D3C39"/>
    <w:rsid w:val="3D6E1622"/>
    <w:rsid w:val="3E465E49"/>
    <w:rsid w:val="3E6B790F"/>
    <w:rsid w:val="3E776C95"/>
    <w:rsid w:val="3E7C633D"/>
    <w:rsid w:val="3E8816E0"/>
    <w:rsid w:val="3ED22D83"/>
    <w:rsid w:val="3EDE05DF"/>
    <w:rsid w:val="3EEF1191"/>
    <w:rsid w:val="3F2E3EB4"/>
    <w:rsid w:val="3F875119"/>
    <w:rsid w:val="3FC43014"/>
    <w:rsid w:val="3FDB2455"/>
    <w:rsid w:val="3FF63F1F"/>
    <w:rsid w:val="40462CBF"/>
    <w:rsid w:val="407441CC"/>
    <w:rsid w:val="40754C71"/>
    <w:rsid w:val="407A192C"/>
    <w:rsid w:val="407E4D2C"/>
    <w:rsid w:val="408347E6"/>
    <w:rsid w:val="40C8052B"/>
    <w:rsid w:val="40DB2A84"/>
    <w:rsid w:val="41AF3C85"/>
    <w:rsid w:val="41CD6EE4"/>
    <w:rsid w:val="41D67B20"/>
    <w:rsid w:val="421922FE"/>
    <w:rsid w:val="4223341C"/>
    <w:rsid w:val="4229010C"/>
    <w:rsid w:val="42351C2E"/>
    <w:rsid w:val="42895FC6"/>
    <w:rsid w:val="429F5DD9"/>
    <w:rsid w:val="42B347F6"/>
    <w:rsid w:val="42BE088D"/>
    <w:rsid w:val="42DA133A"/>
    <w:rsid w:val="436958F9"/>
    <w:rsid w:val="437E793E"/>
    <w:rsid w:val="43BA46D5"/>
    <w:rsid w:val="43DE2C9B"/>
    <w:rsid w:val="43E416D7"/>
    <w:rsid w:val="43F74517"/>
    <w:rsid w:val="43FB1EE1"/>
    <w:rsid w:val="441E388E"/>
    <w:rsid w:val="447B4624"/>
    <w:rsid w:val="4482004C"/>
    <w:rsid w:val="448A687F"/>
    <w:rsid w:val="44AE49FA"/>
    <w:rsid w:val="44FF53D3"/>
    <w:rsid w:val="45450DA6"/>
    <w:rsid w:val="454B473F"/>
    <w:rsid w:val="457E3880"/>
    <w:rsid w:val="45877151"/>
    <w:rsid w:val="458B5528"/>
    <w:rsid w:val="45B80971"/>
    <w:rsid w:val="45E37C4B"/>
    <w:rsid w:val="45F64A90"/>
    <w:rsid w:val="45FC6AE1"/>
    <w:rsid w:val="46137564"/>
    <w:rsid w:val="463A50D8"/>
    <w:rsid w:val="465073A9"/>
    <w:rsid w:val="46974FEE"/>
    <w:rsid w:val="46C82F04"/>
    <w:rsid w:val="46FD7572"/>
    <w:rsid w:val="47035D6E"/>
    <w:rsid w:val="47CD43F3"/>
    <w:rsid w:val="47FE5542"/>
    <w:rsid w:val="488D31F5"/>
    <w:rsid w:val="48904C60"/>
    <w:rsid w:val="48B423A6"/>
    <w:rsid w:val="491C1AC6"/>
    <w:rsid w:val="496309F7"/>
    <w:rsid w:val="49902920"/>
    <w:rsid w:val="49A86E68"/>
    <w:rsid w:val="4A0333C5"/>
    <w:rsid w:val="4A35264E"/>
    <w:rsid w:val="4A404AF5"/>
    <w:rsid w:val="4A406356"/>
    <w:rsid w:val="4ACC05C3"/>
    <w:rsid w:val="4AF22945"/>
    <w:rsid w:val="4B162558"/>
    <w:rsid w:val="4B3A6678"/>
    <w:rsid w:val="4B470532"/>
    <w:rsid w:val="4B493410"/>
    <w:rsid w:val="4B5A3DFF"/>
    <w:rsid w:val="4B9B7997"/>
    <w:rsid w:val="4BD17E71"/>
    <w:rsid w:val="4BF210F0"/>
    <w:rsid w:val="4C713136"/>
    <w:rsid w:val="4D002A34"/>
    <w:rsid w:val="4D7D479B"/>
    <w:rsid w:val="4D827837"/>
    <w:rsid w:val="4D877FD3"/>
    <w:rsid w:val="4D8D1435"/>
    <w:rsid w:val="4D9C2B4B"/>
    <w:rsid w:val="4DAF534D"/>
    <w:rsid w:val="4DD252B5"/>
    <w:rsid w:val="4DF50E3E"/>
    <w:rsid w:val="4E431E74"/>
    <w:rsid w:val="4E5E4616"/>
    <w:rsid w:val="4EC52526"/>
    <w:rsid w:val="4EC53F71"/>
    <w:rsid w:val="4EE5459A"/>
    <w:rsid w:val="4EE71554"/>
    <w:rsid w:val="4F173397"/>
    <w:rsid w:val="4F3D4630"/>
    <w:rsid w:val="4F787048"/>
    <w:rsid w:val="4FD22DEB"/>
    <w:rsid w:val="4FDA6C5E"/>
    <w:rsid w:val="4FEE5732"/>
    <w:rsid w:val="501D717B"/>
    <w:rsid w:val="503F1A83"/>
    <w:rsid w:val="504D3F97"/>
    <w:rsid w:val="50B31D72"/>
    <w:rsid w:val="50F360E5"/>
    <w:rsid w:val="513268AC"/>
    <w:rsid w:val="51367552"/>
    <w:rsid w:val="5153495F"/>
    <w:rsid w:val="51535456"/>
    <w:rsid w:val="515D5589"/>
    <w:rsid w:val="51DF3EAC"/>
    <w:rsid w:val="52077FA0"/>
    <w:rsid w:val="520E4D2A"/>
    <w:rsid w:val="521C10CB"/>
    <w:rsid w:val="5224454D"/>
    <w:rsid w:val="52553F38"/>
    <w:rsid w:val="526232E0"/>
    <w:rsid w:val="529B1012"/>
    <w:rsid w:val="52A11FAC"/>
    <w:rsid w:val="53772EEB"/>
    <w:rsid w:val="53AC47FA"/>
    <w:rsid w:val="53BD07B5"/>
    <w:rsid w:val="540B32CF"/>
    <w:rsid w:val="540B5BDD"/>
    <w:rsid w:val="54143D13"/>
    <w:rsid w:val="54381A06"/>
    <w:rsid w:val="553E035A"/>
    <w:rsid w:val="555565D3"/>
    <w:rsid w:val="556F67B0"/>
    <w:rsid w:val="5596056C"/>
    <w:rsid w:val="55A5503C"/>
    <w:rsid w:val="55AD6B1D"/>
    <w:rsid w:val="55B45D10"/>
    <w:rsid w:val="55D81003"/>
    <w:rsid w:val="55E372A8"/>
    <w:rsid w:val="56055672"/>
    <w:rsid w:val="561E3E49"/>
    <w:rsid w:val="562A10B3"/>
    <w:rsid w:val="56362DB6"/>
    <w:rsid w:val="56584CAD"/>
    <w:rsid w:val="569C67A5"/>
    <w:rsid w:val="56F46FB7"/>
    <w:rsid w:val="56F97D56"/>
    <w:rsid w:val="57644D80"/>
    <w:rsid w:val="57645609"/>
    <w:rsid w:val="577C7118"/>
    <w:rsid w:val="57AD5419"/>
    <w:rsid w:val="57DF03BB"/>
    <w:rsid w:val="583E4D05"/>
    <w:rsid w:val="58943F63"/>
    <w:rsid w:val="589B4C69"/>
    <w:rsid w:val="58AA4307"/>
    <w:rsid w:val="58EB16B7"/>
    <w:rsid w:val="59174466"/>
    <w:rsid w:val="595C1840"/>
    <w:rsid w:val="5A0C68F8"/>
    <w:rsid w:val="5A1B7603"/>
    <w:rsid w:val="5A2A085A"/>
    <w:rsid w:val="5A4029C6"/>
    <w:rsid w:val="5A552DC2"/>
    <w:rsid w:val="5A7122F9"/>
    <w:rsid w:val="5AC279DB"/>
    <w:rsid w:val="5B166031"/>
    <w:rsid w:val="5B24651A"/>
    <w:rsid w:val="5B350329"/>
    <w:rsid w:val="5B4075B3"/>
    <w:rsid w:val="5B4B7D53"/>
    <w:rsid w:val="5B7B3430"/>
    <w:rsid w:val="5B9C4FE3"/>
    <w:rsid w:val="5B9C6D5C"/>
    <w:rsid w:val="5BC86437"/>
    <w:rsid w:val="5BED0BE1"/>
    <w:rsid w:val="5BFC4184"/>
    <w:rsid w:val="5C032D84"/>
    <w:rsid w:val="5C1B7C6F"/>
    <w:rsid w:val="5C393D5E"/>
    <w:rsid w:val="5C89620F"/>
    <w:rsid w:val="5C8E458C"/>
    <w:rsid w:val="5CAC269A"/>
    <w:rsid w:val="5CAF5932"/>
    <w:rsid w:val="5CB23C16"/>
    <w:rsid w:val="5CCA04A9"/>
    <w:rsid w:val="5CE30F11"/>
    <w:rsid w:val="5CEF2E3E"/>
    <w:rsid w:val="5CF46AE0"/>
    <w:rsid w:val="5D34037D"/>
    <w:rsid w:val="5D3F0B73"/>
    <w:rsid w:val="5D551851"/>
    <w:rsid w:val="5D862F00"/>
    <w:rsid w:val="5D8750FF"/>
    <w:rsid w:val="5DD27696"/>
    <w:rsid w:val="5E217A53"/>
    <w:rsid w:val="5E4B7A3A"/>
    <w:rsid w:val="5E763ECA"/>
    <w:rsid w:val="5F0724E4"/>
    <w:rsid w:val="5F125E59"/>
    <w:rsid w:val="5F2A076F"/>
    <w:rsid w:val="5F2D3AFE"/>
    <w:rsid w:val="5F523120"/>
    <w:rsid w:val="5FBE1B3D"/>
    <w:rsid w:val="5FDA7ED2"/>
    <w:rsid w:val="6009191A"/>
    <w:rsid w:val="602E03D2"/>
    <w:rsid w:val="604152F7"/>
    <w:rsid w:val="61371639"/>
    <w:rsid w:val="616A0ED6"/>
    <w:rsid w:val="61BC4533"/>
    <w:rsid w:val="61E122CC"/>
    <w:rsid w:val="61E565C7"/>
    <w:rsid w:val="61E9783A"/>
    <w:rsid w:val="62027C68"/>
    <w:rsid w:val="62162772"/>
    <w:rsid w:val="622E52D3"/>
    <w:rsid w:val="62645E66"/>
    <w:rsid w:val="62751248"/>
    <w:rsid w:val="62797748"/>
    <w:rsid w:val="62A62ADB"/>
    <w:rsid w:val="633059CA"/>
    <w:rsid w:val="63494E8F"/>
    <w:rsid w:val="63497970"/>
    <w:rsid w:val="63AA7B8D"/>
    <w:rsid w:val="63E20604"/>
    <w:rsid w:val="64001D88"/>
    <w:rsid w:val="64596510"/>
    <w:rsid w:val="64B63F4F"/>
    <w:rsid w:val="64C45DE1"/>
    <w:rsid w:val="64CB71BD"/>
    <w:rsid w:val="65C95807"/>
    <w:rsid w:val="65D67281"/>
    <w:rsid w:val="65F2639C"/>
    <w:rsid w:val="66325FB7"/>
    <w:rsid w:val="664136E5"/>
    <w:rsid w:val="66873BE9"/>
    <w:rsid w:val="66C80421"/>
    <w:rsid w:val="66C86AB4"/>
    <w:rsid w:val="66E875E6"/>
    <w:rsid w:val="67290ACE"/>
    <w:rsid w:val="674647FB"/>
    <w:rsid w:val="67616D65"/>
    <w:rsid w:val="676F6027"/>
    <w:rsid w:val="67724674"/>
    <w:rsid w:val="6775301C"/>
    <w:rsid w:val="67862702"/>
    <w:rsid w:val="67AF5F87"/>
    <w:rsid w:val="67EA09AD"/>
    <w:rsid w:val="67F33F99"/>
    <w:rsid w:val="68012F0F"/>
    <w:rsid w:val="682150C6"/>
    <w:rsid w:val="6837601D"/>
    <w:rsid w:val="683B3363"/>
    <w:rsid w:val="689612BE"/>
    <w:rsid w:val="68D10AC5"/>
    <w:rsid w:val="692D2CBD"/>
    <w:rsid w:val="6956585F"/>
    <w:rsid w:val="697D59EE"/>
    <w:rsid w:val="698524BB"/>
    <w:rsid w:val="69FF49F3"/>
    <w:rsid w:val="6A0E178B"/>
    <w:rsid w:val="6A132641"/>
    <w:rsid w:val="6A4315BC"/>
    <w:rsid w:val="6A50337D"/>
    <w:rsid w:val="6A9109BB"/>
    <w:rsid w:val="6A953FED"/>
    <w:rsid w:val="6AA2579F"/>
    <w:rsid w:val="6AA40154"/>
    <w:rsid w:val="6AA40D85"/>
    <w:rsid w:val="6AB37D1A"/>
    <w:rsid w:val="6AB5321D"/>
    <w:rsid w:val="6B487FA4"/>
    <w:rsid w:val="6BA64C48"/>
    <w:rsid w:val="6BF5742D"/>
    <w:rsid w:val="6C093552"/>
    <w:rsid w:val="6C4628A3"/>
    <w:rsid w:val="6C7A1EB1"/>
    <w:rsid w:val="6C9D43C3"/>
    <w:rsid w:val="6C9E020F"/>
    <w:rsid w:val="6D12080C"/>
    <w:rsid w:val="6D446BF2"/>
    <w:rsid w:val="6D747CDF"/>
    <w:rsid w:val="6E175795"/>
    <w:rsid w:val="6E3D0F34"/>
    <w:rsid w:val="6E8B75DB"/>
    <w:rsid w:val="6F3B6D06"/>
    <w:rsid w:val="6F9F719A"/>
    <w:rsid w:val="6FA97572"/>
    <w:rsid w:val="6FE76243"/>
    <w:rsid w:val="6FF424CF"/>
    <w:rsid w:val="70216D02"/>
    <w:rsid w:val="705A152D"/>
    <w:rsid w:val="707957C3"/>
    <w:rsid w:val="70F55453"/>
    <w:rsid w:val="711660AF"/>
    <w:rsid w:val="7120435B"/>
    <w:rsid w:val="712974E7"/>
    <w:rsid w:val="71863884"/>
    <w:rsid w:val="7193778B"/>
    <w:rsid w:val="719552FF"/>
    <w:rsid w:val="71AA3CCF"/>
    <w:rsid w:val="72121A4E"/>
    <w:rsid w:val="72334969"/>
    <w:rsid w:val="72446F3F"/>
    <w:rsid w:val="72607963"/>
    <w:rsid w:val="72850EF0"/>
    <w:rsid w:val="72BF7DD0"/>
    <w:rsid w:val="72E03354"/>
    <w:rsid w:val="72F66434"/>
    <w:rsid w:val="731C6E4F"/>
    <w:rsid w:val="732C4B81"/>
    <w:rsid w:val="73822915"/>
    <w:rsid w:val="73CC6C88"/>
    <w:rsid w:val="743453B3"/>
    <w:rsid w:val="74394E24"/>
    <w:rsid w:val="745A42FD"/>
    <w:rsid w:val="745F38C7"/>
    <w:rsid w:val="746C0D90"/>
    <w:rsid w:val="74AA048A"/>
    <w:rsid w:val="74AA10E0"/>
    <w:rsid w:val="74C468F8"/>
    <w:rsid w:val="74E6284A"/>
    <w:rsid w:val="74F15392"/>
    <w:rsid w:val="74F841F7"/>
    <w:rsid w:val="74FC181C"/>
    <w:rsid w:val="75172D8C"/>
    <w:rsid w:val="75454A9D"/>
    <w:rsid w:val="75764AC6"/>
    <w:rsid w:val="75A44310"/>
    <w:rsid w:val="75CD0171"/>
    <w:rsid w:val="75E46CF0"/>
    <w:rsid w:val="7610212F"/>
    <w:rsid w:val="76294523"/>
    <w:rsid w:val="767A5F36"/>
    <w:rsid w:val="76AB3347"/>
    <w:rsid w:val="76B85BB3"/>
    <w:rsid w:val="76ED799B"/>
    <w:rsid w:val="76F14D3C"/>
    <w:rsid w:val="777F3A78"/>
    <w:rsid w:val="778934FC"/>
    <w:rsid w:val="77A318EC"/>
    <w:rsid w:val="77AD276B"/>
    <w:rsid w:val="77DC19B1"/>
    <w:rsid w:val="78066079"/>
    <w:rsid w:val="782D7FF1"/>
    <w:rsid w:val="7861768C"/>
    <w:rsid w:val="78BC6833"/>
    <w:rsid w:val="78C7785D"/>
    <w:rsid w:val="78D93D7C"/>
    <w:rsid w:val="79113FAC"/>
    <w:rsid w:val="79B7385A"/>
    <w:rsid w:val="79D97F00"/>
    <w:rsid w:val="7A072EBE"/>
    <w:rsid w:val="7A1444C7"/>
    <w:rsid w:val="7A3E70A7"/>
    <w:rsid w:val="7A42736D"/>
    <w:rsid w:val="7A66105B"/>
    <w:rsid w:val="7A911E7D"/>
    <w:rsid w:val="7A9A18B5"/>
    <w:rsid w:val="7AA33E25"/>
    <w:rsid w:val="7AFA0536"/>
    <w:rsid w:val="7B876E2F"/>
    <w:rsid w:val="7BBA16F9"/>
    <w:rsid w:val="7BDD71DF"/>
    <w:rsid w:val="7BE44D4F"/>
    <w:rsid w:val="7C063937"/>
    <w:rsid w:val="7CB9602C"/>
    <w:rsid w:val="7CC1272E"/>
    <w:rsid w:val="7D002024"/>
    <w:rsid w:val="7D09454E"/>
    <w:rsid w:val="7D2D4A37"/>
    <w:rsid w:val="7D2E14C9"/>
    <w:rsid w:val="7D3746FC"/>
    <w:rsid w:val="7D6107BF"/>
    <w:rsid w:val="7D7A6180"/>
    <w:rsid w:val="7DDD11B7"/>
    <w:rsid w:val="7DEC121C"/>
    <w:rsid w:val="7E4A3501"/>
    <w:rsid w:val="7E537A07"/>
    <w:rsid w:val="7E6B0C8A"/>
    <w:rsid w:val="7EA206FB"/>
    <w:rsid w:val="7EFF75EF"/>
    <w:rsid w:val="7F461EDE"/>
    <w:rsid w:val="7FF97783"/>
    <w:rsid w:val="987BBC6D"/>
    <w:rsid w:val="EB72A1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880" w:firstLineChars="200"/>
      <w:jc w:val="both"/>
    </w:pPr>
    <w:rPr>
      <w:rFonts w:eastAsia="宋体" w:asciiTheme="minorHAnsi" w:hAnsiTheme="minorHAnsi" w:cstheme="minorBidi"/>
      <w:kern w:val="2"/>
      <w:sz w:val="26"/>
      <w:szCs w:val="24"/>
      <w:lang w:val="en-US" w:eastAsia="zh-CN" w:bidi="ar-SA"/>
    </w:rPr>
  </w:style>
  <w:style w:type="paragraph" w:styleId="2">
    <w:name w:val="heading 1"/>
    <w:basedOn w:val="1"/>
    <w:next w:val="1"/>
    <w:qFormat/>
    <w:uiPriority w:val="9"/>
    <w:pPr>
      <w:keepNext/>
      <w:keepLines/>
      <w:spacing w:line="360" w:lineRule="auto"/>
      <w:ind w:firstLine="0" w:firstLineChars="0"/>
      <w:outlineLvl w:val="0"/>
    </w:pPr>
    <w:rPr>
      <w:rFonts w:eastAsia="黑体"/>
      <w:b/>
      <w:bCs/>
      <w:kern w:val="44"/>
      <w:sz w:val="31"/>
      <w:szCs w:val="44"/>
    </w:rPr>
  </w:style>
  <w:style w:type="paragraph" w:styleId="3">
    <w:name w:val="heading 2"/>
    <w:basedOn w:val="1"/>
    <w:next w:val="1"/>
    <w:link w:val="19"/>
    <w:unhideWhenUsed/>
    <w:qFormat/>
    <w:uiPriority w:val="0"/>
    <w:pPr>
      <w:keepNext/>
      <w:keepLines/>
      <w:spacing w:line="360" w:lineRule="auto"/>
      <w:ind w:firstLine="0" w:firstLineChars="0"/>
      <w:outlineLvl w:val="1"/>
    </w:pPr>
    <w:rPr>
      <w:rFonts w:eastAsia="黑体" w:asciiTheme="majorHAnsi" w:hAnsiTheme="majorHAnsi" w:cstheme="majorBidi"/>
      <w:b/>
      <w:bCs/>
      <w:sz w:val="28"/>
      <w:szCs w:val="32"/>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cs="Times New Roman"/>
      <w:b/>
      <w:kern w:val="0"/>
      <w:sz w:val="27"/>
      <w:szCs w:val="27"/>
    </w:rPr>
  </w:style>
  <w:style w:type="paragraph" w:styleId="5">
    <w:name w:val="heading 4"/>
    <w:basedOn w:val="1"/>
    <w:next w:val="1"/>
    <w:link w:val="20"/>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8"/>
    <w:qFormat/>
    <w:uiPriority w:val="0"/>
    <w:rPr>
      <w:rFonts w:ascii="仿宋_GB2312" w:hAnsi="仿宋_GB2312" w:eastAsia="仿宋_GB2312" w:cs="Arial"/>
      <w:sz w:val="32"/>
      <w:szCs w:val="20"/>
    </w:rPr>
  </w:style>
  <w:style w:type="paragraph" w:styleId="8">
    <w:name w:val="Title"/>
    <w:basedOn w:val="1"/>
    <w:next w:val="1"/>
    <w:link w:val="27"/>
    <w:qFormat/>
    <w:uiPriority w:val="0"/>
    <w:pPr>
      <w:spacing w:before="240" w:after="60"/>
      <w:jc w:val="center"/>
      <w:outlineLvl w:val="0"/>
    </w:pPr>
    <w:rPr>
      <w:rFonts w:ascii="Cambria" w:hAnsi="Cambria"/>
      <w:b/>
      <w:bCs/>
      <w:kern w:val="0"/>
      <w:sz w:val="32"/>
      <w:szCs w:val="32"/>
    </w:rPr>
  </w:style>
  <w:style w:type="paragraph" w:styleId="9">
    <w:name w:val="Balloon Text"/>
    <w:basedOn w:val="1"/>
    <w:link w:val="18"/>
    <w:qFormat/>
    <w:uiPriority w:val="0"/>
    <w:rPr>
      <w:rFonts w:ascii="宋体"/>
      <w:sz w:val="18"/>
      <w:szCs w:val="18"/>
    </w:rPr>
  </w:style>
  <w:style w:type="paragraph" w:styleId="10">
    <w:name w:val="footer"/>
    <w:basedOn w:val="1"/>
    <w:link w:val="28"/>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List Paragraph"/>
    <w:basedOn w:val="1"/>
    <w:qFormat/>
    <w:uiPriority w:val="99"/>
    <w:pPr>
      <w:ind w:firstLine="420"/>
    </w:pPr>
  </w:style>
  <w:style w:type="character" w:customStyle="1" w:styleId="18">
    <w:name w:val="批注框文本 字符"/>
    <w:basedOn w:val="16"/>
    <w:link w:val="9"/>
    <w:qFormat/>
    <w:uiPriority w:val="0"/>
    <w:rPr>
      <w:rFonts w:ascii="宋体" w:eastAsia="宋体" w:hAnsiTheme="minorHAnsi" w:cstheme="minorBidi"/>
      <w:kern w:val="2"/>
      <w:sz w:val="18"/>
      <w:szCs w:val="18"/>
    </w:rPr>
  </w:style>
  <w:style w:type="character" w:customStyle="1" w:styleId="19">
    <w:name w:val="标题 2 字符"/>
    <w:basedOn w:val="16"/>
    <w:link w:val="3"/>
    <w:qFormat/>
    <w:uiPriority w:val="0"/>
    <w:rPr>
      <w:rFonts w:eastAsia="黑体" w:asciiTheme="majorHAnsi" w:hAnsiTheme="majorHAnsi" w:cstheme="majorBidi"/>
      <w:b/>
      <w:bCs/>
      <w:kern w:val="2"/>
      <w:sz w:val="28"/>
      <w:szCs w:val="32"/>
    </w:rPr>
  </w:style>
  <w:style w:type="character" w:customStyle="1" w:styleId="20">
    <w:name w:val="标题 4 字符"/>
    <w:basedOn w:val="16"/>
    <w:link w:val="5"/>
    <w:semiHidden/>
    <w:qFormat/>
    <w:uiPriority w:val="0"/>
    <w:rPr>
      <w:rFonts w:asciiTheme="majorHAnsi" w:hAnsiTheme="majorHAnsi" w:eastAsiaTheme="majorEastAsia" w:cstheme="majorBidi"/>
      <w:b/>
      <w:bCs/>
      <w:kern w:val="2"/>
      <w:sz w:val="28"/>
      <w:szCs w:val="28"/>
    </w:rPr>
  </w:style>
  <w:style w:type="paragraph" w:customStyle="1" w:styleId="21">
    <w:name w:val="*Z表内容"/>
    <w:qFormat/>
    <w:uiPriority w:val="0"/>
    <w:pPr>
      <w:snapToGrid w:val="0"/>
      <w:jc w:val="center"/>
    </w:pPr>
    <w:rPr>
      <w:rFonts w:ascii="Times New Roman" w:hAnsi="Times New Roman" w:eastAsia="宋体" w:cs="Times New Roman"/>
      <w:bCs/>
      <w:kern w:val="2"/>
      <w:sz w:val="18"/>
      <w:szCs w:val="21"/>
      <w:lang w:val="en-US" w:eastAsia="zh-CN" w:bidi="ar-SA"/>
    </w:rPr>
  </w:style>
  <w:style w:type="paragraph" w:customStyle="1" w:styleId="22">
    <w:name w:val="南网格式"/>
    <w:basedOn w:val="1"/>
    <w:qFormat/>
    <w:uiPriority w:val="0"/>
    <w:pPr>
      <w:widowControl/>
      <w:spacing w:before="120" w:after="160" w:line="360" w:lineRule="auto"/>
      <w:jc w:val="left"/>
    </w:pPr>
    <w:rPr>
      <w:rFonts w:ascii="宋体" w:hAnsi="宋体" w:cs="Times New Roman"/>
      <w:kern w:val="0"/>
      <w:sz w:val="24"/>
      <w:szCs w:val="28"/>
    </w:rPr>
  </w:style>
  <w:style w:type="paragraph" w:customStyle="1" w:styleId="23">
    <w:name w:val="首页日期"/>
    <w:basedOn w:val="1"/>
    <w:link w:val="24"/>
    <w:qFormat/>
    <w:uiPriority w:val="0"/>
    <w:pPr>
      <w:jc w:val="center"/>
    </w:pPr>
    <w:rPr>
      <w:rFonts w:eastAsia="楷体"/>
      <w:sz w:val="32"/>
    </w:rPr>
  </w:style>
  <w:style w:type="character" w:customStyle="1" w:styleId="24">
    <w:name w:val="首页日期 Char"/>
    <w:link w:val="23"/>
    <w:qFormat/>
    <w:uiPriority w:val="0"/>
    <w:rPr>
      <w:rFonts w:eastAsia="楷体"/>
      <w:sz w:val="32"/>
    </w:rPr>
  </w:style>
  <w:style w:type="paragraph" w:customStyle="1" w:styleId="25">
    <w:name w:val="Table Text"/>
    <w:basedOn w:val="1"/>
    <w:semiHidden/>
    <w:qFormat/>
    <w:uiPriority w:val="0"/>
    <w:rPr>
      <w:rFonts w:ascii="宋体" w:hAnsi="宋体" w:cs="宋体"/>
      <w:sz w:val="24"/>
      <w:lang w:eastAsia="en-US"/>
    </w:rPr>
  </w:style>
  <w:style w:type="table" w:customStyle="1" w:styleId="26">
    <w:name w:val="Table Normal"/>
    <w:semiHidden/>
    <w:unhideWhenUsed/>
    <w:qFormat/>
    <w:uiPriority w:val="0"/>
    <w:tblPr>
      <w:tblCellMar>
        <w:top w:w="0" w:type="dxa"/>
        <w:left w:w="0" w:type="dxa"/>
        <w:bottom w:w="0" w:type="dxa"/>
        <w:right w:w="0" w:type="dxa"/>
      </w:tblCellMar>
    </w:tblPr>
  </w:style>
  <w:style w:type="character" w:customStyle="1" w:styleId="27">
    <w:name w:val="标题 字符"/>
    <w:link w:val="8"/>
    <w:qFormat/>
    <w:uiPriority w:val="0"/>
    <w:rPr>
      <w:rFonts w:ascii="Cambria" w:hAnsi="Cambria" w:eastAsia="宋体" w:cstheme="minorBidi"/>
      <w:b/>
      <w:bCs/>
      <w:sz w:val="32"/>
      <w:szCs w:val="32"/>
    </w:rPr>
  </w:style>
  <w:style w:type="character" w:customStyle="1" w:styleId="28">
    <w:name w:val="页脚 字符"/>
    <w:link w:val="10"/>
    <w:qFormat/>
    <w:uiPriority w:val="0"/>
    <w:rPr>
      <w:rFonts w:eastAsia="宋体" w:asciiTheme="minorHAnsi" w:hAnsiTheme="minorHAnsi" w:cstheme="minorBidi"/>
      <w:kern w:val="2"/>
      <w:sz w:val="18"/>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846</Words>
  <Characters>4825</Characters>
  <Lines>40</Lines>
  <Paragraphs>11</Paragraphs>
  <TotalTime>5</TotalTime>
  <ScaleCrop>false</ScaleCrop>
  <LinksUpToDate>false</LinksUpToDate>
  <CharactersWithSpaces>5660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2026-06-12T03:17:00Z</dcterms:created>
  <dc:creator>an</dc:creator>
  <cp:lastModifiedBy>Lenovo</cp:lastModifiedBy>
  <cp:lastPrinted>2026-06-16T01:39:44Z</cp:lastPrinted>
  <dcterms:modified xsi:type="dcterms:W3CDTF">2026-06-16T01:49:50Z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F9F403081344435D9FA0069E464DA0DF_13</vt:lpwstr>
  </property>
  <property fmtid="{D5CDD505-2E9C-101B-9397-08002B2CF9AE}" pid="4" name="KSOTemplateDocerSaveRecord">
    <vt:lpwstr>eyJoZGlkIjoiMzEwNTM5NzYwMDRjMzkwZTVkZjY2ODkwMGIxNGU0OTUiLCJ1c2VySWQiOiIyOTc0OTM5OTIifQ==</vt:lpwstr>
  </property>
</Properties>
</file>