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sz w:val="52"/>
          <w:szCs w:val="52"/>
        </w:rPr>
      </w:pPr>
      <w:r>
        <w:rPr>
          <w:rFonts w:ascii="黑体" w:hAnsi="Times New Roman" w:eastAsia="黑体" w:cs="Times New Roman"/>
          <w:b/>
          <w:kern w:val="0"/>
          <w:sz w:val="32"/>
          <w:szCs w:val="20"/>
        </w:rPr>
        <w:drawing>
          <wp:anchor distT="0" distB="0" distL="114300" distR="114300" simplePos="0" relativeHeight="251659264" behindDoc="0" locked="0" layoutInCell="1" allowOverlap="1">
            <wp:simplePos x="0" y="0"/>
            <wp:positionH relativeFrom="column">
              <wp:posOffset>-1266825</wp:posOffset>
            </wp:positionH>
            <wp:positionV relativeFrom="paragraph">
              <wp:posOffset>-303530</wp:posOffset>
            </wp:positionV>
            <wp:extent cx="7675880" cy="10876280"/>
            <wp:effectExtent l="0" t="0" r="1905" b="1905"/>
            <wp:wrapNone/>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675880" cy="10876280"/>
                    </a:xfrm>
                    <a:prstGeom prst="rect">
                      <a:avLst/>
                    </a:prstGeom>
                    <a:solidFill>
                      <a:srgbClr val="FFFFFF"/>
                    </a:solidFill>
                    <a:ln>
                      <a:noFill/>
                    </a:ln>
                  </pic:spPr>
                </pic:pic>
              </a:graphicData>
            </a:graphic>
          </wp:anchor>
        </w:drawing>
      </w:r>
    </w:p>
    <w:p>
      <w:pPr>
        <w:jc w:val="center"/>
        <w:rPr>
          <w:rFonts w:hint="eastAsia" w:ascii="黑体" w:hAnsi="黑体" w:eastAsia="黑体"/>
          <w:b/>
          <w:sz w:val="52"/>
          <w:szCs w:val="52"/>
        </w:rPr>
      </w:pPr>
    </w:p>
    <w:p>
      <w:pPr>
        <w:jc w:val="center"/>
        <w:rPr>
          <w:rFonts w:hint="eastAsia" w:ascii="黑体" w:hAnsi="黑体" w:eastAsia="黑体"/>
          <w:b/>
          <w:sz w:val="52"/>
          <w:szCs w:val="52"/>
        </w:rPr>
      </w:pPr>
    </w:p>
    <w:p>
      <w:pPr>
        <w:jc w:val="center"/>
        <w:rPr>
          <w:rFonts w:hint="eastAsia" w:ascii="黑体" w:hAnsi="黑体" w:eastAsia="黑体"/>
          <w:b/>
          <w:sz w:val="52"/>
          <w:szCs w:val="52"/>
        </w:rPr>
      </w:pPr>
    </w:p>
    <w:p>
      <w:pPr>
        <w:pStyle w:val="2"/>
      </w:pPr>
      <w:r>
        <w:rPr>
          <w:rFonts w:ascii="黑体" w:hAnsi="Times New Roman" w:eastAsia="黑体" w:cs="Times New Roman"/>
          <w:b/>
          <w:kern w:val="0"/>
          <w:sz w:val="32"/>
          <w:szCs w:val="20"/>
        </w:rPr>
        <mc:AlternateContent>
          <mc:Choice Requires="wps">
            <w:drawing>
              <wp:anchor distT="0" distB="0" distL="114300" distR="114300" simplePos="0" relativeHeight="251660288" behindDoc="0" locked="0" layoutInCell="1" allowOverlap="1">
                <wp:simplePos x="0" y="0"/>
                <wp:positionH relativeFrom="column">
                  <wp:posOffset>295275</wp:posOffset>
                </wp:positionH>
                <wp:positionV relativeFrom="paragraph">
                  <wp:posOffset>13335</wp:posOffset>
                </wp:positionV>
                <wp:extent cx="4934585" cy="666750"/>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4934585" cy="666750"/>
                        </a:xfrm>
                        <a:prstGeom prst="rect">
                          <a:avLst/>
                        </a:prstGeom>
                        <a:noFill/>
                        <a:ln>
                          <a:noFill/>
                        </a:ln>
                      </wps:spPr>
                      <wps:txbx>
                        <w:txbxContent>
                          <w:p>
                            <w:pPr>
                              <w:rPr>
                                <w:rFonts w:hint="eastAsia" w:ascii="黑体" w:hAnsi="黑体" w:eastAsia="黑体"/>
                                <w:b/>
                                <w:sz w:val="52"/>
                                <w:szCs w:val="52"/>
                              </w:rPr>
                            </w:pPr>
                            <w:r>
                              <w:rPr>
                                <w:rFonts w:hint="eastAsia" w:ascii="黑体" w:hAnsi="黑体" w:eastAsia="黑体"/>
                                <w:b/>
                                <w:sz w:val="52"/>
                                <w:szCs w:val="52"/>
                              </w:rPr>
                              <w:t>南方海上风电联合开发有限公司</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25pt;margin-top:1.05pt;height:52.5pt;width:388.55pt;z-index:251660288;mso-width-relative:page;mso-height-relative:page;" filled="f" stroked="f" coordsize="21600,21600" o:gfxdata="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TlVhv1gAAAAgBAAAPAAAA&#10;AAAAAAEAIAAAACIAAABkcnMvZG93bnJldi54bWxQSwECFAAUAAAACACHTuJAznAA/xcCAAAVBAAA&#10;DgAAAAAAAAABACAAAAAlAQAAZHJzL2Uyb0RvYy54bWxQSwUGAAAAAAYABgBZAQAArgUAAAAA&#10;">
                <v:fill on="f" focussize="0,0"/>
                <v:stroke on="f"/>
                <v:imagedata o:title=""/>
                <o:lock v:ext="edit" aspectratio="f"/>
                <v:textbox>
                  <w:txbxContent>
                    <w:p>
                      <w:pPr>
                        <w:rPr>
                          <w:rFonts w:hint="eastAsia" w:ascii="黑体" w:hAnsi="黑体" w:eastAsia="黑体"/>
                          <w:b/>
                          <w:sz w:val="52"/>
                          <w:szCs w:val="52"/>
                        </w:rPr>
                      </w:pPr>
                      <w:r>
                        <w:rPr>
                          <w:rFonts w:hint="eastAsia" w:ascii="黑体" w:hAnsi="黑体" w:eastAsia="黑体"/>
                          <w:b/>
                          <w:sz w:val="52"/>
                          <w:szCs w:val="52"/>
                        </w:rPr>
                        <w:t>南方海上风电联合开发有限公司</w:t>
                      </w:r>
                    </w:p>
                  </w:txbxContent>
                </v:textbox>
              </v:shape>
            </w:pict>
          </mc:Fallback>
        </mc:AlternateContent>
      </w:r>
    </w:p>
    <w:p>
      <w:pPr>
        <w:pStyle w:val="2"/>
      </w:pPr>
    </w:p>
    <w:p>
      <w:pPr>
        <w:pStyle w:val="2"/>
      </w:pPr>
    </w:p>
    <w:p>
      <w:pPr>
        <w:pStyle w:val="2"/>
      </w:pPr>
    </w:p>
    <w:p>
      <w:pPr>
        <w:pStyle w:val="2"/>
      </w:pPr>
    </w:p>
    <w:p>
      <w:pPr>
        <w:pStyle w:val="2"/>
      </w:pPr>
      <w:r>
        <w:rPr>
          <w:rFonts w:ascii="黑体" w:hAnsi="Times New Roman" w:eastAsia="黑体" w:cs="Times New Roman"/>
          <w:b/>
          <w:kern w:val="0"/>
          <w:sz w:val="32"/>
          <w:szCs w:val="20"/>
        </w:rPr>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266065</wp:posOffset>
                </wp:positionV>
                <wp:extent cx="5778500" cy="54546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5778500" cy="545465"/>
                        </a:xfrm>
                        <a:prstGeom prst="rect">
                          <a:avLst/>
                        </a:prstGeom>
                        <a:noFill/>
                        <a:ln>
                          <a:noFill/>
                        </a:ln>
                      </wps:spPr>
                      <wps:txbx>
                        <w:txbxContent>
                          <w:p>
                            <w:pPr>
                              <w:ind w:firstLine="1707" w:firstLineChars="500"/>
                              <w:rPr>
                                <w:rFonts w:hint="eastAsia" w:ascii="黑体" w:hAnsi="黑体" w:eastAsia="黑体"/>
                                <w:b/>
                                <w:sz w:val="52"/>
                                <w:szCs w:val="52"/>
                              </w:rPr>
                            </w:pPr>
                            <w:r>
                              <w:rPr>
                                <w:rFonts w:asciiTheme="minorEastAsia" w:hAnsiTheme="minorEastAsia"/>
                                <w:b/>
                                <w:bCs/>
                                <w:spacing w:val="-10"/>
                                <w:sz w:val="36"/>
                                <w:szCs w:val="36"/>
                              </w:rPr>
                              <w:t>职业卫生定期检测项目</w:t>
                            </w:r>
                            <w:r>
                              <w:rPr>
                                <w:rFonts w:hint="eastAsia" w:asciiTheme="minorEastAsia" w:hAnsiTheme="minorEastAsia"/>
                                <w:b/>
                                <w:bCs/>
                                <w:spacing w:val="-10"/>
                                <w:sz w:val="36"/>
                                <w:szCs w:val="36"/>
                              </w:rPr>
                              <w:t>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20.95pt;height:42.95pt;width:455pt;z-index:251661312;mso-width-relative:page;mso-height-relative:page;" filled="f" stroked="f" coordsize="21600,21600" o:gfxdata="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Chf6z1gAAAAkBAAAPAAAA&#10;AAAAAAEAIAAAACIAAABkcnMvZG93bnJldi54bWxQSwECFAAUAAAACACHTuJA9Yjl2BcCAAAVBAAA&#10;DgAAAAAAAAABACAAAAAlAQAAZHJzL2Uyb0RvYy54bWxQSwUGAAAAAAYABgBZAQAArgUAAAAA&#10;">
                <v:fill on="f" focussize="0,0"/>
                <v:stroke on="f"/>
                <v:imagedata o:title=""/>
                <o:lock v:ext="edit" aspectratio="f"/>
                <v:textbox>
                  <w:txbxContent>
                    <w:p>
                      <w:pPr>
                        <w:ind w:firstLine="1707" w:firstLineChars="500"/>
                        <w:rPr>
                          <w:rFonts w:hint="eastAsia" w:ascii="黑体" w:hAnsi="黑体" w:eastAsia="黑体"/>
                          <w:b/>
                          <w:sz w:val="52"/>
                          <w:szCs w:val="52"/>
                        </w:rPr>
                      </w:pPr>
                      <w:r>
                        <w:rPr>
                          <w:rFonts w:asciiTheme="minorEastAsia" w:hAnsiTheme="minorEastAsia"/>
                          <w:b/>
                          <w:bCs/>
                          <w:spacing w:val="-10"/>
                          <w:sz w:val="36"/>
                          <w:szCs w:val="36"/>
                        </w:rPr>
                        <w:t>职业卫生定期检测项目</w:t>
                      </w:r>
                      <w:r>
                        <w:rPr>
                          <w:rFonts w:hint="eastAsia" w:asciiTheme="minorEastAsia" w:hAnsiTheme="minorEastAsia"/>
                          <w:b/>
                          <w:bCs/>
                          <w:spacing w:val="-10"/>
                          <w:sz w:val="36"/>
                          <w:szCs w:val="36"/>
                        </w:rPr>
                        <w:t>技术规范书</w:t>
                      </w:r>
                    </w:p>
                  </w:txbxContent>
                </v:textbox>
              </v:shape>
            </w:pict>
          </mc:Fallback>
        </mc:AlternateConten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jc w:val="center"/>
        <w:rPr>
          <w:b/>
          <w:sz w:val="36"/>
          <w:szCs w:val="36"/>
        </w:rPr>
      </w:pPr>
    </w:p>
    <w:p>
      <w:pPr>
        <w:jc w:val="center"/>
        <w:rPr>
          <w:b/>
          <w:sz w:val="36"/>
          <w:szCs w:val="36"/>
        </w:rPr>
      </w:pPr>
      <w:r>
        <w:rPr>
          <w:b/>
          <w:sz w:val="36"/>
          <w:szCs w:val="36"/>
        </w:rPr>
        <w:t>安全生产部</w:t>
      </w:r>
    </w:p>
    <w:p>
      <w:pPr>
        <w:pStyle w:val="2"/>
      </w:pPr>
    </w:p>
    <w:p>
      <w:pPr>
        <w:pStyle w:val="2"/>
        <w:jc w:val="center"/>
        <w:rPr>
          <w:sz w:val="36"/>
          <w:szCs w:val="36"/>
        </w:rPr>
      </w:pPr>
      <w:r>
        <w:rPr>
          <w:rFonts w:ascii="Times New Roman" w:hAnsi="Times New Roman" w:eastAsia="宋体" w:cs="Times New Roman"/>
          <w:szCs w:val="24"/>
        </w:rPr>
        <mc:AlternateContent>
          <mc:Choice Requires="wps">
            <w:drawing>
              <wp:anchor distT="0" distB="0" distL="114300" distR="114300" simplePos="0" relativeHeight="251662336" behindDoc="0" locked="0" layoutInCell="1" allowOverlap="1">
                <wp:simplePos x="0" y="0"/>
                <wp:positionH relativeFrom="column">
                  <wp:posOffset>1695450</wp:posOffset>
                </wp:positionH>
                <wp:positionV relativeFrom="paragraph">
                  <wp:posOffset>41910</wp:posOffset>
                </wp:positionV>
                <wp:extent cx="1884680" cy="495935"/>
                <wp:effectExtent l="0" t="0" r="0" b="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884680" cy="495935"/>
                        </a:xfrm>
                        <a:prstGeom prst="rect">
                          <a:avLst/>
                        </a:prstGeom>
                        <a:noFill/>
                        <a:ln>
                          <a:noFill/>
                        </a:ln>
                      </wps:spPr>
                      <wps:txbx>
                        <w:txbxContent>
                          <w:p>
                            <w:pPr>
                              <w:ind w:right="243"/>
                              <w:jc w:val="center"/>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安全生产部</w:t>
                            </w: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3.5pt;margin-top:3.3pt;height:39.05pt;width:148.4pt;z-index:251662336;mso-width-relative:page;mso-height-relative:page;" filled="f" stroked="f" coordsize="21600,21600" o:gfxdata="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1xOqj1gAAAAgBAAAPAAAA&#10;AAAAAAEAIAAAACIAAABkcnMvZG93bnJldi54bWxQSwECFAAUAAAACACHTuJA2PlSnBcCAAAXBAAA&#10;DgAAAAAAAAABACAAAAAlAQAAZHJzL2Uyb0RvYy54bWxQSwUGAAAAAAYABgBZAQAArgUAAAAA&#10;">
                <v:fill on="f" focussize="0,0"/>
                <v:stroke on="f"/>
                <v:imagedata o:title=""/>
                <o:lock v:ext="edit" aspectratio="f"/>
                <v:textbox>
                  <w:txbxContent>
                    <w:p>
                      <w:pPr>
                        <w:ind w:right="243"/>
                        <w:jc w:val="center"/>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安全生产部</w:t>
                      </w: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txbxContent>
                </v:textbox>
              </v:shape>
            </w:pict>
          </mc:Fallback>
        </mc:AlternateContent>
      </w:r>
      <w:r>
        <w:rPr>
          <w:rFonts w:hint="eastAsia"/>
          <w:sz w:val="36"/>
          <w:szCs w:val="36"/>
        </w:rPr>
        <w:t>目录</w:t>
      </w:r>
    </w:p>
    <w:p>
      <w:pPr>
        <w:pStyle w:val="2"/>
        <w:jc w:val="center"/>
        <w:rPr>
          <w:sz w:val="36"/>
          <w:szCs w:val="36"/>
        </w:rPr>
      </w:pPr>
      <w:r>
        <w:rPr>
          <w:rFonts w:ascii="Times New Roman" w:hAnsi="Times New Roman" w:eastAsia="宋体" w:cs="Times New Roman"/>
          <w:szCs w:val="24"/>
        </w:rPr>
        <mc:AlternateContent>
          <mc:Choice Requires="wps">
            <w:drawing>
              <wp:anchor distT="0" distB="0" distL="114300" distR="114300" simplePos="0" relativeHeight="251663360" behindDoc="0" locked="0" layoutInCell="1" allowOverlap="1">
                <wp:simplePos x="0" y="0"/>
                <wp:positionH relativeFrom="column">
                  <wp:posOffset>1781175</wp:posOffset>
                </wp:positionH>
                <wp:positionV relativeFrom="paragraph">
                  <wp:posOffset>226695</wp:posOffset>
                </wp:positionV>
                <wp:extent cx="1884680" cy="49593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884680" cy="495935"/>
                        </a:xfrm>
                        <a:prstGeom prst="rect">
                          <a:avLst/>
                        </a:prstGeom>
                        <a:noFill/>
                        <a:ln>
                          <a:noFill/>
                        </a:ln>
                      </wps:spPr>
                      <wps:txbx>
                        <w:txbxContent>
                          <w:p>
                            <w:pPr>
                              <w:ind w:right="243"/>
                              <w:jc w:val="center"/>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2026年4月</w:t>
                            </w: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0.25pt;margin-top:17.85pt;height:39.05pt;width:148.4pt;z-index:251663360;mso-width-relative:page;mso-height-relative:page;" filled="f" stroked="f" coordsize="21600,21600" o:gfxdata="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XN7zv1wAAAAoBAAAPAAAA&#10;AAAAAAEAIAAAACIAAABkcnMvZG93bnJldi54bWxQSwECFAAUAAAACACHTuJATnhO2BYCAAAVBAAA&#10;DgAAAAAAAAABACAAAAAmAQAAZHJzL2Uyb0RvYy54bWxQSwUGAAAAAAYABgBZAQAArgUAAAAA&#10;">
                <v:fill on="f" focussize="0,0"/>
                <v:stroke on="f"/>
                <v:imagedata o:title=""/>
                <o:lock v:ext="edit" aspectratio="f"/>
                <v:textbox>
                  <w:txbxContent>
                    <w:p>
                      <w:pPr>
                        <w:ind w:right="243"/>
                        <w:jc w:val="center"/>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2026年4月</w:t>
                      </w:r>
                    </w:p>
                    <w:p>
                      <w:pPr>
                        <w:ind w:right="243"/>
                        <w:jc w:val="center"/>
                        <w:rPr>
                          <w:rFonts w:hint="eastAsia" w:asciiTheme="majorEastAsia" w:hAnsiTheme="majorEastAsia" w:eastAsiaTheme="majorEastAsia"/>
                          <w:b/>
                          <w:spacing w:val="-10"/>
                          <w:sz w:val="36"/>
                          <w:szCs w:val="36"/>
                        </w:rPr>
                      </w:pPr>
                    </w:p>
                    <w:p>
                      <w:pPr>
                        <w:ind w:right="243"/>
                        <w:jc w:val="center"/>
                        <w:rPr>
                          <w:rFonts w:hint="eastAsia" w:asciiTheme="majorEastAsia" w:hAnsiTheme="majorEastAsia" w:eastAsiaTheme="majorEastAsia"/>
                          <w:b/>
                          <w:spacing w:val="-10"/>
                          <w:sz w:val="36"/>
                          <w:szCs w:val="36"/>
                        </w:rPr>
                      </w:pPr>
                    </w:p>
                  </w:txbxContent>
                </v:textbox>
              </v:shape>
            </w:pict>
          </mc:Fallback>
        </mc:AlternateContent>
      </w:r>
    </w:p>
    <w:sdt>
      <w:sdtPr>
        <w:rPr>
          <w:rFonts w:asciiTheme="minorHAnsi" w:hAnsiTheme="minorHAnsi" w:eastAsiaTheme="minorEastAsia" w:cstheme="minorBidi"/>
          <w:color w:val="auto"/>
          <w:kern w:val="2"/>
          <w:sz w:val="21"/>
          <w:szCs w:val="22"/>
          <w:lang w:val="zh-CN"/>
        </w:rPr>
        <w:id w:val="471343104"/>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26"/>
            <w:jc w:val="center"/>
            <w:rPr>
              <w:color w:val="000000" w:themeColor="text1"/>
              <w:sz w:val="44"/>
              <w:szCs w:val="44"/>
              <w14:textFill>
                <w14:solidFill>
                  <w14:schemeClr w14:val="tx1"/>
                </w14:solidFill>
              </w14:textFill>
            </w:rPr>
          </w:pPr>
          <w:r>
            <w:rPr>
              <w:color w:val="000000" w:themeColor="text1"/>
              <w:sz w:val="44"/>
              <w:szCs w:val="44"/>
              <w:lang w:val="zh-CN"/>
              <w14:textFill>
                <w14:solidFill>
                  <w14:schemeClr w14:val="tx1"/>
                </w14:solidFill>
              </w14:textFill>
            </w:rPr>
            <w:t>目录</w:t>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TOC \o "1-3" \h \z \u </w:instrText>
          </w:r>
          <w:r>
            <w:fldChar w:fldCharType="separate"/>
          </w:r>
          <w:r>
            <w:fldChar w:fldCharType="begin"/>
          </w:r>
          <w:r>
            <w:instrText xml:space="preserve"> HYPERLINK \l "_Toc227231022" </w:instrText>
          </w:r>
          <w:r>
            <w:fldChar w:fldCharType="separate"/>
          </w:r>
          <w:r>
            <w:rPr>
              <w:rFonts w:asciiTheme="minorEastAsia" w:hAnsiTheme="minorEastAsia" w:cstheme="minorBidi"/>
              <w:kern w:val="2"/>
            </w:rPr>
            <w:t>1</w:t>
          </w:r>
          <w:r>
            <w:rPr>
              <w:rFonts w:hint="eastAsia" w:asciiTheme="minorEastAsia" w:hAnsiTheme="minorEastAsia" w:cstheme="minorBidi"/>
              <w:kern w:val="2"/>
            </w:rPr>
            <w:t>、总则</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_Toc227231022 \h </w:instrText>
          </w:r>
          <w:r>
            <w:rPr>
              <w:rFonts w:asciiTheme="minorEastAsia" w:hAnsiTheme="minorEastAsia" w:cstheme="minorBidi"/>
              <w:kern w:val="2"/>
              <w:sz w:val="21"/>
            </w:rPr>
            <w:fldChar w:fldCharType="separate"/>
          </w:r>
          <w:r>
            <w:rPr>
              <w:rFonts w:asciiTheme="minorEastAsia" w:hAnsiTheme="minorEastAsia" w:cstheme="minorBidi"/>
              <w:kern w:val="2"/>
              <w:sz w:val="21"/>
            </w:rPr>
            <w:t>1</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"_Toc227231023" </w:instrText>
          </w:r>
          <w:r>
            <w:fldChar w:fldCharType="separate"/>
          </w:r>
          <w:r>
            <w:rPr>
              <w:rFonts w:asciiTheme="minorEastAsia" w:hAnsiTheme="minorEastAsia" w:cstheme="minorBidi"/>
              <w:kern w:val="2"/>
            </w:rPr>
            <w:t>2</w:t>
          </w:r>
          <w:r>
            <w:rPr>
              <w:rFonts w:hint="eastAsia" w:asciiTheme="minorEastAsia" w:hAnsiTheme="minorEastAsia" w:cstheme="minorBidi"/>
              <w:kern w:val="2"/>
            </w:rPr>
            <w:t>、应遵循的主要标准</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_Toc227231023 \h </w:instrText>
          </w:r>
          <w:r>
            <w:rPr>
              <w:rFonts w:asciiTheme="minorEastAsia" w:hAnsiTheme="minorEastAsia" w:cstheme="minorBidi"/>
              <w:kern w:val="2"/>
              <w:sz w:val="21"/>
            </w:rPr>
            <w:fldChar w:fldCharType="separate"/>
          </w:r>
          <w:r>
            <w:rPr>
              <w:rFonts w:asciiTheme="minorEastAsia" w:hAnsiTheme="minorEastAsia" w:cstheme="minorBidi"/>
              <w:kern w:val="2"/>
              <w:sz w:val="21"/>
            </w:rPr>
            <w:t>2</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"_Toc227231024" </w:instrText>
          </w:r>
          <w:r>
            <w:fldChar w:fldCharType="separate"/>
          </w:r>
          <w:r>
            <w:rPr>
              <w:rFonts w:asciiTheme="minorEastAsia" w:hAnsiTheme="minorEastAsia" w:cstheme="minorBidi"/>
              <w:kern w:val="2"/>
            </w:rPr>
            <w:t>3</w:t>
          </w:r>
          <w:r>
            <w:rPr>
              <w:rFonts w:hint="eastAsia" w:asciiTheme="minorEastAsia" w:hAnsiTheme="minorEastAsia" w:cstheme="minorBidi"/>
              <w:kern w:val="2"/>
            </w:rPr>
            <w:t>、项目概况</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_Toc227231024 \h </w:instrText>
          </w:r>
          <w:r>
            <w:rPr>
              <w:rFonts w:asciiTheme="minorEastAsia" w:hAnsiTheme="minorEastAsia" w:cstheme="minorBidi"/>
              <w:kern w:val="2"/>
              <w:sz w:val="21"/>
            </w:rPr>
            <w:fldChar w:fldCharType="separate"/>
          </w:r>
          <w:r>
            <w:rPr>
              <w:rFonts w:asciiTheme="minorEastAsia" w:hAnsiTheme="minorEastAsia" w:cstheme="minorBidi"/>
              <w:kern w:val="2"/>
              <w:sz w:val="21"/>
            </w:rPr>
            <w:t>3</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"_Toc227231025" </w:instrText>
          </w:r>
          <w:r>
            <w:fldChar w:fldCharType="separate"/>
          </w:r>
          <w:r>
            <w:rPr>
              <w:rFonts w:asciiTheme="minorEastAsia" w:hAnsiTheme="minorEastAsia" w:cstheme="minorBidi"/>
              <w:kern w:val="2"/>
            </w:rPr>
            <w:t>3.1</w:t>
          </w:r>
          <w:r>
            <w:rPr>
              <w:rFonts w:hint="eastAsia" w:asciiTheme="minorEastAsia" w:hAnsiTheme="minorEastAsia" w:cstheme="minorBidi"/>
              <w:kern w:val="2"/>
            </w:rPr>
            <w:t>项目背景</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_Toc227231025 \h </w:instrText>
          </w:r>
          <w:r>
            <w:rPr>
              <w:rFonts w:asciiTheme="minorEastAsia" w:hAnsiTheme="minorEastAsia" w:cstheme="minorBidi"/>
              <w:kern w:val="2"/>
              <w:sz w:val="21"/>
            </w:rPr>
            <w:fldChar w:fldCharType="separate"/>
          </w:r>
          <w:r>
            <w:rPr>
              <w:rFonts w:asciiTheme="minorEastAsia" w:hAnsiTheme="minorEastAsia" w:cstheme="minorBidi"/>
              <w:kern w:val="2"/>
              <w:sz w:val="21"/>
            </w:rPr>
            <w:t>3</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"_Toc227231026" </w:instrText>
          </w:r>
          <w:r>
            <w:fldChar w:fldCharType="separate"/>
          </w:r>
          <w:r>
            <w:rPr>
              <w:rFonts w:asciiTheme="minorEastAsia" w:hAnsiTheme="minorEastAsia" w:cstheme="minorBidi"/>
              <w:kern w:val="2"/>
            </w:rPr>
            <w:t>3.2</w:t>
          </w:r>
          <w:r>
            <w:rPr>
              <w:rFonts w:hint="eastAsia" w:asciiTheme="minorEastAsia" w:hAnsiTheme="minorEastAsia" w:cstheme="minorBidi"/>
              <w:kern w:val="2"/>
            </w:rPr>
            <w:t>工作内容</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_Toc227231026 \h </w:instrText>
          </w:r>
          <w:r>
            <w:rPr>
              <w:rFonts w:asciiTheme="minorEastAsia" w:hAnsiTheme="minorEastAsia" w:cstheme="minorBidi"/>
              <w:kern w:val="2"/>
              <w:sz w:val="21"/>
            </w:rPr>
            <w:fldChar w:fldCharType="separate"/>
          </w:r>
          <w:r>
            <w:rPr>
              <w:rFonts w:asciiTheme="minorEastAsia" w:hAnsiTheme="minorEastAsia" w:cstheme="minorBidi"/>
              <w:kern w:val="2"/>
              <w:sz w:val="21"/>
            </w:rPr>
            <w:t>10</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"_Toc227231027" </w:instrText>
          </w:r>
          <w:r>
            <w:fldChar w:fldCharType="separate"/>
          </w:r>
          <w:r>
            <w:rPr>
              <w:rFonts w:asciiTheme="minorEastAsia" w:hAnsiTheme="minorEastAsia" w:cstheme="minorBidi"/>
              <w:kern w:val="2"/>
            </w:rPr>
            <w:t>3.2</w:t>
          </w:r>
          <w:r>
            <w:rPr>
              <w:rFonts w:hint="eastAsia" w:asciiTheme="minorEastAsia" w:hAnsiTheme="minorEastAsia" w:cstheme="minorBidi"/>
              <w:kern w:val="2"/>
            </w:rPr>
            <w:t>工作量清单</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_Toc227231027 \h </w:instrText>
          </w:r>
          <w:r>
            <w:rPr>
              <w:rFonts w:asciiTheme="minorEastAsia" w:hAnsiTheme="minorEastAsia" w:cstheme="minorBidi"/>
              <w:kern w:val="2"/>
              <w:sz w:val="21"/>
            </w:rPr>
            <w:fldChar w:fldCharType="separate"/>
          </w:r>
          <w:r>
            <w:rPr>
              <w:rFonts w:asciiTheme="minorEastAsia" w:hAnsiTheme="minorEastAsia" w:cstheme="minorBidi"/>
              <w:kern w:val="2"/>
              <w:sz w:val="21"/>
            </w:rPr>
            <w:t>15</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"_Toc227231028" </w:instrText>
          </w:r>
          <w:r>
            <w:fldChar w:fldCharType="separate"/>
          </w:r>
          <w:r>
            <w:rPr>
              <w:rFonts w:asciiTheme="minorEastAsia" w:hAnsiTheme="minorEastAsia" w:cstheme="minorBidi"/>
              <w:kern w:val="2"/>
            </w:rPr>
            <w:t>3.3</w:t>
          </w:r>
          <w:r>
            <w:rPr>
              <w:rFonts w:hint="eastAsia" w:asciiTheme="minorEastAsia" w:hAnsiTheme="minorEastAsia" w:cstheme="minorBidi"/>
              <w:kern w:val="2"/>
            </w:rPr>
            <w:t>合同工期</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_Toc227231028 \h </w:instrText>
          </w:r>
          <w:r>
            <w:rPr>
              <w:rFonts w:asciiTheme="minorEastAsia" w:hAnsiTheme="minorEastAsia" w:cstheme="minorBidi"/>
              <w:kern w:val="2"/>
              <w:sz w:val="21"/>
            </w:rPr>
            <w:fldChar w:fldCharType="separate"/>
          </w:r>
          <w:r>
            <w:rPr>
              <w:rFonts w:asciiTheme="minorEastAsia" w:hAnsiTheme="minorEastAsia" w:cstheme="minorBidi"/>
              <w:kern w:val="2"/>
              <w:sz w:val="21"/>
            </w:rPr>
            <w:t>15</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"_Toc227231029" </w:instrText>
          </w:r>
          <w:r>
            <w:fldChar w:fldCharType="separate"/>
          </w:r>
          <w:r>
            <w:rPr>
              <w:rFonts w:asciiTheme="minorEastAsia" w:hAnsiTheme="minorEastAsia" w:cstheme="minorBidi"/>
              <w:kern w:val="2"/>
            </w:rPr>
            <w:t>3.4</w:t>
          </w:r>
          <w:r>
            <w:rPr>
              <w:rFonts w:hint="eastAsia" w:asciiTheme="minorEastAsia" w:hAnsiTheme="minorEastAsia" w:cstheme="minorBidi"/>
              <w:kern w:val="2"/>
            </w:rPr>
            <w:t>报告验收标准</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_Toc227231029 \h </w:instrText>
          </w:r>
          <w:r>
            <w:rPr>
              <w:rFonts w:asciiTheme="minorEastAsia" w:hAnsiTheme="minorEastAsia" w:cstheme="minorBidi"/>
              <w:kern w:val="2"/>
              <w:sz w:val="21"/>
            </w:rPr>
            <w:fldChar w:fldCharType="separate"/>
          </w:r>
          <w:r>
            <w:rPr>
              <w:rFonts w:asciiTheme="minorEastAsia" w:hAnsiTheme="minorEastAsia" w:cstheme="minorBidi"/>
              <w:kern w:val="2"/>
              <w:sz w:val="21"/>
            </w:rPr>
            <w:t>15</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"_Toc227231030" </w:instrText>
          </w:r>
          <w:r>
            <w:fldChar w:fldCharType="separate"/>
          </w:r>
          <w:r>
            <w:rPr>
              <w:rFonts w:asciiTheme="minorEastAsia" w:hAnsiTheme="minorEastAsia" w:cstheme="minorBidi"/>
              <w:kern w:val="2"/>
            </w:rPr>
            <w:t>4</w:t>
          </w:r>
          <w:r>
            <w:rPr>
              <w:rFonts w:hint="eastAsia" w:asciiTheme="minorEastAsia" w:hAnsiTheme="minorEastAsia" w:cstheme="minorBidi"/>
              <w:kern w:val="2"/>
            </w:rPr>
            <w:t>、安全要求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_Toc227231030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"_Toc227231031" </w:instrText>
          </w:r>
          <w:r>
            <w:fldChar w:fldCharType="separate"/>
          </w:r>
          <w:r>
            <w:rPr>
              <w:rFonts w:asciiTheme="minorEastAsia" w:hAnsiTheme="minorEastAsia" w:cstheme="minorBidi"/>
              <w:kern w:val="2"/>
            </w:rPr>
            <w:t>4.1</w:t>
          </w:r>
          <w:r>
            <w:rPr>
              <w:rFonts w:hint="eastAsia" w:asciiTheme="minorEastAsia" w:hAnsiTheme="minorEastAsia" w:cstheme="minorBidi"/>
              <w:kern w:val="2"/>
            </w:rPr>
            <w:t>人员安全要求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_Toc227231031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"_Toc227231032" </w:instrText>
          </w:r>
          <w:r>
            <w:fldChar w:fldCharType="separate"/>
          </w:r>
          <w:r>
            <w:rPr>
              <w:rFonts w:asciiTheme="minorEastAsia" w:hAnsiTheme="minorEastAsia" w:cstheme="minorBidi"/>
              <w:kern w:val="2"/>
            </w:rPr>
            <w:t>4.2</w:t>
          </w:r>
          <w:r>
            <w:rPr>
              <w:rFonts w:hint="eastAsia" w:asciiTheme="minorEastAsia" w:hAnsiTheme="minorEastAsia" w:cstheme="minorBidi"/>
              <w:kern w:val="2"/>
            </w:rPr>
            <w:t>劳保要求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_Toc227231032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"_Toc227231033" </w:instrText>
          </w:r>
          <w:r>
            <w:fldChar w:fldCharType="separate"/>
          </w:r>
          <w:r>
            <w:rPr>
              <w:rFonts w:asciiTheme="minorEastAsia" w:hAnsiTheme="minorEastAsia" w:cstheme="minorBidi"/>
              <w:kern w:val="2"/>
            </w:rPr>
            <w:t>4.3</w:t>
          </w:r>
          <w:r>
            <w:rPr>
              <w:rFonts w:hint="eastAsia" w:asciiTheme="minorEastAsia" w:hAnsiTheme="minorEastAsia" w:cstheme="minorBidi"/>
              <w:kern w:val="2"/>
            </w:rPr>
            <w:t>安全作业要求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_Toc227231033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"_Toc227231034" </w:instrText>
          </w:r>
          <w:r>
            <w:fldChar w:fldCharType="separate"/>
          </w:r>
          <w:r>
            <w:rPr>
              <w:rFonts w:asciiTheme="minorEastAsia" w:hAnsiTheme="minorEastAsia" w:cstheme="minorBidi"/>
              <w:kern w:val="2"/>
            </w:rPr>
            <w:t>4.4</w:t>
          </w:r>
          <w:r>
            <w:rPr>
              <w:rFonts w:hint="eastAsia" w:asciiTheme="minorEastAsia" w:hAnsiTheme="minorEastAsia" w:cstheme="minorBidi"/>
              <w:kern w:val="2"/>
            </w:rPr>
            <w:t>安全生产管理协议要求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_Toc227231034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"_Toc227231035" </w:instrText>
          </w:r>
          <w:r>
            <w:fldChar w:fldCharType="separate"/>
          </w:r>
          <w:r>
            <w:rPr>
              <w:rFonts w:asciiTheme="minorEastAsia" w:hAnsiTheme="minorEastAsia" w:cstheme="minorBidi"/>
              <w:kern w:val="2"/>
            </w:rPr>
            <w:t>5</w:t>
          </w:r>
          <w:r>
            <w:rPr>
              <w:rFonts w:hint="eastAsia" w:asciiTheme="minorEastAsia" w:hAnsiTheme="minorEastAsia" w:cstheme="minorBidi"/>
              <w:kern w:val="2"/>
            </w:rPr>
            <w:t>、质量要求</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_Toc227231035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"_Toc227231036" </w:instrText>
          </w:r>
          <w:r>
            <w:fldChar w:fldCharType="separate"/>
          </w:r>
          <w:r>
            <w:rPr>
              <w:rFonts w:asciiTheme="minorEastAsia" w:hAnsiTheme="minorEastAsia" w:cstheme="minorBidi"/>
              <w:kern w:val="2"/>
            </w:rPr>
            <w:t>6</w:t>
          </w:r>
          <w:r>
            <w:rPr>
              <w:rFonts w:hint="eastAsia" w:asciiTheme="minorEastAsia" w:hAnsiTheme="minorEastAsia" w:cstheme="minorBidi"/>
              <w:kern w:val="2"/>
            </w:rPr>
            <w:t>、双方职责</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_Toc227231036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"_Toc227231037" </w:instrText>
          </w:r>
          <w:r>
            <w:fldChar w:fldCharType="separate"/>
          </w:r>
          <w:r>
            <w:rPr>
              <w:rFonts w:asciiTheme="minorEastAsia" w:hAnsiTheme="minorEastAsia" w:cstheme="minorBidi"/>
              <w:kern w:val="2"/>
            </w:rPr>
            <w:t>6.1</w:t>
          </w:r>
          <w:r>
            <w:rPr>
              <w:rFonts w:hint="eastAsia" w:asciiTheme="minorEastAsia" w:hAnsiTheme="minorEastAsia" w:cstheme="minorBidi"/>
              <w:kern w:val="2"/>
            </w:rPr>
            <w:t>投标方职责</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_Toc227231037 \h </w:instrText>
          </w:r>
          <w:r>
            <w:rPr>
              <w:rFonts w:asciiTheme="minorEastAsia" w:hAnsiTheme="minorEastAsia" w:cstheme="minorBidi"/>
              <w:kern w:val="2"/>
              <w:sz w:val="21"/>
            </w:rPr>
            <w:fldChar w:fldCharType="separate"/>
          </w:r>
          <w:r>
            <w:rPr>
              <w:rFonts w:asciiTheme="minorEastAsia" w:hAnsiTheme="minorEastAsia" w:cstheme="minorBidi"/>
              <w:kern w:val="2"/>
              <w:sz w:val="21"/>
            </w:rPr>
            <w:t>16</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306"/>
            </w:tabs>
            <w:spacing w:after="0" w:line="240" w:lineRule="auto"/>
            <w:jc w:val="both"/>
            <w:rPr>
              <w:rFonts w:hint="eastAsia" w:asciiTheme="minorEastAsia" w:hAnsiTheme="minorEastAsia" w:cstheme="minorBidi"/>
              <w:kern w:val="2"/>
              <w:sz w:val="21"/>
            </w:rPr>
          </w:pPr>
          <w:r>
            <w:fldChar w:fldCharType="begin"/>
          </w:r>
          <w:r>
            <w:instrText xml:space="preserve"> HYPERLINK \l "_Toc227231038" </w:instrText>
          </w:r>
          <w:r>
            <w:fldChar w:fldCharType="separate"/>
          </w:r>
          <w:r>
            <w:rPr>
              <w:rFonts w:asciiTheme="minorEastAsia" w:hAnsiTheme="minorEastAsia" w:cstheme="minorBidi"/>
              <w:kern w:val="2"/>
            </w:rPr>
            <w:t>6.2</w:t>
          </w:r>
          <w:r>
            <w:rPr>
              <w:rFonts w:hint="eastAsia" w:asciiTheme="minorEastAsia" w:hAnsiTheme="minorEastAsia" w:cstheme="minorBidi"/>
              <w:kern w:val="2"/>
            </w:rPr>
            <w:t>招标方职责</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_Toc227231038 \h </w:instrText>
          </w:r>
          <w:r>
            <w:rPr>
              <w:rFonts w:asciiTheme="minorEastAsia" w:hAnsiTheme="minorEastAsia" w:cstheme="minorBidi"/>
              <w:kern w:val="2"/>
              <w:sz w:val="21"/>
            </w:rPr>
            <w:fldChar w:fldCharType="separate"/>
          </w:r>
          <w:r>
            <w:rPr>
              <w:rFonts w:asciiTheme="minorEastAsia" w:hAnsiTheme="minorEastAsia" w:cstheme="minorBidi"/>
              <w:kern w:val="2"/>
              <w:sz w:val="21"/>
            </w:rPr>
            <w:t>18</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"_Toc227231039" </w:instrText>
          </w:r>
          <w:r>
            <w:fldChar w:fldCharType="separate"/>
          </w:r>
          <w:r>
            <w:rPr>
              <w:rFonts w:asciiTheme="minorEastAsia" w:hAnsiTheme="minorEastAsia" w:cstheme="minorBidi"/>
              <w:kern w:val="2"/>
            </w:rPr>
            <w:t>7</w:t>
          </w:r>
          <w:r>
            <w:rPr>
              <w:rFonts w:hint="eastAsia" w:asciiTheme="minorEastAsia" w:hAnsiTheme="minorEastAsia" w:cstheme="minorBidi"/>
              <w:kern w:val="2"/>
            </w:rPr>
            <w:t>、验收</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_Toc227231039 \h </w:instrText>
          </w:r>
          <w:r>
            <w:rPr>
              <w:rFonts w:asciiTheme="minorEastAsia" w:hAnsiTheme="minorEastAsia" w:cstheme="minorBidi"/>
              <w:kern w:val="2"/>
              <w:sz w:val="21"/>
            </w:rPr>
            <w:fldChar w:fldCharType="separate"/>
          </w:r>
          <w:r>
            <w:rPr>
              <w:rFonts w:asciiTheme="minorEastAsia" w:hAnsiTheme="minorEastAsia" w:cstheme="minorBidi"/>
              <w:kern w:val="2"/>
              <w:sz w:val="21"/>
            </w:rPr>
            <w:t>19</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pStyle w:val="11"/>
            <w:widowControl w:val="0"/>
            <w:tabs>
              <w:tab w:val="right" w:leader="dot" w:pos="8296"/>
            </w:tabs>
            <w:spacing w:after="0" w:line="240" w:lineRule="auto"/>
            <w:jc w:val="both"/>
            <w:rPr>
              <w:rFonts w:hint="eastAsia" w:asciiTheme="minorEastAsia" w:hAnsiTheme="minorEastAsia" w:cstheme="minorBidi"/>
              <w:kern w:val="2"/>
              <w:sz w:val="21"/>
            </w:rPr>
          </w:pPr>
          <w:r>
            <w:fldChar w:fldCharType="begin"/>
          </w:r>
          <w:r>
            <w:instrText xml:space="preserve"> HYPERLINK \l "_Toc227231040" </w:instrText>
          </w:r>
          <w:r>
            <w:fldChar w:fldCharType="separate"/>
          </w:r>
          <w:r>
            <w:rPr>
              <w:rFonts w:hint="eastAsia" w:asciiTheme="minorEastAsia" w:hAnsiTheme="minorEastAsia" w:cstheme="minorBidi"/>
              <w:kern w:val="2"/>
            </w:rPr>
            <w:t>附件：技术服务验收单</w:t>
          </w:r>
          <w:r>
            <w:rPr>
              <w:rFonts w:asciiTheme="minorEastAsia" w:hAnsiTheme="minorEastAsia" w:cstheme="minorBidi"/>
              <w:kern w:val="2"/>
              <w:sz w:val="21"/>
            </w:rPr>
            <w:tab/>
          </w:r>
          <w:r>
            <w:rPr>
              <w:rFonts w:asciiTheme="minorEastAsia" w:hAnsiTheme="minorEastAsia" w:cstheme="minorBidi"/>
              <w:kern w:val="2"/>
              <w:sz w:val="21"/>
            </w:rPr>
            <w:fldChar w:fldCharType="begin"/>
          </w:r>
          <w:r>
            <w:rPr>
              <w:rFonts w:asciiTheme="minorEastAsia" w:hAnsiTheme="minorEastAsia" w:cstheme="minorBidi"/>
              <w:kern w:val="2"/>
              <w:sz w:val="21"/>
            </w:rPr>
            <w:instrText xml:space="preserve"> PAGEREF _Toc227231040 \h </w:instrText>
          </w:r>
          <w:r>
            <w:rPr>
              <w:rFonts w:asciiTheme="minorEastAsia" w:hAnsiTheme="minorEastAsia" w:cstheme="minorBidi"/>
              <w:kern w:val="2"/>
              <w:sz w:val="21"/>
            </w:rPr>
            <w:fldChar w:fldCharType="separate"/>
          </w:r>
          <w:r>
            <w:rPr>
              <w:rFonts w:asciiTheme="minorEastAsia" w:hAnsiTheme="minorEastAsia" w:cstheme="minorBidi"/>
              <w:kern w:val="2"/>
              <w:sz w:val="21"/>
            </w:rPr>
            <w:t>20</w:t>
          </w:r>
          <w:r>
            <w:rPr>
              <w:rFonts w:asciiTheme="minorEastAsia" w:hAnsiTheme="minorEastAsia" w:cstheme="minorBidi"/>
              <w:kern w:val="2"/>
              <w:sz w:val="21"/>
            </w:rPr>
            <w:fldChar w:fldCharType="end"/>
          </w:r>
          <w:r>
            <w:rPr>
              <w:rFonts w:asciiTheme="minorEastAsia" w:hAnsiTheme="minorEastAsia" w:cstheme="minorBidi"/>
              <w:kern w:val="2"/>
              <w:sz w:val="21"/>
            </w:rPr>
            <w:fldChar w:fldCharType="end"/>
          </w:r>
        </w:p>
        <w:p>
          <w:pPr>
            <w:sectPr>
              <w:pgSz w:w="11906" w:h="16838"/>
              <w:pgMar w:top="1440" w:right="1800" w:bottom="1440" w:left="1800" w:header="851" w:footer="992" w:gutter="0"/>
              <w:cols w:space="425" w:num="1"/>
              <w:docGrid w:type="lines" w:linePitch="312" w:charSpace="0"/>
            </w:sectPr>
          </w:pPr>
          <w:r>
            <w:rPr>
              <w:b/>
              <w:bCs/>
              <w:lang w:val="zh-CN"/>
            </w:rPr>
            <w:fldChar w:fldCharType="end"/>
          </w:r>
        </w:p>
      </w:sdtContent>
    </w:sdt>
    <w:p>
      <w:pPr>
        <w:pStyle w:val="2"/>
        <w:ind w:firstLine="2390" w:firstLineChars="700"/>
        <w:rPr>
          <w:rFonts w:hint="eastAsia" w:ascii="黑体" w:hAnsi="黑体" w:eastAsia="黑体"/>
          <w:b/>
          <w:spacing w:val="-10"/>
          <w:sz w:val="36"/>
          <w:szCs w:val="36"/>
        </w:rPr>
      </w:pPr>
      <w:r>
        <w:rPr>
          <w:rFonts w:hint="eastAsia" w:ascii="黑体" w:hAnsi="黑体" w:eastAsia="黑体"/>
          <w:b/>
          <w:spacing w:val="-10"/>
          <w:sz w:val="36"/>
          <w:szCs w:val="36"/>
        </w:rPr>
        <w:t>南方海上风电联合开发有限公司</w:t>
      </w:r>
      <w:bookmarkStart w:id="0" w:name="OLE_LINK3"/>
    </w:p>
    <w:p>
      <w:pPr>
        <w:pStyle w:val="2"/>
        <w:jc w:val="center"/>
        <w:rPr>
          <w:rFonts w:hint="eastAsia" w:ascii="黑体" w:hAnsi="黑体" w:eastAsia="黑体"/>
          <w:b/>
          <w:spacing w:val="-10"/>
          <w:sz w:val="36"/>
          <w:szCs w:val="36"/>
        </w:rPr>
      </w:pPr>
      <w:r>
        <w:rPr>
          <w:rFonts w:ascii="黑体" w:hAnsi="黑体" w:eastAsia="黑体"/>
          <w:b/>
          <w:spacing w:val="-10"/>
          <w:sz w:val="36"/>
          <w:szCs w:val="36"/>
        </w:rPr>
        <w:t>职业卫生定期检测项目</w:t>
      </w:r>
      <w:bookmarkEnd w:id="0"/>
      <w:r>
        <w:rPr>
          <w:rFonts w:hint="eastAsia" w:ascii="黑体" w:hAnsi="黑体" w:eastAsia="黑体"/>
          <w:b/>
          <w:spacing w:val="-10"/>
          <w:sz w:val="36"/>
          <w:szCs w:val="36"/>
        </w:rPr>
        <w:t>技术规范书</w:t>
      </w:r>
    </w:p>
    <w:p>
      <w:pPr>
        <w:pStyle w:val="3"/>
        <w:snapToGrid w:val="0"/>
        <w:spacing w:before="240" w:after="240" w:line="360" w:lineRule="auto"/>
        <w:ind w:left="420" w:hanging="420"/>
        <w:rPr>
          <w:rFonts w:eastAsia="宋体"/>
          <w:sz w:val="32"/>
        </w:rPr>
      </w:pPr>
      <w:bookmarkStart w:id="1" w:name="_Toc227231022"/>
      <w:r>
        <w:rPr>
          <w:rFonts w:hint="eastAsia" w:eastAsia="宋体"/>
          <w:sz w:val="32"/>
        </w:rPr>
        <w:t>1</w:t>
      </w:r>
      <w:r>
        <w:rPr>
          <w:rFonts w:eastAsia="宋体"/>
          <w:sz w:val="32"/>
        </w:rPr>
        <w:t>、</w:t>
      </w:r>
      <w:r>
        <w:rPr>
          <w:rFonts w:hint="eastAsia" w:eastAsia="宋体"/>
          <w:sz w:val="32"/>
        </w:rPr>
        <w:t>总则</w:t>
      </w:r>
      <w:bookmarkEnd w:id="1"/>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本技术规范书适用于</w:t>
      </w:r>
      <w:bookmarkStart w:id="2" w:name="OLE_LINK4"/>
      <w:bookmarkStart w:id="3" w:name="OLE_LINK5"/>
      <w:r>
        <w:rPr>
          <w:rFonts w:hint="eastAsia" w:cs="Arial" w:asciiTheme="minorEastAsia" w:hAnsiTheme="minorEastAsia"/>
          <w:color w:val="000000"/>
          <w:sz w:val="28"/>
          <w:szCs w:val="28"/>
        </w:rPr>
        <w:t>南方海上风电联合开发有限公司</w:t>
      </w:r>
      <w:bookmarkEnd w:id="2"/>
      <w:bookmarkEnd w:id="3"/>
      <w:r>
        <w:rPr>
          <w:rFonts w:hint="eastAsia" w:cs="Arial" w:asciiTheme="minorEastAsia" w:hAnsiTheme="minorEastAsia"/>
          <w:color w:val="000000"/>
          <w:sz w:val="28"/>
          <w:szCs w:val="28"/>
        </w:rPr>
        <w:t>（以下简称公司）</w:t>
      </w:r>
      <w:r>
        <w:rPr>
          <w:rFonts w:cs="Arial" w:asciiTheme="minorEastAsia" w:hAnsiTheme="minorEastAsia"/>
          <w:color w:val="000000"/>
          <w:sz w:val="28"/>
          <w:szCs w:val="28"/>
        </w:rPr>
        <w:t>职业卫生定期检测项目</w:t>
      </w:r>
      <w:r>
        <w:rPr>
          <w:rFonts w:hint="eastAsia" w:cs="Arial" w:asciiTheme="minorEastAsia" w:hAnsiTheme="minorEastAsia"/>
          <w:color w:val="000000"/>
          <w:sz w:val="28"/>
          <w:szCs w:val="28"/>
        </w:rPr>
        <w:t>。</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投标方需具有中华人民共和国境内注册的，具有独立法人资格的合法企业，并具有独立订立合同的权力，具有履行合同的能力。</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投标方需具有有效的营业执照（三证合一）或者有效的营业执照、税务登记证、组织机构代码证。</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投标方必须需符合国家法律法规规定的相关资质要求：《职业卫生技术服务机构资质证书》乙级及以上、具备《检验检测机构资质认定证书》（CMA认证），遵照国家有关技术标准、技术规范开展职业病危害年度检测，检测报告具备符合国家检测标准要求。</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cs="Arial" w:asciiTheme="minorEastAsia" w:hAnsiTheme="minorEastAsia"/>
          <w:color w:val="000000"/>
          <w:sz w:val="28"/>
          <w:szCs w:val="28"/>
        </w:rPr>
        <w:t>投标方经营状况良好，具有良好的资信和信用（以“信用中国”网站（www.creditchina.gov.cn）、国家企业信用信息公示系统（http://www.gsxt.gov.cn）网站查询为准，没有被列入严重失信主体名单），没有处于会导致中选后无法履行合同的被责令停产停业、财产被接管、</w:t>
      </w:r>
      <w:r>
        <w:rPr>
          <w:rFonts w:hint="eastAsia" w:cs="Arial" w:asciiTheme="minorEastAsia" w:hAnsiTheme="minorEastAsia"/>
          <w:color w:val="000000"/>
          <w:sz w:val="28"/>
          <w:szCs w:val="28"/>
        </w:rPr>
        <w:t>冻结、</w:t>
      </w:r>
      <w:r>
        <w:rPr>
          <w:rFonts w:cs="Arial" w:asciiTheme="minorEastAsia" w:hAnsiTheme="minorEastAsia"/>
          <w:color w:val="000000"/>
          <w:sz w:val="28"/>
          <w:szCs w:val="28"/>
        </w:rPr>
        <w:t>破产状态等。</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本规范书提出的是最低限度的技术要求，并未对一切技术细节作出规定，也未充分引述有关标准和规范的条文，投标方提供的备件应符合中国国标</w:t>
      </w:r>
      <w:r>
        <w:rPr>
          <w:rFonts w:cs="Arial" w:asciiTheme="minorEastAsia" w:hAnsiTheme="minorEastAsia"/>
          <w:color w:val="000000"/>
          <w:sz w:val="28"/>
          <w:szCs w:val="28"/>
        </w:rPr>
        <w:t>GB</w:t>
      </w:r>
      <w:r>
        <w:rPr>
          <w:rFonts w:hint="eastAsia" w:cs="Arial" w:asciiTheme="minorEastAsia" w:hAnsiTheme="minorEastAsia"/>
          <w:color w:val="000000"/>
          <w:sz w:val="28"/>
          <w:szCs w:val="28"/>
        </w:rPr>
        <w:t>、</w:t>
      </w:r>
      <w:r>
        <w:rPr>
          <w:rFonts w:cs="Arial" w:asciiTheme="minorEastAsia" w:hAnsiTheme="minorEastAsia"/>
          <w:color w:val="000000"/>
          <w:sz w:val="28"/>
          <w:szCs w:val="28"/>
        </w:rPr>
        <w:t>DL、行业规范最新版本的标准。</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如果投标方没有以书面形式对本规范书的条文提出异议，则意味着投标方提供的服务完全符合本规范书的要求。如有异议，应在投标书中以“对规范书的意见和差异”为标题的专门章节加以详细描述。</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规范书所使用的标准如遇与投标方所执行的标准不一致时，按该类最高标准执行或按双方商定的标准执行。</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规范书经双方确认后，作为合同的附件，与合同正文具有同等的法律效力。</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本规范书中涉及有关商务方面的内容，如与商务招标文件有矛盾时，以商务招标文件为准。</w:t>
      </w:r>
    </w:p>
    <w:p>
      <w:pPr>
        <w:pStyle w:val="23"/>
        <w:numPr>
          <w:ilvl w:val="0"/>
          <w:numId w:val="1"/>
        </w:numPr>
        <w:spacing w:line="360" w:lineRule="auto"/>
        <w:ind w:left="0" w:firstLine="560"/>
        <w:rPr>
          <w:rFonts w:hint="eastAsia" w:cs="Arial" w:asciiTheme="minorEastAsia" w:hAnsiTheme="minorEastAsia"/>
          <w:color w:val="000000"/>
          <w:sz w:val="28"/>
          <w:szCs w:val="28"/>
        </w:rPr>
      </w:pPr>
      <w:r>
        <w:rPr>
          <w:rFonts w:hint="eastAsia" w:cs="Arial" w:asciiTheme="minorEastAsia" w:hAnsiTheme="minorEastAsia"/>
          <w:color w:val="000000"/>
          <w:sz w:val="28"/>
          <w:szCs w:val="28"/>
        </w:rPr>
        <w:t>本规范书未尽事宜，由双方在合同技术谈判时双方协商确定。</w:t>
      </w:r>
    </w:p>
    <w:p>
      <w:pPr>
        <w:pStyle w:val="3"/>
        <w:snapToGrid w:val="0"/>
        <w:spacing w:before="240" w:after="240" w:line="360" w:lineRule="auto"/>
        <w:rPr>
          <w:rFonts w:eastAsia="宋体"/>
          <w:sz w:val="32"/>
        </w:rPr>
      </w:pPr>
      <w:bookmarkStart w:id="4" w:name="_Toc227231023"/>
      <w:r>
        <w:rPr>
          <w:rFonts w:hint="eastAsia" w:eastAsia="宋体"/>
          <w:sz w:val="32"/>
        </w:rPr>
        <w:t>2</w:t>
      </w:r>
      <w:r>
        <w:rPr>
          <w:rFonts w:eastAsia="宋体"/>
          <w:sz w:val="32"/>
        </w:rPr>
        <w:t>、应遵循的主要标准</w:t>
      </w:r>
      <w:bookmarkEnd w:id="4"/>
      <w:r>
        <w:rPr>
          <w:rFonts w:eastAsia="宋体"/>
          <w:sz w:val="32"/>
        </w:rPr>
        <w:tab/>
      </w:r>
    </w:p>
    <w:p>
      <w:pPr>
        <w:pStyle w:val="2"/>
        <w:ind w:left="567"/>
        <w:jc w:val="left"/>
        <w:rPr>
          <w:rFonts w:hint="eastAsia" w:ascii="黑体" w:hAnsi="黑体" w:eastAsia="黑体"/>
          <w:b/>
          <w:spacing w:val="-10"/>
          <w:sz w:val="28"/>
          <w:szCs w:val="28"/>
        </w:rPr>
      </w:pPr>
      <w:r>
        <w:rPr>
          <w:rFonts w:hint="eastAsia" w:ascii="宋体" w:hAnsi="宋体"/>
          <w:sz w:val="28"/>
          <w:szCs w:val="28"/>
        </w:rPr>
        <w:t>（1）GBZ159-2019《工作场所空气中有害物质监测的采样规范》；</w:t>
      </w:r>
    </w:p>
    <w:p>
      <w:pPr>
        <w:spacing w:line="360" w:lineRule="auto"/>
        <w:ind w:left="567"/>
        <w:rPr>
          <w:rFonts w:hint="eastAsia" w:ascii="宋体" w:hAnsi="宋体"/>
          <w:sz w:val="28"/>
          <w:szCs w:val="28"/>
        </w:rPr>
      </w:pPr>
      <w:r>
        <w:rPr>
          <w:rFonts w:hint="eastAsia" w:ascii="宋体" w:hAnsi="宋体"/>
          <w:sz w:val="28"/>
          <w:szCs w:val="28"/>
        </w:rPr>
        <w:t>（2）GBZ2.2-2022《工作场所有害因素职业接触限值 第2部分：物理因素》；</w:t>
      </w:r>
    </w:p>
    <w:p>
      <w:pPr>
        <w:widowControl/>
        <w:numPr>
          <w:ilvl w:val="255"/>
          <w:numId w:val="0"/>
        </w:numPr>
        <w:spacing w:line="360" w:lineRule="auto"/>
        <w:ind w:left="567"/>
        <w:rPr>
          <w:rFonts w:hint="eastAsia" w:ascii="宋体" w:hAnsi="宋体"/>
          <w:sz w:val="28"/>
          <w:szCs w:val="28"/>
        </w:rPr>
      </w:pPr>
      <w:r>
        <w:rPr>
          <w:rFonts w:hint="eastAsia" w:ascii="宋体" w:hAnsi="宋体"/>
          <w:sz w:val="28"/>
          <w:szCs w:val="28"/>
        </w:rPr>
        <w:t>（3）GBZ2.1-2019《工作场所有害因素职业接触限值第1部分：化学有害因素》</w:t>
      </w:r>
    </w:p>
    <w:p>
      <w:pPr>
        <w:spacing w:line="360" w:lineRule="auto"/>
        <w:ind w:left="567"/>
        <w:rPr>
          <w:rFonts w:hint="eastAsia" w:ascii="宋体" w:hAnsi="宋体"/>
          <w:sz w:val="28"/>
          <w:szCs w:val="28"/>
        </w:rPr>
      </w:pPr>
      <w:r>
        <w:rPr>
          <w:rFonts w:hint="eastAsia" w:ascii="宋体" w:hAnsi="宋体"/>
          <w:sz w:val="28"/>
          <w:szCs w:val="28"/>
        </w:rPr>
        <w:t>（4）DL/T799</w:t>
      </w:r>
      <w:r>
        <w:rPr>
          <w:rFonts w:ascii="宋体" w:hAnsi="宋体"/>
          <w:sz w:val="28"/>
          <w:szCs w:val="28"/>
        </w:rPr>
        <w:t>.</w:t>
      </w:r>
      <w:r>
        <w:rPr>
          <w:rFonts w:hint="eastAsia" w:ascii="宋体" w:hAnsi="宋体"/>
          <w:sz w:val="28"/>
          <w:szCs w:val="28"/>
        </w:rPr>
        <w:t>2-2020《电力行业劳动环境监测技术规范第2部分：生产性粉尘监测》；</w:t>
      </w:r>
    </w:p>
    <w:p>
      <w:pPr>
        <w:spacing w:line="360" w:lineRule="auto"/>
        <w:ind w:left="567"/>
        <w:rPr>
          <w:rFonts w:hint="eastAsia" w:ascii="宋体" w:hAnsi="宋体"/>
          <w:sz w:val="28"/>
          <w:szCs w:val="28"/>
        </w:rPr>
      </w:pPr>
      <w:r>
        <w:rPr>
          <w:rFonts w:hint="eastAsia" w:ascii="宋体" w:hAnsi="宋体"/>
          <w:sz w:val="28"/>
          <w:szCs w:val="28"/>
        </w:rPr>
        <w:t>（5）GBZ/T189.8-2007《工作场所物理因素测量第8部分：噪声》；</w:t>
      </w:r>
    </w:p>
    <w:p>
      <w:pPr>
        <w:spacing w:line="360" w:lineRule="auto"/>
        <w:ind w:left="567"/>
        <w:rPr>
          <w:rFonts w:hint="eastAsia" w:ascii="宋体" w:hAnsi="宋体"/>
          <w:sz w:val="28"/>
          <w:szCs w:val="28"/>
        </w:rPr>
      </w:pPr>
      <w:r>
        <w:rPr>
          <w:rFonts w:hint="eastAsia" w:ascii="宋体" w:hAnsi="宋体"/>
          <w:sz w:val="28"/>
          <w:szCs w:val="28"/>
        </w:rPr>
        <w:t>（6）GBZ/T192.1-2007《工作场所空气中粉尘测定 第1部分：总粉尘浓度》；</w:t>
      </w:r>
    </w:p>
    <w:p>
      <w:pPr>
        <w:pStyle w:val="2"/>
        <w:ind w:left="567"/>
        <w:jc w:val="left"/>
        <w:rPr>
          <w:rFonts w:hint="eastAsia" w:ascii="宋体" w:hAnsi="宋体"/>
          <w:sz w:val="28"/>
          <w:szCs w:val="28"/>
        </w:rPr>
      </w:pPr>
      <w:r>
        <w:rPr>
          <w:rFonts w:hint="eastAsia" w:ascii="宋体" w:hAnsi="宋体"/>
          <w:sz w:val="28"/>
          <w:szCs w:val="28"/>
        </w:rPr>
        <w:t>（7）GBZ/T192.2-2007《工作场所空气中粉尘测定 第2部分：呼吸性粉尘浓度》；</w:t>
      </w:r>
    </w:p>
    <w:p>
      <w:pPr>
        <w:pStyle w:val="2"/>
        <w:ind w:left="567"/>
        <w:jc w:val="left"/>
        <w:rPr>
          <w:rFonts w:hint="eastAsia" w:ascii="宋体" w:hAnsi="宋体"/>
          <w:sz w:val="28"/>
          <w:szCs w:val="28"/>
        </w:rPr>
      </w:pPr>
      <w:r>
        <w:rPr>
          <w:rFonts w:hint="eastAsia" w:ascii="宋体" w:hAnsi="宋体"/>
          <w:sz w:val="28"/>
          <w:szCs w:val="28"/>
        </w:rPr>
        <w:t>（8）GBZ/T192.4-2007《工作场所空气中粉尘测定 第4部分：游离二氧化硅含量》；</w:t>
      </w:r>
    </w:p>
    <w:p>
      <w:pPr>
        <w:pStyle w:val="2"/>
        <w:ind w:left="567"/>
        <w:jc w:val="left"/>
        <w:rPr>
          <w:rFonts w:hint="eastAsia" w:ascii="宋体" w:hAnsi="宋体"/>
          <w:sz w:val="28"/>
          <w:szCs w:val="28"/>
        </w:rPr>
      </w:pPr>
      <w:r>
        <w:rPr>
          <w:rFonts w:hint="eastAsia" w:ascii="宋体" w:hAnsi="宋体"/>
          <w:sz w:val="28"/>
          <w:szCs w:val="28"/>
        </w:rPr>
        <w:t>（9）</w:t>
      </w:r>
      <w:r>
        <w:rPr>
          <w:rFonts w:ascii="宋体" w:hAnsi="宋体"/>
          <w:sz w:val="28"/>
          <w:szCs w:val="28"/>
        </w:rPr>
        <w:t>GBZ/T 300.51—2017</w:t>
      </w:r>
      <w:r>
        <w:rPr>
          <w:rFonts w:hint="eastAsia" w:ascii="宋体" w:hAnsi="宋体"/>
          <w:sz w:val="28"/>
          <w:szCs w:val="28"/>
        </w:rPr>
        <w:t>《工作场所空气有毒物质测定第5</w:t>
      </w:r>
      <w:r>
        <w:rPr>
          <w:rFonts w:ascii="宋体" w:hAnsi="宋体"/>
          <w:sz w:val="28"/>
          <w:szCs w:val="28"/>
        </w:rPr>
        <w:t>1部分：六氟化硫</w:t>
      </w:r>
      <w:r>
        <w:rPr>
          <w:rFonts w:hint="eastAsia" w:ascii="宋体" w:hAnsi="宋体"/>
          <w:sz w:val="28"/>
          <w:szCs w:val="28"/>
        </w:rPr>
        <w:t>》</w:t>
      </w:r>
      <w:r>
        <w:rPr>
          <w:rFonts w:ascii="宋体" w:hAnsi="宋体"/>
          <w:sz w:val="28"/>
          <w:szCs w:val="28"/>
        </w:rPr>
        <w:t>。</w:t>
      </w:r>
    </w:p>
    <w:p>
      <w:pPr>
        <w:spacing w:line="360" w:lineRule="auto"/>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从项目签订之日至投标方开始测量之日的这段时期内，投标方有责任及时书面通知招标方有关规程、规范和标准发生的变化，招标方有权提出因规程、规范和标准发生变化而产生的补充要求，投标方应遵守这些要求，且价格不变。</w:t>
      </w:r>
    </w:p>
    <w:p>
      <w:pPr>
        <w:pStyle w:val="3"/>
        <w:snapToGrid w:val="0"/>
        <w:spacing w:before="240" w:after="240" w:line="360" w:lineRule="auto"/>
        <w:rPr>
          <w:rFonts w:eastAsia="宋体"/>
          <w:sz w:val="32"/>
        </w:rPr>
      </w:pPr>
      <w:bookmarkStart w:id="5" w:name="_Toc227231024"/>
      <w:r>
        <w:rPr>
          <w:rFonts w:hint="eastAsia" w:eastAsia="宋体"/>
          <w:sz w:val="32"/>
        </w:rPr>
        <w:t>3</w:t>
      </w:r>
      <w:r>
        <w:rPr>
          <w:rFonts w:eastAsia="宋体"/>
          <w:sz w:val="32"/>
        </w:rPr>
        <w:t>、项目概况</w:t>
      </w:r>
      <w:bookmarkEnd w:id="5"/>
    </w:p>
    <w:p>
      <w:pPr>
        <w:pStyle w:val="4"/>
      </w:pPr>
      <w:bookmarkStart w:id="6" w:name="_Toc227231025"/>
      <w:r>
        <w:rPr>
          <w:rFonts w:hint="eastAsia"/>
        </w:rPr>
        <w:t>3</w:t>
      </w:r>
      <w:r>
        <w:t>.1</w:t>
      </w:r>
      <w:r>
        <w:rPr>
          <w:rFonts w:hint="eastAsia"/>
        </w:rPr>
        <w:t>项目背景</w:t>
      </w:r>
      <w:bookmarkEnd w:id="6"/>
    </w:p>
    <w:p>
      <w:pPr>
        <w:autoSpaceDE w:val="0"/>
        <w:spacing w:line="560" w:lineRule="exact"/>
        <w:ind w:firstLine="560" w:firstLineChars="200"/>
        <w:rPr>
          <w:rFonts w:hint="eastAsia" w:cs="仿宋_GB2312" w:asciiTheme="minorEastAsia" w:hAnsiTheme="minorEastAsia"/>
          <w:sz w:val="28"/>
          <w:szCs w:val="28"/>
        </w:rPr>
      </w:pPr>
      <w:r>
        <w:rPr>
          <w:rFonts w:hint="eastAsia" w:cs="仿宋_GB2312" w:asciiTheme="minorEastAsia" w:hAnsiTheme="minorEastAsia"/>
          <w:sz w:val="28"/>
          <w:szCs w:val="28"/>
          <w:lang w:bidi="ar"/>
        </w:rPr>
        <w:t>南方海上风电联合开发有限公司（以下简称“公司”）现建设有珠海桂山海上风电场示范项目一期工程和二期工程，建设装机容量200MW，共计49台海上风力发电机组分为8回集电回路接入位于长琴岛的陆上升压站内。风电场机位布置图如下：</w:t>
      </w:r>
    </w:p>
    <w:p>
      <w:pPr>
        <w:jc w:val="center"/>
        <w:rPr>
          <w:rFonts w:hint="eastAsia" w:asciiTheme="minorEastAsia" w:hAnsiTheme="minorEastAsia"/>
          <w:lang w:bidi="ar"/>
        </w:rPr>
      </w:pPr>
      <w:bookmarkStart w:id="7" w:name="_Toc22592"/>
      <w:r>
        <w:rPr>
          <w:rFonts w:asciiTheme="minorEastAsia" w:hAnsiTheme="minorEastAsia"/>
        </w:rPr>
        <w:drawing>
          <wp:inline distT="0" distB="0" distL="114300" distR="114300">
            <wp:extent cx="4533900" cy="5514975"/>
            <wp:effectExtent l="0" t="0" r="7620" b="190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8"/>
                    <a:stretch>
                      <a:fillRect/>
                    </a:stretch>
                  </pic:blipFill>
                  <pic:spPr>
                    <a:xfrm>
                      <a:off x="0" y="0"/>
                      <a:ext cx="4533900" cy="5514975"/>
                    </a:xfrm>
                    <a:prstGeom prst="rect">
                      <a:avLst/>
                    </a:prstGeom>
                    <a:noFill/>
                    <a:ln w="9525">
                      <a:noFill/>
                    </a:ln>
                  </pic:spPr>
                </pic:pic>
              </a:graphicData>
            </a:graphic>
          </wp:inline>
        </w:drawing>
      </w:r>
      <w:bookmarkEnd w:id="7"/>
    </w:p>
    <w:p>
      <w:pPr>
        <w:autoSpaceDE w:val="0"/>
        <w:spacing w:line="560" w:lineRule="exact"/>
        <w:ind w:firstLine="560" w:firstLineChars="200"/>
        <w:rPr>
          <w:rFonts w:hint="eastAsia" w:cs="仿宋_GB2312" w:asciiTheme="minorEastAsia" w:hAnsiTheme="minorEastAsia"/>
          <w:sz w:val="28"/>
          <w:szCs w:val="28"/>
          <w:lang w:bidi="ar"/>
        </w:rPr>
      </w:pPr>
      <w:r>
        <w:rPr>
          <w:rFonts w:hint="eastAsia" w:cs="仿宋_GB2312" w:asciiTheme="minorEastAsia" w:hAnsiTheme="minorEastAsia"/>
          <w:sz w:val="28"/>
          <w:szCs w:val="28"/>
          <w:lang w:bidi="ar"/>
        </w:rPr>
        <w:t>桂山岛运维检修中心位于珠海市万山区桂山镇桂山岛，中心占地面积约：10000平方米，其中中心绿化面积约：4107平方米；其中检修楼占地面积约：735平方米，综合楼占地面积约：939平方米。运维检修中心和综合楼的布置图及总平面布置图如下：</w:t>
      </w:r>
    </w:p>
    <w:p>
      <w:pPr>
        <w:pStyle w:val="2"/>
        <w:jc w:val="center"/>
        <w:rPr>
          <w:lang w:bidi="ar"/>
        </w:rPr>
      </w:pPr>
    </w:p>
    <w:p>
      <w:pPr>
        <w:jc w:val="center"/>
      </w:pPr>
      <w:r>
        <w:drawing>
          <wp:inline distT="0" distB="0" distL="0" distR="0">
            <wp:extent cx="5581015" cy="3109595"/>
            <wp:effectExtent l="0" t="0" r="635" b="0"/>
            <wp:docPr id="4" name="图片 4" descr="C:\Users\Administrator\Documents\WeChat Files\lisa001868\FileStorage\Temp\e2ed8d6cfbb6ad4c15732a95f34dab12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ocuments\WeChat Files\lisa001868\FileStorage\Temp\e2ed8d6cfbb6ad4c15732a95f34dab12_.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581015" cy="3109601"/>
                    </a:xfrm>
                    <a:prstGeom prst="rect">
                      <a:avLst/>
                    </a:prstGeom>
                    <a:noFill/>
                    <a:ln>
                      <a:noFill/>
                    </a:ln>
                  </pic:spPr>
                </pic:pic>
              </a:graphicData>
            </a:graphic>
          </wp:inline>
        </w:drawing>
      </w:r>
    </w:p>
    <w:p>
      <w:pPr>
        <w:pStyle w:val="2"/>
      </w:pPr>
    </w:p>
    <w:p>
      <w:pPr>
        <w:pStyle w:val="2"/>
        <w:ind w:firstLine="630" w:firstLineChars="300"/>
      </w:pPr>
      <w:r>
        <w:drawing>
          <wp:inline distT="0" distB="0" distL="0" distR="0">
            <wp:extent cx="5270500" cy="4276090"/>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0"/>
                    <a:stretch>
                      <a:fillRect/>
                    </a:stretch>
                  </pic:blipFill>
                  <pic:spPr>
                    <a:xfrm>
                      <a:off x="0" y="0"/>
                      <a:ext cx="5277987" cy="4282305"/>
                    </a:xfrm>
                    <a:prstGeom prst="rect">
                      <a:avLst/>
                    </a:prstGeom>
                  </pic:spPr>
                </pic:pic>
              </a:graphicData>
            </a:graphic>
          </wp:inline>
        </w:drawing>
      </w:r>
    </w:p>
    <w:p>
      <w:pPr>
        <w:pStyle w:val="2"/>
      </w:pPr>
      <w:r>
        <w:drawing>
          <wp:inline distT="0" distB="0" distL="0" distR="0">
            <wp:extent cx="6000750" cy="423735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6001798" cy="4238421"/>
                    </a:xfrm>
                    <a:prstGeom prst="rect">
                      <a:avLst/>
                    </a:prstGeom>
                  </pic:spPr>
                </pic:pic>
              </a:graphicData>
            </a:graphic>
          </wp:inline>
        </w:drawing>
      </w:r>
      <w:r>
        <w:drawing>
          <wp:inline distT="0" distB="0" distL="0" distR="0">
            <wp:extent cx="6153150" cy="4337050"/>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stretch>
                      <a:fillRect/>
                    </a:stretch>
                  </pic:blipFill>
                  <pic:spPr>
                    <a:xfrm>
                      <a:off x="0" y="0"/>
                      <a:ext cx="6153150" cy="4337050"/>
                    </a:xfrm>
                    <a:prstGeom prst="rect">
                      <a:avLst/>
                    </a:prstGeom>
                  </pic:spPr>
                </pic:pic>
              </a:graphicData>
            </a:graphic>
          </wp:inline>
        </w:drawing>
      </w:r>
      <w:r>
        <w:drawing>
          <wp:inline distT="0" distB="0" distL="0" distR="0">
            <wp:extent cx="6153150" cy="435038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3"/>
                    <a:stretch>
                      <a:fillRect/>
                    </a:stretch>
                  </pic:blipFill>
                  <pic:spPr>
                    <a:xfrm>
                      <a:off x="0" y="0"/>
                      <a:ext cx="6153150" cy="4350385"/>
                    </a:xfrm>
                    <a:prstGeom prst="rect">
                      <a:avLst/>
                    </a:prstGeom>
                  </pic:spPr>
                </pic:pic>
              </a:graphicData>
            </a:graphic>
          </wp:inline>
        </w:drawing>
      </w:r>
      <w:r>
        <w:drawing>
          <wp:inline distT="0" distB="0" distL="0" distR="0">
            <wp:extent cx="5892800" cy="41560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4"/>
                    <a:stretch>
                      <a:fillRect/>
                    </a:stretch>
                  </pic:blipFill>
                  <pic:spPr>
                    <a:xfrm>
                      <a:off x="0" y="0"/>
                      <a:ext cx="5896610" cy="4159270"/>
                    </a:xfrm>
                    <a:prstGeom prst="rect">
                      <a:avLst/>
                    </a:prstGeom>
                  </pic:spPr>
                </pic:pic>
              </a:graphicData>
            </a:graphic>
          </wp:inline>
        </w:drawing>
      </w:r>
    </w:p>
    <w:p>
      <w:pPr>
        <w:pStyle w:val="2"/>
        <w:rPr>
          <w:sz w:val="28"/>
          <w:szCs w:val="28"/>
        </w:rPr>
      </w:pPr>
      <w:r>
        <w:rPr>
          <w:rFonts w:hint="eastAsia"/>
          <w:sz w:val="28"/>
          <w:szCs w:val="28"/>
        </w:rPr>
        <w:t>风机</w:t>
      </w:r>
      <w:r>
        <w:rPr>
          <w:sz w:val="28"/>
          <w:szCs w:val="28"/>
        </w:rPr>
        <w:t>塔筒内部结构如下图：</w:t>
      </w:r>
    </w:p>
    <w:p>
      <w:pPr>
        <w:pStyle w:val="2"/>
        <w:rPr>
          <w:sz w:val="28"/>
          <w:szCs w:val="28"/>
        </w:rPr>
      </w:pPr>
      <w:r>
        <w:drawing>
          <wp:inline distT="0" distB="0" distL="0" distR="0">
            <wp:extent cx="6153150" cy="565848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5"/>
                    <a:stretch>
                      <a:fillRect/>
                    </a:stretch>
                  </pic:blipFill>
                  <pic:spPr>
                    <a:xfrm>
                      <a:off x="0" y="0"/>
                      <a:ext cx="6153150" cy="5658485"/>
                    </a:xfrm>
                    <a:prstGeom prst="rect">
                      <a:avLst/>
                    </a:prstGeom>
                  </pic:spPr>
                </pic:pic>
              </a:graphicData>
            </a:graphic>
          </wp:inline>
        </w:drawing>
      </w: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r>
        <w:rPr>
          <w:rFonts w:hint="eastAsia"/>
          <w:sz w:val="28"/>
          <w:szCs w:val="28"/>
        </w:rPr>
        <w:t>长琴岛</w:t>
      </w:r>
      <w:r>
        <w:rPr>
          <w:sz w:val="28"/>
          <w:szCs w:val="28"/>
        </w:rPr>
        <w:t>集控中心总平面布置图如下：</w:t>
      </w:r>
    </w:p>
    <w:p>
      <w:pPr>
        <w:pStyle w:val="2"/>
      </w:pPr>
      <w:r>
        <w:drawing>
          <wp:inline distT="0" distB="0" distL="0" distR="0">
            <wp:extent cx="6153150" cy="545338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6"/>
                    <a:stretch>
                      <a:fillRect/>
                    </a:stretch>
                  </pic:blipFill>
                  <pic:spPr>
                    <a:xfrm>
                      <a:off x="0" y="0"/>
                      <a:ext cx="6153150" cy="5453380"/>
                    </a:xfrm>
                    <a:prstGeom prst="rect">
                      <a:avLst/>
                    </a:prstGeom>
                  </pic:spPr>
                </pic:pic>
              </a:graphicData>
            </a:graphic>
          </wp:inline>
        </w:drawing>
      </w:r>
    </w:p>
    <w:p>
      <w:pPr>
        <w:pStyle w:val="2"/>
      </w:pPr>
    </w:p>
    <w:p>
      <w:pPr>
        <w:adjustRightInd w:val="0"/>
        <w:snapToGrid w:val="0"/>
        <w:spacing w:line="360" w:lineRule="auto"/>
        <w:ind w:firstLine="560" w:firstLineChars="200"/>
        <w:rPr>
          <w:rFonts w:hint="eastAsia" w:asciiTheme="minorEastAsia" w:hAnsiTheme="minorEastAsia"/>
          <w:sz w:val="28"/>
          <w:szCs w:val="28"/>
          <w:lang w:val="zh-CN"/>
        </w:rPr>
      </w:pPr>
      <w:bookmarkStart w:id="8" w:name="OLE_LINK12"/>
      <w:bookmarkStart w:id="9" w:name="OLE_LINK13"/>
      <w:r>
        <w:rPr>
          <w:rFonts w:hint="eastAsia" w:asciiTheme="minorEastAsia" w:hAnsiTheme="minorEastAsia"/>
          <w:sz w:val="28"/>
          <w:szCs w:val="28"/>
          <w:lang w:val="zh-CN"/>
        </w:rPr>
        <w:t>公司管辖的桂山海上风电场、七湾风电场、东澳风电场存在分布区域广、环境复杂等特点，办公点有风电场集控及应急指挥中心、长琴岛、桂山岛和东澳岛，</w:t>
      </w:r>
      <w:bookmarkStart w:id="10" w:name="OLE_LINK14"/>
      <w:bookmarkStart w:id="11" w:name="OLE_LINK15"/>
      <w:r>
        <w:rPr>
          <w:rFonts w:hint="eastAsia" w:asciiTheme="minorEastAsia" w:hAnsiTheme="minorEastAsia"/>
          <w:sz w:val="28"/>
          <w:szCs w:val="28"/>
          <w:lang w:val="zh-CN"/>
        </w:rPr>
        <w:t>为了加强职业卫生管理工作，强化投标方职业病防治的主体责任，预防、控制职业病危害，保障劳动者健康和相关权益，为劳动者提供符合法律、法规、规章、国家职业卫生标准和卫生要求的工作环境和条件，并采取有效措施保障劳动者的职业健康保证工作环境符合国家标准，特制定本技术规范书。</w:t>
      </w:r>
      <w:bookmarkEnd w:id="10"/>
      <w:bookmarkEnd w:id="11"/>
    </w:p>
    <w:bookmarkEnd w:id="8"/>
    <w:bookmarkEnd w:id="9"/>
    <w:p>
      <w:pPr>
        <w:pStyle w:val="2"/>
      </w:pPr>
    </w:p>
    <w:p>
      <w:pPr>
        <w:pStyle w:val="4"/>
        <w:adjustRightInd w:val="0"/>
        <w:rPr>
          <w:rFonts w:hint="eastAsia" w:ascii="宋体" w:hAnsi="宋体" w:cs="宋体"/>
          <w:sz w:val="30"/>
          <w:szCs w:val="30"/>
        </w:rPr>
      </w:pPr>
      <w:bookmarkStart w:id="12" w:name="_Toc9660"/>
      <w:bookmarkStart w:id="13" w:name="_Toc227231026"/>
      <w:r>
        <w:rPr>
          <w:rFonts w:hint="eastAsia" w:ascii="宋体" w:hAnsi="宋体" w:cs="宋体"/>
          <w:sz w:val="30"/>
          <w:szCs w:val="30"/>
        </w:rPr>
        <w:t>3</w:t>
      </w:r>
      <w:r>
        <w:rPr>
          <w:rFonts w:ascii="宋体" w:hAnsi="宋体" w:cs="宋体"/>
          <w:sz w:val="30"/>
          <w:szCs w:val="30"/>
        </w:rPr>
        <w:t>.2</w:t>
      </w:r>
      <w:r>
        <w:rPr>
          <w:rFonts w:hint="eastAsia" w:ascii="宋体" w:hAnsi="宋体" w:cs="宋体"/>
          <w:sz w:val="30"/>
          <w:szCs w:val="30"/>
        </w:rPr>
        <w:t>工作内容</w:t>
      </w:r>
      <w:bookmarkEnd w:id="12"/>
      <w:bookmarkEnd w:id="13"/>
    </w:p>
    <w:p>
      <w:pPr>
        <w:adjustRightInd w:val="0"/>
        <w:snapToGrid w:val="0"/>
        <w:spacing w:line="360" w:lineRule="auto"/>
        <w:ind w:firstLine="560" w:firstLineChars="200"/>
        <w:rPr>
          <w:rFonts w:hint="eastAsia" w:cs="宋体" w:asciiTheme="minorEastAsia" w:hAnsiTheme="minorEastAsia"/>
          <w:sz w:val="28"/>
          <w:szCs w:val="28"/>
        </w:rPr>
      </w:pPr>
      <w:r>
        <w:rPr>
          <w:rFonts w:hint="eastAsia" w:cs="宋体" w:asciiTheme="minorEastAsia" w:hAnsiTheme="minorEastAsia"/>
          <w:sz w:val="28"/>
          <w:szCs w:val="28"/>
        </w:rPr>
        <w:t>1．投标方按照《中华人民共和国职业病防治法》《工作场所职业卫生管理规定》 《工作场所空气中有害物质监测的采样规范》（中华人民共和国国家卫生健康委员会令第5号，自2021年2月1日起施行）,及国家有关法律、法规和国家GBZ159、GBZ/T189、GBZ/T192、GBZ160/300、GBZ159-2004等标准规范的要求，做好南方海上风电联合开发有限公司职业病危害因素定期检测工作，对所列项目进行定期检测，对检测结果进行概括性的总结，列出结果超标的岗位（工种）或检测地点，分析超标的主要原因。编制相应检测结果报告书。本项目所需工器具、辅助材料、个人防护用品及专用运输工具由投标方负责提供。具体检测点不少于实际检测点的9</w:t>
      </w:r>
      <w:r>
        <w:rPr>
          <w:rFonts w:cs="宋体" w:asciiTheme="minorEastAsia" w:hAnsiTheme="minorEastAsia"/>
          <w:sz w:val="28"/>
          <w:szCs w:val="28"/>
        </w:rPr>
        <w:t>0%</w:t>
      </w:r>
      <w:r>
        <w:rPr>
          <w:rFonts w:hint="eastAsia" w:cs="宋体" w:asciiTheme="minorEastAsia" w:hAnsiTheme="minorEastAsia"/>
          <w:sz w:val="28"/>
          <w:szCs w:val="28"/>
        </w:rPr>
        <w:t>，投标方根据实际情况可适当增加检测点位，但不增加费用；</w:t>
      </w:r>
      <w:r>
        <w:rPr>
          <w:rFonts w:cs="宋体" w:asciiTheme="minorEastAsia" w:hAnsiTheme="minorEastAsia"/>
          <w:sz w:val="28"/>
          <w:szCs w:val="28"/>
        </w:rPr>
        <w:t>职业病危害因素定期检测工作程序见下图：</w:t>
      </w:r>
    </w:p>
    <w:p>
      <w:pPr>
        <w:pStyle w:val="2"/>
      </w:pPr>
      <w:r>
        <w:drawing>
          <wp:anchor distT="0" distB="0" distL="0" distR="0" simplePos="0" relativeHeight="251664384" behindDoc="0" locked="0" layoutInCell="1" allowOverlap="1">
            <wp:simplePos x="0" y="0"/>
            <wp:positionH relativeFrom="page">
              <wp:posOffset>2381250</wp:posOffset>
            </wp:positionH>
            <wp:positionV relativeFrom="paragraph">
              <wp:posOffset>107950</wp:posOffset>
            </wp:positionV>
            <wp:extent cx="3245485" cy="4495800"/>
            <wp:effectExtent l="0" t="0" r="0" b="0"/>
            <wp:wrapSquare wrapText="bothSides"/>
            <wp:docPr id="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a:picLocks noChangeAspect="1"/>
                    </pic:cNvPicPr>
                  </pic:nvPicPr>
                  <pic:blipFill>
                    <a:blip r:embed="rId17" cstate="print"/>
                    <a:stretch>
                      <a:fillRect/>
                    </a:stretch>
                  </pic:blipFill>
                  <pic:spPr>
                    <a:xfrm>
                      <a:off x="0" y="0"/>
                      <a:ext cx="3245485" cy="4495800"/>
                    </a:xfrm>
                    <a:prstGeom prst="rect">
                      <a:avLst/>
                    </a:prstGeom>
                  </pic:spPr>
                </pic:pic>
              </a:graphicData>
            </a:graphic>
          </wp:anchor>
        </w:drawing>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jc w:val="left"/>
        <w:rPr>
          <w:rFonts w:hint="eastAsia" w:cs="Arial" w:asciiTheme="minorEastAsia" w:hAnsiTheme="minorEastAsia"/>
          <w:color w:val="000000"/>
          <w:sz w:val="28"/>
          <w:szCs w:val="24"/>
        </w:rPr>
      </w:pPr>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2.现场采样与测量前准备：</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开展现场采样与测量前，</w:t>
      </w:r>
      <w:r>
        <w:rPr>
          <w:rFonts w:hint="eastAsia" w:cs="Arial" w:asciiTheme="minorEastAsia" w:hAnsiTheme="minorEastAsia"/>
          <w:color w:val="000000"/>
          <w:sz w:val="28"/>
          <w:szCs w:val="24"/>
        </w:rPr>
        <w:t>投标方</w:t>
      </w:r>
      <w:r>
        <w:rPr>
          <w:rFonts w:cs="Arial" w:asciiTheme="minorEastAsia" w:hAnsiTheme="minorEastAsia"/>
          <w:color w:val="000000"/>
          <w:sz w:val="28"/>
          <w:szCs w:val="24"/>
        </w:rPr>
        <w:t>根据现场采样与测量计划做好以下准备工作：</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应准备符合采样与测量要求的仪器设备，检查其性能（流量/量程/能量范围、测量射线种类、时间响应、防爆性能等）、电池电量、计量检定或校准有效期等情况</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应做好采样器气密性检查、设定流量准确性测定和仪器领用等工作，并做好记录。采样器设定流量的准确性测定参见附录E</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噪声测量前应对测量仪器进行校准，测量后应以测量模式对标准声源进行测量，如偏差大于0.5</w:t>
      </w:r>
      <w:r>
        <w:rPr>
          <w:rFonts w:hint="eastAsia" w:ascii="MS Gothic" w:hAnsi="MS Gothic" w:eastAsia="MS Gothic" w:cs="MS Gothic"/>
          <w:color w:val="000000"/>
          <w:sz w:val="28"/>
          <w:szCs w:val="24"/>
        </w:rPr>
        <w:t> </w:t>
      </w:r>
      <w:r>
        <w:rPr>
          <w:rFonts w:cs="Arial" w:asciiTheme="minorEastAsia" w:hAnsiTheme="minorEastAsia"/>
          <w:color w:val="000000"/>
          <w:sz w:val="28"/>
          <w:szCs w:val="24"/>
        </w:rPr>
        <w:t>dB，本次测量结果应当舍弃，并更换测量仪器重新进行测量。其他物理因素测量设备按照GBZ/T 189（所有部分）的要求在测量前进行校准</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现场采样所需的空气收集器和试剂等材料应验收并确认合格。对购买的每批次空气收集器进行验收，测定常见职业病危害因素的本底值和解吸（或洗脱/消解）效率，空气收集器中待测职业病危害因素的本底值原则上应低于所选用方法的检出限，平均解吸（或洗脱/消解）效率原则上不低于 90%，并做好验收记录。</w:t>
      </w:r>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3.现场采样与测量：</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现场采样与测量应在正常生产和排除人为干扰情况下进行，现场采样与测量情况应拍照</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（摄影）并注明拍摄时间。因涉及国家秘密、商业秘密、技术秘密、个人隐私及特殊要求不能拍照（摄影）的，</w:t>
      </w:r>
      <w:r>
        <w:rPr>
          <w:rFonts w:hint="eastAsia" w:cs="Arial" w:asciiTheme="minorEastAsia" w:hAnsiTheme="minorEastAsia"/>
          <w:color w:val="000000"/>
          <w:sz w:val="28"/>
          <w:szCs w:val="24"/>
        </w:rPr>
        <w:t>招标方</w:t>
      </w:r>
      <w:r>
        <w:rPr>
          <w:rFonts w:cs="Arial" w:asciiTheme="minorEastAsia" w:hAnsiTheme="minorEastAsia"/>
          <w:color w:val="000000"/>
          <w:sz w:val="28"/>
          <w:szCs w:val="24"/>
        </w:rPr>
        <w:t>应提供书面确认材料。</w:t>
      </w:r>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4.</w:t>
      </w:r>
      <w:r>
        <w:rPr>
          <w:rFonts w:cs="Arial" w:asciiTheme="minorEastAsia" w:hAnsiTheme="minorEastAsia"/>
          <w:color w:val="000000"/>
          <w:sz w:val="28"/>
          <w:szCs w:val="24"/>
        </w:rPr>
        <w:t>现场采样与测量的通用要求：</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应至少由2名专业技术人员完成；</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采样与测量时应观察和了解工作场所卫生状况和环境条件，核实采样与测量对象（或地点、点位）及检测项目等信息；</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采样与测量时应经常性观察仪器设备的运行状态，确保仪器设备正常运行；</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采样与测量应覆盖</w:t>
      </w:r>
      <w:r>
        <w:rPr>
          <w:rFonts w:hint="eastAsia" w:cs="Arial" w:asciiTheme="minorEastAsia" w:hAnsiTheme="minorEastAsia"/>
          <w:color w:val="000000"/>
          <w:sz w:val="28"/>
          <w:szCs w:val="24"/>
        </w:rPr>
        <w:t>招标方</w:t>
      </w:r>
      <w:r>
        <w:rPr>
          <w:rFonts w:cs="Arial" w:asciiTheme="minorEastAsia" w:hAnsiTheme="minorEastAsia"/>
          <w:color w:val="000000"/>
          <w:sz w:val="28"/>
          <w:szCs w:val="24"/>
        </w:rPr>
        <w:t>存在职业病危害因素的全部工作场所和岗位（工种），且不少于 1 个工作班；</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采样与测量人员应遵守</w:t>
      </w:r>
      <w:r>
        <w:rPr>
          <w:rFonts w:hint="eastAsia" w:cs="Arial" w:asciiTheme="minorEastAsia" w:hAnsiTheme="minorEastAsia"/>
          <w:color w:val="000000"/>
          <w:sz w:val="28"/>
          <w:szCs w:val="24"/>
        </w:rPr>
        <w:t>招标方</w:t>
      </w:r>
      <w:r>
        <w:rPr>
          <w:rFonts w:cs="Arial" w:asciiTheme="minorEastAsia" w:hAnsiTheme="minorEastAsia"/>
          <w:color w:val="000000"/>
          <w:sz w:val="28"/>
          <w:szCs w:val="24"/>
        </w:rPr>
        <w:t>安全卫生要求，正确穿戴个体防护用品。</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物理因素测量符合 GBZ/T 189（所有部分）的要求；</w:t>
      </w:r>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5.</w:t>
      </w:r>
      <w:r>
        <w:rPr>
          <w:rFonts w:cs="Arial" w:asciiTheme="minorEastAsia" w:hAnsiTheme="minorEastAsia"/>
          <w:color w:val="000000"/>
          <w:sz w:val="28"/>
          <w:szCs w:val="24"/>
        </w:rPr>
        <w:t>化学有害因素的采样对象（地点）及数量符合 GBZ 159 要求，并符合：</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采用个体方式，当能确定职业病危害因素接触水平最高和接触时间最长的劳动者时，采样对象包括职业病危害因素接触水平最高和接触时间最长的劳动者，其余的采样对象随机选择；</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用定点方式，对于固定岗位（工种），1个～3个相同工位选择1个工位进行采样；4个～10个相同工位选择2个工位进行采样；超过10个相同工位至少选择3个工位进行采样。对于流动岗位（工种），将劳动者工作班接触职业病危害因素的工作地点或移动范围内的工作区域均作为采样地点。</w:t>
      </w:r>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6.</w:t>
      </w:r>
      <w:r>
        <w:rPr>
          <w:rFonts w:cs="Arial" w:asciiTheme="minorEastAsia" w:hAnsiTheme="minorEastAsia"/>
          <w:color w:val="000000"/>
          <w:sz w:val="28"/>
          <w:szCs w:val="24"/>
        </w:rPr>
        <w:t>化学有害因素的采样方式、时长和时机满足以下要求：</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职业接触限值为 PC-TWA 的化学有害因素原则上采用长时间采样，流动岗位（工种）优先采用个体采样。采样时长应符合GBZ/T160、GBZ/T192（所有部分）和 GBZ/T300（所有部分）的要求，覆盖接触职业病危害因素的全部工作内容，且固定岗位（工种）采   样时间不少于劳动者每班接触时间的25%，流动岗位（工种）采样时间不少于劳动者每班接触时间的50%。因空气收集器为液体吸收管和采气袋等无法进行长时间采样的，可采用短时间分段采样方式，采样时段不少于2个，采样间隔不小于1</w:t>
      </w:r>
      <w:r>
        <w:rPr>
          <w:rFonts w:hint="eastAsia" w:ascii="MS Gothic" w:hAnsi="MS Gothic" w:eastAsia="MS Gothic" w:cs="MS Gothic"/>
          <w:color w:val="000000"/>
          <w:sz w:val="28"/>
          <w:szCs w:val="24"/>
        </w:rPr>
        <w:t> </w:t>
      </w:r>
      <w:r>
        <w:rPr>
          <w:rFonts w:cs="Arial" w:asciiTheme="minorEastAsia" w:hAnsiTheme="minorEastAsia"/>
          <w:color w:val="000000"/>
          <w:sz w:val="28"/>
          <w:szCs w:val="24"/>
        </w:rPr>
        <w:t>h</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职业接触限值为 PC-STEL或按PE进行评价的化学有害因素，劳动者接触浓度无明显波动时，可不进行短时间采样；劳动者接触浓度存在明显波动时，应在劳动者接触浓度高的工作地点及时段进行相应的短时间采样。采样时长一般为15</w:t>
      </w:r>
      <w:r>
        <w:rPr>
          <w:rFonts w:hint="eastAsia" w:ascii="MS Gothic" w:hAnsi="MS Gothic" w:eastAsia="MS Gothic" w:cs="MS Gothic"/>
          <w:color w:val="000000"/>
          <w:sz w:val="28"/>
          <w:szCs w:val="24"/>
        </w:rPr>
        <w:t> </w:t>
      </w:r>
      <w:r>
        <w:rPr>
          <w:rFonts w:cs="Arial" w:asciiTheme="minorEastAsia" w:hAnsiTheme="minorEastAsia"/>
          <w:color w:val="000000"/>
          <w:sz w:val="28"/>
          <w:szCs w:val="24"/>
        </w:rPr>
        <w:t>min</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职业接触限值为PC-TWA的化学有害因素，劳动者接触时间不超过1</w:t>
      </w:r>
      <w:r>
        <w:rPr>
          <w:rFonts w:hint="eastAsia" w:ascii="MS Gothic" w:hAnsi="MS Gothic" w:eastAsia="MS Gothic" w:cs="MS Gothic"/>
          <w:color w:val="000000"/>
          <w:sz w:val="28"/>
          <w:szCs w:val="24"/>
        </w:rPr>
        <w:t> </w:t>
      </w:r>
      <w:r>
        <w:rPr>
          <w:rFonts w:cs="Arial" w:asciiTheme="minorEastAsia" w:hAnsiTheme="minorEastAsia"/>
          <w:color w:val="000000"/>
          <w:sz w:val="28"/>
          <w:szCs w:val="24"/>
        </w:rPr>
        <w:t>h时，可根据作业的实际情况和该化学有害因素的特性，参照其PC-STEL或PE进行检测和评价</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职业接触限值为MAC的化学有害因素，应在劳动者接触浓度高的时段或工作地点进行采样。采样时长根据劳动者的实际接触时间和检测方法确定，但不应超过15</w:t>
      </w:r>
      <w:r>
        <w:rPr>
          <w:rFonts w:hint="eastAsia" w:ascii="MS Gothic" w:hAnsi="MS Gothic" w:eastAsia="MS Gothic" w:cs="MS Gothic"/>
          <w:color w:val="000000"/>
          <w:sz w:val="28"/>
          <w:szCs w:val="24"/>
        </w:rPr>
        <w:t> </w:t>
      </w:r>
      <w:r>
        <w:rPr>
          <w:rFonts w:cs="Arial" w:asciiTheme="minorEastAsia" w:hAnsiTheme="minorEastAsia"/>
          <w:color w:val="000000"/>
          <w:sz w:val="28"/>
          <w:szCs w:val="24"/>
        </w:rPr>
        <w:t>min。</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采样结束后立即密封样品，不应在采样地点处理样品（如打开滤膜夹或倒出吸收液），防止样品污染</w:t>
      </w:r>
      <w:r>
        <w:rPr>
          <w:rFonts w:hint="eastAsia" w:cs="Arial" w:asciiTheme="minorEastAsia" w:hAnsiTheme="minorEastAsia"/>
          <w:color w:val="000000"/>
          <w:sz w:val="28"/>
          <w:szCs w:val="24"/>
        </w:rPr>
        <w:t>。</w:t>
      </w:r>
    </w:p>
    <w:p>
      <w:pPr>
        <w:pStyle w:val="2"/>
        <w:ind w:firstLine="560" w:firstLineChars="200"/>
        <w:jc w:val="left"/>
        <w:rPr>
          <w:rFonts w:hint="eastAsia" w:cs="Arial" w:asciiTheme="minorEastAsia" w:hAnsiTheme="minorEastAsia"/>
          <w:color w:val="000000"/>
          <w:sz w:val="28"/>
          <w:szCs w:val="24"/>
        </w:rPr>
      </w:pPr>
      <w:r>
        <w:rPr>
          <w:rFonts w:cs="Arial" w:asciiTheme="minorEastAsia" w:hAnsiTheme="minorEastAsia"/>
          <w:color w:val="000000"/>
          <w:sz w:val="28"/>
          <w:szCs w:val="24"/>
        </w:rPr>
        <w:t>采集的样品应有唯一性标识。采样时应采集样品空白，样品空白与样品为同一批次的空气收集器，同一检测项目同一批次样品至少采集2个样品空白。当同一空气收集器同时采集多种职业病危害因素时，样品的保存条件和保存时限按要求最严格的危害因素执行。</w:t>
      </w:r>
    </w:p>
    <w:p>
      <w:pPr>
        <w:pStyle w:val="2"/>
        <w:sectPr>
          <w:footerReference r:id="rId3" w:type="default"/>
          <w:pgSz w:w="11910" w:h="16840"/>
          <w:pgMar w:top="1660" w:right="920" w:bottom="1340" w:left="1300" w:header="1442" w:footer="1141" w:gutter="0"/>
          <w:pgNumType w:start="1"/>
          <w:cols w:space="720" w:num="1"/>
        </w:sectPr>
      </w:pPr>
    </w:p>
    <w:p>
      <w:pPr>
        <w:pStyle w:val="4"/>
        <w:adjustRightInd w:val="0"/>
        <w:rPr>
          <w:rFonts w:hint="eastAsia" w:ascii="宋体" w:hAnsi="宋体" w:cs="宋体"/>
          <w:sz w:val="30"/>
          <w:szCs w:val="30"/>
        </w:rPr>
      </w:pPr>
      <w:bookmarkStart w:id="14" w:name="_Toc227231027"/>
      <w:r>
        <w:rPr>
          <w:rFonts w:ascii="宋体" w:hAnsi="宋体" w:cs="宋体"/>
          <w:sz w:val="30"/>
          <w:szCs w:val="30"/>
        </w:rPr>
        <w:t>3.2工作量清单</w:t>
      </w:r>
      <w:bookmarkEnd w:id="14"/>
    </w:p>
    <w:tbl>
      <w:tblPr>
        <w:tblStyle w:val="15"/>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1779"/>
        <w:gridCol w:w="4153"/>
        <w:gridCol w:w="1158"/>
        <w:gridCol w:w="1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tcPr>
          <w:p>
            <w:pPr>
              <w:pStyle w:val="2"/>
              <w:jc w:val="center"/>
              <w:rPr>
                <w:rFonts w:hint="eastAsia" w:ascii="黑体" w:hAnsi="黑体" w:eastAsia="黑体"/>
                <w:b/>
                <w:spacing w:val="-10"/>
                <w:sz w:val="28"/>
                <w:szCs w:val="28"/>
              </w:rPr>
            </w:pPr>
            <w:bookmarkStart w:id="15" w:name="OLE_LINK2"/>
            <w:bookmarkStart w:id="16" w:name="OLE_LINK1"/>
            <w:r>
              <w:rPr>
                <w:rFonts w:hint="eastAsia" w:ascii="黑体" w:hAnsi="黑体" w:eastAsia="黑体"/>
                <w:b/>
                <w:spacing w:val="-10"/>
                <w:sz w:val="28"/>
                <w:szCs w:val="28"/>
              </w:rPr>
              <w:t>作业场所一名称</w:t>
            </w:r>
          </w:p>
        </w:tc>
        <w:tc>
          <w:tcPr>
            <w:tcW w:w="4153" w:type="dxa"/>
            <w:tcBorders>
              <w:bottom w:val="single" w:color="auto" w:sz="4" w:space="0"/>
            </w:tcBorders>
          </w:tcPr>
          <w:p>
            <w:pPr>
              <w:pStyle w:val="2"/>
              <w:jc w:val="center"/>
              <w:rPr>
                <w:rFonts w:hint="eastAsia" w:ascii="黑体" w:hAnsi="黑体" w:eastAsia="黑体"/>
                <w:b/>
                <w:spacing w:val="-10"/>
                <w:sz w:val="28"/>
                <w:szCs w:val="28"/>
              </w:rPr>
            </w:pPr>
            <w:r>
              <w:rPr>
                <w:rFonts w:hint="eastAsia" w:ascii="黑体" w:hAnsi="黑体" w:eastAsia="黑体"/>
                <w:b/>
                <w:spacing w:val="-10"/>
                <w:sz w:val="28"/>
                <w:szCs w:val="28"/>
              </w:rPr>
              <w:t>职业病危害因素名称</w:t>
            </w:r>
          </w:p>
        </w:tc>
        <w:tc>
          <w:tcPr>
            <w:tcW w:w="1158" w:type="dxa"/>
          </w:tcPr>
          <w:p>
            <w:pPr>
              <w:pStyle w:val="2"/>
              <w:jc w:val="center"/>
              <w:rPr>
                <w:rFonts w:hint="eastAsia" w:ascii="黑体" w:hAnsi="黑体" w:eastAsia="黑体"/>
                <w:b/>
                <w:spacing w:val="-10"/>
                <w:sz w:val="28"/>
                <w:szCs w:val="28"/>
              </w:rPr>
            </w:pPr>
            <w:bookmarkStart w:id="17" w:name="OLE_LINK21"/>
            <w:bookmarkStart w:id="18" w:name="OLE_LINK20"/>
            <w:r>
              <w:rPr>
                <w:rFonts w:hint="eastAsia" w:ascii="黑体" w:hAnsi="黑体" w:eastAsia="黑体"/>
                <w:b/>
                <w:spacing w:val="-10"/>
                <w:sz w:val="28"/>
                <w:szCs w:val="28"/>
              </w:rPr>
              <w:t>接触人</w:t>
            </w:r>
          </w:p>
        </w:tc>
        <w:tc>
          <w:tcPr>
            <w:tcW w:w="1158" w:type="dxa"/>
          </w:tcPr>
          <w:p>
            <w:pPr>
              <w:pStyle w:val="2"/>
              <w:jc w:val="center"/>
              <w:rPr>
                <w:rFonts w:hint="eastAsia" w:ascii="黑体" w:hAnsi="黑体" w:eastAsia="黑体"/>
                <w:b/>
                <w:spacing w:val="-10"/>
                <w:sz w:val="28"/>
                <w:szCs w:val="28"/>
              </w:rPr>
            </w:pPr>
            <w:r>
              <w:rPr>
                <w:rFonts w:hint="eastAsia" w:ascii="黑体" w:hAnsi="黑体" w:eastAsia="黑体"/>
                <w:b/>
                <w:spacing w:val="-10"/>
                <w:sz w:val="28"/>
                <w:szCs w:val="28"/>
              </w:rPr>
              <w:t>检测点数</w:t>
            </w:r>
            <w:bookmarkEnd w:id="17"/>
            <w:bookmarkEnd w:id="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tcBorders>
              <w:right w:val="single" w:color="auto" w:sz="4" w:space="0"/>
            </w:tcBorders>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东澳岛东澳风电场（4台风机）</w:t>
            </w:r>
          </w:p>
        </w:tc>
        <w:tc>
          <w:tcPr>
            <w:tcW w:w="4153" w:type="dxa"/>
            <w:tcBorders>
              <w:top w:val="single" w:color="auto" w:sz="4" w:space="0"/>
              <w:left w:val="single" w:color="auto" w:sz="4" w:space="0"/>
              <w:bottom w:val="single" w:color="auto" w:sz="4" w:space="0"/>
              <w:right w:val="single" w:color="auto" w:sz="4" w:space="0"/>
            </w:tcBorders>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非甲烷总烃、溶剂汽油、高温</w:t>
            </w:r>
            <w:bookmarkStart w:id="19" w:name="OLE_LINK7"/>
            <w:bookmarkStart w:id="20" w:name="OLE_LINK6"/>
            <w:r>
              <w:rPr>
                <w:rFonts w:hint="eastAsia" w:asciiTheme="minorEastAsia" w:hAnsiTheme="minorEastAsia"/>
                <w:spacing w:val="-10"/>
                <w:sz w:val="24"/>
                <w:szCs w:val="24"/>
              </w:rPr>
              <w:t>、噪声</w:t>
            </w:r>
            <w:bookmarkEnd w:id="19"/>
            <w:bookmarkEnd w:id="20"/>
          </w:p>
        </w:tc>
        <w:tc>
          <w:tcPr>
            <w:tcW w:w="1158" w:type="dxa"/>
            <w:tcBorders>
              <w:left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40</w:t>
            </w:r>
          </w:p>
        </w:tc>
        <w:tc>
          <w:tcPr>
            <w:tcW w:w="1158" w:type="dxa"/>
            <w:tcBorders>
              <w:left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桂山岛七湾风电场（3台风机）</w:t>
            </w:r>
          </w:p>
        </w:tc>
        <w:tc>
          <w:tcPr>
            <w:tcW w:w="4153" w:type="dxa"/>
            <w:tcBorders>
              <w:top w:val="single" w:color="auto" w:sz="4" w:space="0"/>
            </w:tcBorders>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非甲烷总烃、溶剂汽油、噪声、高温</w:t>
            </w:r>
          </w:p>
        </w:tc>
        <w:tc>
          <w:tcPr>
            <w:tcW w:w="1158" w:type="dxa"/>
            <w:tcBorders>
              <w:left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40</w:t>
            </w:r>
          </w:p>
        </w:tc>
        <w:tc>
          <w:tcPr>
            <w:tcW w:w="1158" w:type="dxa"/>
            <w:tcBorders>
              <w:left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2937" w:type="dxa"/>
            <w:gridSpan w:val="2"/>
            <w:tcBorders>
              <w:bottom w:val="single" w:color="auto" w:sz="4" w:space="0"/>
            </w:tcBorders>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桂山海上风电场（49台风机）</w:t>
            </w:r>
          </w:p>
        </w:tc>
        <w:tc>
          <w:tcPr>
            <w:tcW w:w="4153" w:type="dxa"/>
            <w:tcBorders>
              <w:bottom w:val="single" w:color="auto" w:sz="4" w:space="0"/>
            </w:tcBorders>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非甲烷总烃、溶剂汽油、噪声、高温</w:t>
            </w:r>
            <w:r>
              <w:rPr>
                <w:rFonts w:hint="eastAsia" w:asciiTheme="minorEastAsia" w:hAnsiTheme="minorEastAsia"/>
                <w:spacing w:val="-10"/>
                <w:kern w:val="0"/>
                <w:sz w:val="24"/>
                <w:szCs w:val="24"/>
              </w:rPr>
              <w:t>、六氟化硫</w:t>
            </w:r>
          </w:p>
        </w:tc>
        <w:tc>
          <w:tcPr>
            <w:tcW w:w="1158" w:type="dxa"/>
            <w:tcBorders>
              <w:left w:val="single" w:color="auto" w:sz="4" w:space="0"/>
              <w:bottom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40</w:t>
            </w:r>
          </w:p>
        </w:tc>
        <w:tc>
          <w:tcPr>
            <w:tcW w:w="1158" w:type="dxa"/>
            <w:tcBorders>
              <w:left w:val="single" w:color="auto" w:sz="4" w:space="0"/>
              <w:bottom w:val="single" w:color="auto" w:sz="4" w:space="0"/>
            </w:tcBorders>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4"/>
          <w:wAfter w:w="8248" w:type="dxa"/>
          <w:trHeight w:val="81" w:hRule="exact"/>
          <w:jc w:val="center"/>
        </w:trPr>
        <w:tc>
          <w:tcPr>
            <w:tcW w:w="1158" w:type="dxa"/>
            <w:tcBorders>
              <w:left w:val="nil"/>
              <w:right w:val="nil"/>
            </w:tcBorders>
          </w:tcPr>
          <w:p>
            <w:pPr>
              <w:pStyle w:val="2"/>
              <w:spacing w:line="360" w:lineRule="auto"/>
              <w:jc w:val="center"/>
              <w:rPr>
                <w:rFonts w:hint="eastAsia" w:ascii="黑体" w:hAnsi="黑体" w:eastAsia="黑体"/>
                <w:b/>
                <w:spacing w:val="-1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tcPr>
          <w:p>
            <w:pPr>
              <w:pStyle w:val="2"/>
              <w:jc w:val="center"/>
              <w:rPr>
                <w:rFonts w:hint="eastAsia" w:ascii="黑体" w:hAnsi="黑体" w:eastAsia="黑体"/>
                <w:b/>
                <w:spacing w:val="-10"/>
                <w:sz w:val="28"/>
                <w:szCs w:val="28"/>
              </w:rPr>
            </w:pPr>
            <w:r>
              <w:rPr>
                <w:rFonts w:hint="eastAsia" w:ascii="黑体" w:hAnsi="黑体" w:eastAsia="黑体"/>
                <w:b/>
                <w:spacing w:val="-10"/>
                <w:sz w:val="28"/>
                <w:szCs w:val="28"/>
              </w:rPr>
              <w:t>作业场所二名称</w:t>
            </w:r>
          </w:p>
        </w:tc>
        <w:tc>
          <w:tcPr>
            <w:tcW w:w="4153" w:type="dxa"/>
          </w:tcPr>
          <w:p>
            <w:pPr>
              <w:pStyle w:val="2"/>
              <w:jc w:val="center"/>
              <w:rPr>
                <w:rFonts w:hint="eastAsia" w:ascii="黑体" w:hAnsi="黑体" w:eastAsia="黑体"/>
                <w:b/>
                <w:spacing w:val="-10"/>
                <w:sz w:val="28"/>
                <w:szCs w:val="28"/>
              </w:rPr>
            </w:pPr>
            <w:r>
              <w:rPr>
                <w:rFonts w:hint="eastAsia" w:ascii="黑体" w:hAnsi="黑体" w:eastAsia="黑体"/>
                <w:b/>
                <w:spacing w:val="-10"/>
                <w:sz w:val="28"/>
                <w:szCs w:val="28"/>
              </w:rPr>
              <w:t>职业病危害因素名称</w:t>
            </w:r>
          </w:p>
        </w:tc>
        <w:tc>
          <w:tcPr>
            <w:tcW w:w="1158" w:type="dxa"/>
          </w:tcPr>
          <w:p>
            <w:pPr>
              <w:pStyle w:val="2"/>
              <w:jc w:val="center"/>
              <w:rPr>
                <w:rFonts w:hint="eastAsia" w:ascii="黑体" w:hAnsi="黑体" w:eastAsia="黑体"/>
                <w:b/>
                <w:spacing w:val="-10"/>
                <w:sz w:val="28"/>
                <w:szCs w:val="28"/>
              </w:rPr>
            </w:pPr>
            <w:r>
              <w:rPr>
                <w:rFonts w:hint="eastAsia" w:ascii="黑体" w:hAnsi="黑体" w:eastAsia="黑体"/>
                <w:b/>
                <w:spacing w:val="-10"/>
                <w:sz w:val="28"/>
                <w:szCs w:val="28"/>
              </w:rPr>
              <w:t>接触人数</w:t>
            </w:r>
          </w:p>
        </w:tc>
        <w:tc>
          <w:tcPr>
            <w:tcW w:w="1158" w:type="dxa"/>
          </w:tcPr>
          <w:p>
            <w:pPr>
              <w:pStyle w:val="2"/>
              <w:spacing w:line="360" w:lineRule="auto"/>
              <w:jc w:val="center"/>
              <w:rPr>
                <w:rFonts w:hint="eastAsia" w:ascii="黑体" w:hAnsi="黑体" w:eastAsia="黑体"/>
                <w:b/>
                <w:spacing w:val="-10"/>
                <w:sz w:val="28"/>
                <w:szCs w:val="28"/>
              </w:rPr>
            </w:pPr>
            <w:r>
              <w:rPr>
                <w:rFonts w:hint="eastAsia" w:ascii="黑体" w:hAnsi="黑体" w:eastAsia="黑体"/>
                <w:b/>
                <w:spacing w:val="-10"/>
                <w:sz w:val="28"/>
                <w:szCs w:val="28"/>
              </w:rPr>
              <w:t>检测点数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vAlign w:val="center"/>
          </w:tcPr>
          <w:p>
            <w:pPr>
              <w:jc w:val="center"/>
              <w:rPr>
                <w:rFonts w:hint="eastAsia" w:asciiTheme="minorEastAsia" w:hAnsiTheme="minorEastAsia"/>
                <w:spacing w:val="-10"/>
                <w:sz w:val="24"/>
                <w:szCs w:val="24"/>
              </w:rPr>
            </w:pPr>
            <w:r>
              <w:rPr>
                <w:rFonts w:hint="eastAsia" w:asciiTheme="minorEastAsia" w:hAnsiTheme="minorEastAsia"/>
                <w:spacing w:val="-10"/>
                <w:sz w:val="24"/>
                <w:szCs w:val="24"/>
              </w:rPr>
              <w:t>风电场集控及应急指挥中心</w:t>
            </w:r>
          </w:p>
          <w:p>
            <w:pPr>
              <w:jc w:val="center"/>
            </w:pPr>
            <w:r>
              <w:rPr>
                <w:rFonts w:hint="eastAsia" w:asciiTheme="minorEastAsia" w:hAnsiTheme="minorEastAsia"/>
                <w:spacing w:val="-10"/>
                <w:sz w:val="24"/>
                <w:szCs w:val="24"/>
              </w:rPr>
              <w:t>（珠海）</w:t>
            </w:r>
          </w:p>
        </w:tc>
        <w:tc>
          <w:tcPr>
            <w:tcW w:w="4153" w:type="dxa"/>
            <w:vAlign w:val="center"/>
          </w:tcPr>
          <w:p>
            <w:pPr>
              <w:pStyle w:val="2"/>
              <w:jc w:val="center"/>
              <w:rPr>
                <w:rFonts w:hint="eastAsia" w:asciiTheme="minorEastAsia" w:hAnsiTheme="minorEastAsia"/>
                <w:spacing w:val="-10"/>
                <w:sz w:val="24"/>
                <w:szCs w:val="24"/>
              </w:rPr>
            </w:pPr>
            <w:r>
              <w:rPr>
                <w:rFonts w:asciiTheme="minorEastAsia" w:hAnsiTheme="minorEastAsia"/>
                <w:spacing w:val="-10"/>
                <w:sz w:val="24"/>
                <w:szCs w:val="24"/>
              </w:rPr>
              <w:t>粉尘、噪声</w:t>
            </w:r>
            <w:r>
              <w:rPr>
                <w:rFonts w:hint="eastAsia" w:asciiTheme="minorEastAsia" w:hAnsiTheme="minorEastAsia"/>
                <w:spacing w:val="-10"/>
                <w:sz w:val="24"/>
                <w:szCs w:val="24"/>
              </w:rPr>
              <w:t>、高温</w:t>
            </w:r>
          </w:p>
        </w:tc>
        <w:tc>
          <w:tcPr>
            <w:tcW w:w="1158" w:type="dxa"/>
            <w:vAlign w:val="center"/>
          </w:tcPr>
          <w:p>
            <w:pPr>
              <w:pStyle w:val="2"/>
              <w:jc w:val="center"/>
              <w:rPr>
                <w:rFonts w:hint="eastAsia" w:ascii="黑体" w:hAnsi="黑体" w:eastAsia="黑体"/>
                <w:spacing w:val="-10"/>
                <w:sz w:val="28"/>
                <w:szCs w:val="28"/>
              </w:rPr>
            </w:pPr>
            <w:r>
              <w:rPr>
                <w:rFonts w:hint="eastAsia" w:asciiTheme="minorEastAsia" w:hAnsiTheme="minorEastAsia"/>
                <w:spacing w:val="-10"/>
                <w:sz w:val="24"/>
                <w:szCs w:val="24"/>
              </w:rPr>
              <w:t>60</w:t>
            </w:r>
          </w:p>
        </w:tc>
        <w:tc>
          <w:tcPr>
            <w:tcW w:w="1158" w:type="dxa"/>
          </w:tcPr>
          <w:p>
            <w:pPr>
              <w:pStyle w:val="2"/>
              <w:spacing w:line="360" w:lineRule="auto"/>
              <w:jc w:val="center"/>
              <w:rPr>
                <w:rFonts w:hint="eastAsia" w:ascii="黑体" w:hAnsi="黑体" w:eastAsia="黑体"/>
                <w:spacing w:val="-10"/>
                <w:sz w:val="28"/>
                <w:szCs w:val="28"/>
                <w:lang w:eastAsia="zh-CN"/>
              </w:rPr>
            </w:pPr>
            <w:r>
              <w:rPr>
                <w:rFonts w:hint="eastAsia" w:ascii="黑体" w:hAnsi="黑体" w:eastAsia="黑体"/>
                <w:spacing w:val="-10"/>
                <w:sz w:val="28"/>
                <w:szCs w:val="28"/>
              </w:rPr>
              <w:t>1</w:t>
            </w:r>
            <w:r>
              <w:rPr>
                <w:rFonts w:hint="eastAsia" w:ascii="黑体" w:hAnsi="黑体" w:eastAsia="黑体"/>
                <w:spacing w:val="-10"/>
                <w:sz w:val="28"/>
                <w:szCs w:val="2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2937" w:type="dxa"/>
            <w:gridSpan w:val="2"/>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桂山岛检修楼、综合楼</w:t>
            </w:r>
          </w:p>
        </w:tc>
        <w:tc>
          <w:tcPr>
            <w:tcW w:w="4153" w:type="dxa"/>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非甲烷总烃、溶剂汽油、噪声、</w:t>
            </w:r>
            <w:bookmarkStart w:id="21" w:name="OLE_LINK10"/>
            <w:r>
              <w:rPr>
                <w:rFonts w:hint="eastAsia" w:asciiTheme="minorEastAsia" w:hAnsiTheme="minorEastAsia"/>
                <w:spacing w:val="-10"/>
                <w:sz w:val="24"/>
                <w:szCs w:val="24"/>
              </w:rPr>
              <w:t>高温</w:t>
            </w:r>
            <w:bookmarkEnd w:id="21"/>
          </w:p>
        </w:tc>
        <w:tc>
          <w:tcPr>
            <w:tcW w:w="1158" w:type="dxa"/>
            <w:vAlign w:val="center"/>
          </w:tcPr>
          <w:p>
            <w:pPr>
              <w:pStyle w:val="2"/>
              <w:jc w:val="center"/>
              <w:rPr>
                <w:rFonts w:hint="eastAsia" w:ascii="黑体" w:hAnsi="黑体" w:eastAsia="黑体"/>
                <w:spacing w:val="-10"/>
                <w:sz w:val="28"/>
                <w:szCs w:val="28"/>
              </w:rPr>
            </w:pPr>
            <w:r>
              <w:rPr>
                <w:rFonts w:hint="eastAsia" w:asciiTheme="minorEastAsia" w:hAnsiTheme="minorEastAsia"/>
                <w:spacing w:val="-10"/>
                <w:sz w:val="24"/>
                <w:szCs w:val="24"/>
              </w:rPr>
              <w:t>60</w:t>
            </w:r>
          </w:p>
        </w:tc>
        <w:tc>
          <w:tcPr>
            <w:tcW w:w="1158" w:type="dxa"/>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2937" w:type="dxa"/>
            <w:gridSpan w:val="2"/>
            <w:vAlign w:val="center"/>
          </w:tcPr>
          <w:p>
            <w:pPr>
              <w:jc w:val="center"/>
            </w:pPr>
            <w:r>
              <w:rPr>
                <w:rFonts w:hint="eastAsia" w:asciiTheme="minorEastAsia" w:hAnsiTheme="minorEastAsia"/>
                <w:spacing w:val="-10"/>
                <w:sz w:val="24"/>
                <w:szCs w:val="24"/>
              </w:rPr>
              <w:t>长琴岛值班宿舍楼、生产试验楼、柴油发电机房、海水淡化房、消防水泵房</w:t>
            </w:r>
          </w:p>
          <w:p>
            <w:pPr>
              <w:pStyle w:val="2"/>
              <w:jc w:val="center"/>
              <w:rPr>
                <w:rFonts w:hint="eastAsia" w:asciiTheme="minorEastAsia" w:hAnsiTheme="minorEastAsia"/>
                <w:spacing w:val="-10"/>
                <w:sz w:val="24"/>
                <w:szCs w:val="24"/>
              </w:rPr>
            </w:pPr>
          </w:p>
        </w:tc>
        <w:tc>
          <w:tcPr>
            <w:tcW w:w="4153" w:type="dxa"/>
            <w:vAlign w:val="center"/>
          </w:tcPr>
          <w:p>
            <w:pPr>
              <w:pStyle w:val="2"/>
              <w:jc w:val="center"/>
              <w:rPr>
                <w:rFonts w:hint="eastAsia" w:asciiTheme="minorEastAsia" w:hAnsiTheme="minorEastAsia"/>
                <w:spacing w:val="-10"/>
                <w:sz w:val="24"/>
                <w:szCs w:val="24"/>
              </w:rPr>
            </w:pPr>
            <w:r>
              <w:rPr>
                <w:rFonts w:hint="eastAsia" w:asciiTheme="minorEastAsia" w:hAnsiTheme="minorEastAsia"/>
                <w:spacing w:val="-10"/>
                <w:sz w:val="24"/>
                <w:szCs w:val="24"/>
              </w:rPr>
              <w:t>非甲烷总烃、溶剂汽油、噪声、高温</w:t>
            </w:r>
          </w:p>
        </w:tc>
        <w:tc>
          <w:tcPr>
            <w:tcW w:w="1158" w:type="dxa"/>
            <w:vAlign w:val="center"/>
          </w:tcPr>
          <w:p>
            <w:pPr>
              <w:pStyle w:val="2"/>
              <w:jc w:val="center"/>
              <w:rPr>
                <w:rFonts w:hint="eastAsia" w:ascii="黑体" w:hAnsi="黑体" w:eastAsia="黑体"/>
                <w:spacing w:val="-10"/>
                <w:sz w:val="28"/>
                <w:szCs w:val="28"/>
              </w:rPr>
            </w:pPr>
            <w:r>
              <w:rPr>
                <w:rFonts w:hint="eastAsia" w:asciiTheme="minorEastAsia" w:hAnsiTheme="minorEastAsia"/>
                <w:spacing w:val="-10"/>
                <w:sz w:val="24"/>
                <w:szCs w:val="24"/>
              </w:rPr>
              <w:t>60</w:t>
            </w:r>
          </w:p>
        </w:tc>
        <w:tc>
          <w:tcPr>
            <w:tcW w:w="1158" w:type="dxa"/>
          </w:tcPr>
          <w:p>
            <w:pPr>
              <w:pStyle w:val="2"/>
              <w:spacing w:line="360" w:lineRule="auto"/>
              <w:jc w:val="center"/>
              <w:rPr>
                <w:rFonts w:hint="eastAsia" w:ascii="黑体" w:hAnsi="黑体" w:eastAsia="黑体"/>
                <w:spacing w:val="-10"/>
                <w:sz w:val="28"/>
                <w:szCs w:val="28"/>
              </w:rPr>
            </w:pPr>
            <w:r>
              <w:rPr>
                <w:rFonts w:hint="eastAsia" w:ascii="黑体" w:hAnsi="黑体" w:eastAsia="黑体"/>
                <w:spacing w:val="-10"/>
                <w:sz w:val="28"/>
                <w:szCs w:val="28"/>
              </w:rPr>
              <w:t>10</w:t>
            </w:r>
          </w:p>
        </w:tc>
      </w:tr>
      <w:bookmarkEnd w:id="15"/>
      <w:bookmarkEnd w:id="16"/>
    </w:tbl>
    <w:p>
      <w:pPr>
        <w:pStyle w:val="4"/>
        <w:adjustRightInd w:val="0"/>
        <w:rPr>
          <w:rFonts w:hint="eastAsia" w:ascii="宋体" w:hAnsi="宋体" w:cs="宋体"/>
          <w:sz w:val="30"/>
          <w:szCs w:val="30"/>
        </w:rPr>
      </w:pPr>
      <w:bookmarkStart w:id="22" w:name="_Toc227231028"/>
      <w:r>
        <w:rPr>
          <w:rFonts w:ascii="宋体" w:hAnsi="宋体" w:cs="宋体"/>
          <w:sz w:val="30"/>
          <w:szCs w:val="30"/>
        </w:rPr>
        <w:t>3.3合同工期</w:t>
      </w:r>
      <w:bookmarkEnd w:id="22"/>
    </w:p>
    <w:p>
      <w:pPr>
        <w:pStyle w:val="2"/>
        <w:ind w:firstLine="560" w:firstLineChars="200"/>
        <w:jc w:val="left"/>
        <w:rPr>
          <w:rFonts w:hint="eastAsia" w:cs="Arial" w:asciiTheme="minorEastAsia" w:hAnsiTheme="minorEastAsia"/>
          <w:color w:val="000000"/>
          <w:sz w:val="28"/>
          <w:szCs w:val="24"/>
        </w:rPr>
      </w:pPr>
      <w:r>
        <w:rPr>
          <w:rFonts w:hint="eastAsia" w:cs="Arial" w:asciiTheme="minorEastAsia" w:hAnsiTheme="minorEastAsia"/>
          <w:color w:val="000000"/>
          <w:sz w:val="28"/>
          <w:szCs w:val="24"/>
        </w:rPr>
        <w:t>合同期限为三个月，</w:t>
      </w:r>
      <w:r>
        <w:rPr>
          <w:rFonts w:cs="Arial" w:asciiTheme="minorEastAsia" w:hAnsiTheme="minorEastAsia"/>
          <w:color w:val="000000"/>
          <w:sz w:val="28"/>
          <w:szCs w:val="24"/>
        </w:rPr>
        <w:t>具体开始日期以</w:t>
      </w:r>
      <w:r>
        <w:rPr>
          <w:rFonts w:hint="eastAsia" w:cs="Arial" w:asciiTheme="minorEastAsia" w:hAnsiTheme="minorEastAsia"/>
          <w:color w:val="000000"/>
          <w:sz w:val="28"/>
          <w:szCs w:val="24"/>
        </w:rPr>
        <w:t>招标方</w:t>
      </w:r>
      <w:r>
        <w:rPr>
          <w:rFonts w:cs="Arial" w:asciiTheme="minorEastAsia" w:hAnsiTheme="minorEastAsia"/>
          <w:color w:val="000000"/>
          <w:sz w:val="28"/>
          <w:szCs w:val="24"/>
        </w:rPr>
        <w:t>书面通知为准。</w:t>
      </w:r>
      <w:r>
        <w:rPr>
          <w:rFonts w:hint="eastAsia" w:cs="Arial" w:asciiTheme="minorEastAsia" w:hAnsiTheme="minorEastAsia"/>
          <w:color w:val="000000"/>
          <w:sz w:val="28"/>
          <w:szCs w:val="24"/>
        </w:rPr>
        <w:t>投标方接到招标方进场通知后，</w:t>
      </w:r>
      <w:r>
        <w:rPr>
          <w:rFonts w:cs="Arial" w:asciiTheme="minorEastAsia" w:hAnsiTheme="minorEastAsia"/>
          <w:color w:val="000000"/>
          <w:sz w:val="28"/>
          <w:szCs w:val="24"/>
        </w:rPr>
        <w:t>10</w:t>
      </w:r>
      <w:r>
        <w:rPr>
          <w:rFonts w:hint="eastAsia" w:cs="Arial" w:asciiTheme="minorEastAsia" w:hAnsiTheme="minorEastAsia"/>
          <w:color w:val="000000"/>
          <w:sz w:val="28"/>
          <w:szCs w:val="24"/>
        </w:rPr>
        <w:t>天内完成进场准备。如因招标方原因或不可控因素（如天气、政策变化等）导致开工日期的变化，工期将依次顺延。投标方应在合同约定的周期内高效高质量的完成项目的各项内容。</w:t>
      </w:r>
    </w:p>
    <w:p>
      <w:pPr>
        <w:pStyle w:val="4"/>
        <w:rPr>
          <w:rFonts w:hint="eastAsia" w:ascii="宋体" w:hAnsi="宋体" w:cs="宋体"/>
          <w:sz w:val="30"/>
          <w:szCs w:val="30"/>
        </w:rPr>
      </w:pPr>
      <w:bookmarkStart w:id="23" w:name="_Toc227231029"/>
      <w:r>
        <w:rPr>
          <w:rFonts w:ascii="宋体" w:hAnsi="宋体" w:cs="宋体"/>
          <w:sz w:val="30"/>
          <w:szCs w:val="30"/>
        </w:rPr>
        <w:t>3.4报告验收标准</w:t>
      </w:r>
      <w:bookmarkEnd w:id="23"/>
    </w:p>
    <w:p>
      <w:pPr>
        <w:adjustRightInd w:val="0"/>
        <w:snapToGrid w:val="0"/>
        <w:spacing w:line="360" w:lineRule="auto"/>
        <w:ind w:firstLine="480"/>
        <w:rPr>
          <w:rFonts w:hint="eastAsia" w:cs="宋体" w:asciiTheme="minorEastAsia" w:hAnsiTheme="minorEastAsia"/>
          <w:sz w:val="24"/>
        </w:rPr>
      </w:pPr>
      <w:bookmarkStart w:id="24" w:name="OLE_LINK8"/>
      <w:bookmarkStart w:id="25" w:name="OLE_LINK9"/>
      <w:r>
        <w:rPr>
          <w:rFonts w:asciiTheme="minorEastAsia" w:hAnsiTheme="minorEastAsia"/>
          <w:sz w:val="28"/>
          <w:szCs w:val="28"/>
        </w:rPr>
        <w:t>1</w:t>
      </w:r>
      <w:r>
        <w:rPr>
          <w:rFonts w:hint="eastAsia" w:asciiTheme="minorEastAsia" w:hAnsiTheme="minorEastAsia"/>
          <w:sz w:val="28"/>
          <w:szCs w:val="28"/>
        </w:rPr>
        <w:t>．检测工作、检测结论报告</w:t>
      </w:r>
      <w:bookmarkEnd w:id="24"/>
      <w:bookmarkEnd w:id="25"/>
      <w:r>
        <w:rPr>
          <w:rFonts w:hint="eastAsia" w:asciiTheme="minorEastAsia" w:hAnsiTheme="minorEastAsia"/>
          <w:sz w:val="28"/>
          <w:szCs w:val="28"/>
        </w:rPr>
        <w:t>应在投标方采样结束后的30个工作日内完成协议中规定的工作，向招标方提交定期检测报告。</w:t>
      </w:r>
    </w:p>
    <w:p>
      <w:pPr>
        <w:pStyle w:val="2"/>
        <w:ind w:firstLine="560" w:firstLineChars="200"/>
        <w:jc w:val="left"/>
        <w:rPr>
          <w:rFonts w:hint="eastAsia" w:asciiTheme="minorEastAsia" w:hAnsiTheme="minorEastAsia"/>
          <w:spacing w:val="-10"/>
          <w:sz w:val="28"/>
          <w:szCs w:val="28"/>
        </w:rPr>
      </w:pPr>
      <w:r>
        <w:rPr>
          <w:rFonts w:asciiTheme="minorEastAsia" w:hAnsiTheme="minorEastAsia"/>
          <w:sz w:val="28"/>
          <w:szCs w:val="28"/>
        </w:rPr>
        <w:t>2</w:t>
      </w:r>
      <w:r>
        <w:rPr>
          <w:rFonts w:hint="eastAsia" w:asciiTheme="minorEastAsia" w:hAnsiTheme="minorEastAsia"/>
          <w:sz w:val="28"/>
          <w:szCs w:val="28"/>
        </w:rPr>
        <w:t>．</w:t>
      </w:r>
      <w:r>
        <w:rPr>
          <w:rFonts w:asciiTheme="minorEastAsia" w:hAnsiTheme="minorEastAsia"/>
          <w:sz w:val="28"/>
          <w:szCs w:val="28"/>
        </w:rPr>
        <w:t>投标方需向提供一式两份的盖章</w:t>
      </w:r>
      <w:r>
        <w:rPr>
          <w:rFonts w:hint="eastAsia" w:asciiTheme="minorEastAsia" w:hAnsiTheme="minorEastAsia"/>
          <w:sz w:val="28"/>
          <w:szCs w:val="28"/>
        </w:rPr>
        <w:t>定期检测报告（含电子版）给招标方，报告需盖投标方有效的单位检测专用章</w:t>
      </w:r>
      <w:r>
        <w:rPr>
          <w:rFonts w:asciiTheme="minorEastAsia" w:hAnsiTheme="minorEastAsia"/>
          <w:spacing w:val="-10"/>
          <w:sz w:val="28"/>
          <w:szCs w:val="28"/>
        </w:rPr>
        <w:t>。</w:t>
      </w:r>
    </w:p>
    <w:p>
      <w:pPr>
        <w:pStyle w:val="2"/>
        <w:ind w:firstLine="560" w:firstLineChars="200"/>
        <w:jc w:val="left"/>
        <w:rPr>
          <w:rFonts w:hint="eastAsia" w:asciiTheme="minorEastAsia" w:hAnsiTheme="minorEastAsia"/>
          <w:spacing w:val="-10"/>
          <w:sz w:val="28"/>
          <w:szCs w:val="28"/>
        </w:rPr>
      </w:pPr>
      <w:r>
        <w:rPr>
          <w:rFonts w:asciiTheme="minorEastAsia" w:hAnsiTheme="minorEastAsia"/>
          <w:sz w:val="28"/>
          <w:szCs w:val="28"/>
        </w:rPr>
        <w:t>3</w:t>
      </w:r>
      <w:r>
        <w:rPr>
          <w:rFonts w:hint="eastAsia" w:asciiTheme="minorEastAsia" w:hAnsiTheme="minorEastAsia"/>
          <w:sz w:val="28"/>
          <w:szCs w:val="28"/>
        </w:rPr>
        <w:t>．报告里必须囊括附件里的所有测点的检测结果。</w:t>
      </w:r>
    </w:p>
    <w:p>
      <w:pPr>
        <w:pStyle w:val="3"/>
        <w:snapToGrid w:val="0"/>
        <w:spacing w:before="240" w:after="240" w:line="360" w:lineRule="auto"/>
        <w:rPr>
          <w:rFonts w:eastAsia="宋体"/>
          <w:sz w:val="32"/>
        </w:rPr>
      </w:pPr>
      <w:bookmarkStart w:id="26" w:name="_Toc19695"/>
      <w:bookmarkStart w:id="27" w:name="_Toc227231030"/>
      <w:bookmarkStart w:id="28" w:name="_Toc22699"/>
      <w:bookmarkStart w:id="29" w:name="_Toc2594"/>
      <w:bookmarkStart w:id="30" w:name="_Toc2357"/>
      <w:r>
        <w:rPr>
          <w:rFonts w:eastAsia="宋体"/>
          <w:sz w:val="32"/>
        </w:rPr>
        <w:t>4、</w:t>
      </w:r>
      <w:r>
        <w:rPr>
          <w:rFonts w:hint="eastAsia" w:eastAsia="宋体"/>
          <w:sz w:val="32"/>
        </w:rPr>
        <w:t>安全要求</w:t>
      </w:r>
      <w:bookmarkEnd w:id="26"/>
      <w:bookmarkEnd w:id="27"/>
      <w:bookmarkEnd w:id="28"/>
      <w:bookmarkEnd w:id="29"/>
      <w:bookmarkEnd w:id="30"/>
    </w:p>
    <w:p>
      <w:pPr>
        <w:pStyle w:val="4"/>
        <w:rPr>
          <w:rFonts w:hint="eastAsia" w:ascii="宋体" w:hAnsi="宋体" w:cs="宋体"/>
          <w:sz w:val="30"/>
          <w:szCs w:val="30"/>
        </w:rPr>
      </w:pPr>
      <w:bookmarkStart w:id="31" w:name="_Toc227231031"/>
      <w:r>
        <w:rPr>
          <w:rFonts w:ascii="宋体" w:hAnsi="宋体" w:cs="宋体"/>
          <w:sz w:val="30"/>
          <w:szCs w:val="30"/>
        </w:rPr>
        <w:t>4.1</w:t>
      </w:r>
      <w:r>
        <w:rPr>
          <w:rFonts w:hint="eastAsia" w:ascii="宋体" w:hAnsi="宋体" w:cs="宋体"/>
          <w:sz w:val="30"/>
          <w:szCs w:val="30"/>
        </w:rPr>
        <w:t>人员安全要求</w:t>
      </w:r>
      <w:bookmarkEnd w:id="31"/>
    </w:p>
    <w:p>
      <w:pPr>
        <w:autoSpaceDE w:val="0"/>
        <w:autoSpaceDN w:val="0"/>
        <w:adjustRightInd w:val="0"/>
        <w:snapToGrid w:val="0"/>
        <w:spacing w:line="360" w:lineRule="auto"/>
        <w:ind w:left="567"/>
        <w:rPr>
          <w:rFonts w:hint="eastAsia" w:cs="Arial" w:asciiTheme="minorEastAsia" w:hAnsiTheme="minorEastAsia"/>
          <w:color w:val="000000"/>
          <w:sz w:val="28"/>
          <w:szCs w:val="24"/>
        </w:rPr>
      </w:pPr>
      <w:r>
        <w:rPr>
          <w:rFonts w:hint="eastAsia" w:cs="Arial" w:asciiTheme="minorEastAsia" w:hAnsiTheme="minorEastAsia"/>
          <w:color w:val="000000"/>
          <w:sz w:val="28"/>
          <w:szCs w:val="24"/>
        </w:rPr>
        <w:t>4</w:t>
      </w:r>
      <w:r>
        <w:rPr>
          <w:rFonts w:cs="Arial" w:asciiTheme="minorEastAsia" w:hAnsiTheme="minorEastAsia"/>
          <w:color w:val="000000"/>
          <w:sz w:val="28"/>
          <w:szCs w:val="24"/>
        </w:rPr>
        <w:t>.1.1</w:t>
      </w:r>
      <w:r>
        <w:rPr>
          <w:rFonts w:hint="eastAsia" w:cs="Arial" w:asciiTheme="minorEastAsia" w:hAnsiTheme="minorEastAsia"/>
          <w:color w:val="000000"/>
          <w:sz w:val="28"/>
          <w:szCs w:val="24"/>
        </w:rPr>
        <w:t>测量前必须按照风场要求办理进场许可，测量过程</w:t>
      </w:r>
      <w:r>
        <w:rPr>
          <w:rFonts w:cs="Arial" w:asciiTheme="minorEastAsia" w:hAnsiTheme="minorEastAsia"/>
          <w:color w:val="000000"/>
          <w:sz w:val="28"/>
          <w:szCs w:val="24"/>
        </w:rPr>
        <w:t>遵守</w:t>
      </w:r>
      <w:r>
        <w:rPr>
          <w:rFonts w:hint="eastAsia" w:cs="Arial" w:asciiTheme="minorEastAsia" w:hAnsiTheme="minorEastAsia"/>
          <w:color w:val="000000"/>
          <w:sz w:val="28"/>
          <w:szCs w:val="24"/>
        </w:rPr>
        <w:t>海</w:t>
      </w:r>
    </w:p>
    <w:p>
      <w:pPr>
        <w:autoSpaceDE w:val="0"/>
        <w:autoSpaceDN w:val="0"/>
        <w:adjustRightInd w:val="0"/>
        <w:snapToGrid w:val="0"/>
        <w:spacing w:line="360" w:lineRule="auto"/>
        <w:rPr>
          <w:rFonts w:hint="eastAsia" w:cs="Arial" w:asciiTheme="minorEastAsia" w:hAnsiTheme="minorEastAsia"/>
          <w:color w:val="000000"/>
          <w:sz w:val="28"/>
          <w:szCs w:val="24"/>
        </w:rPr>
      </w:pPr>
      <w:r>
        <w:rPr>
          <w:rFonts w:hint="eastAsia" w:cs="Arial" w:asciiTheme="minorEastAsia" w:hAnsiTheme="minorEastAsia"/>
          <w:color w:val="000000"/>
          <w:sz w:val="28"/>
          <w:szCs w:val="24"/>
        </w:rPr>
        <w:t>上风电场各项安全文明生产规章制度中的有关规定。</w:t>
      </w:r>
    </w:p>
    <w:p>
      <w:pPr>
        <w:pStyle w:val="2"/>
        <w:ind w:firstLine="565" w:firstLineChars="202"/>
        <w:jc w:val="left"/>
        <w:rPr>
          <w:rFonts w:hint="eastAsia" w:ascii="黑体" w:hAnsi="黑体" w:eastAsia="黑体"/>
          <w:b/>
          <w:spacing w:val="-10"/>
          <w:sz w:val="30"/>
          <w:szCs w:val="30"/>
        </w:rPr>
      </w:pPr>
      <w:bookmarkStart w:id="32" w:name="_Toc18379"/>
      <w:bookmarkStart w:id="33" w:name="_Toc1135"/>
      <w:r>
        <w:rPr>
          <w:rFonts w:cs="Arial" w:asciiTheme="minorEastAsia" w:hAnsiTheme="minorEastAsia"/>
          <w:color w:val="000000"/>
          <w:sz w:val="28"/>
          <w:szCs w:val="24"/>
        </w:rPr>
        <w:t>4.1.2</w:t>
      </w:r>
      <w:r>
        <w:rPr>
          <w:rFonts w:hint="eastAsia" w:cs="Arial" w:asciiTheme="minorEastAsia" w:hAnsiTheme="minorEastAsia"/>
          <w:color w:val="000000"/>
          <w:sz w:val="28"/>
          <w:szCs w:val="24"/>
        </w:rPr>
        <w:t>测量过程中，如遇雷雨大风突变恶劣天气，应立即撤离风力发电机组，听从风电场值班人员安排撤离现场。</w:t>
      </w:r>
      <w:bookmarkEnd w:id="32"/>
      <w:bookmarkEnd w:id="33"/>
    </w:p>
    <w:p>
      <w:pPr>
        <w:pStyle w:val="4"/>
        <w:rPr>
          <w:rFonts w:hint="eastAsia" w:ascii="宋体" w:hAnsi="宋体" w:cs="宋体"/>
          <w:sz w:val="30"/>
          <w:szCs w:val="30"/>
        </w:rPr>
      </w:pPr>
      <w:bookmarkStart w:id="34" w:name="_Toc227231032"/>
      <w:r>
        <w:rPr>
          <w:rFonts w:ascii="宋体" w:hAnsi="宋体" w:cs="宋体"/>
          <w:sz w:val="30"/>
          <w:szCs w:val="30"/>
        </w:rPr>
        <w:t>4.2</w:t>
      </w:r>
      <w:r>
        <w:rPr>
          <w:rFonts w:hint="eastAsia" w:ascii="宋体" w:hAnsi="宋体" w:cs="宋体"/>
          <w:sz w:val="30"/>
          <w:szCs w:val="30"/>
        </w:rPr>
        <w:t>劳保要求</w:t>
      </w:r>
      <w:bookmarkEnd w:id="34"/>
    </w:p>
    <w:p>
      <w:pPr>
        <w:pStyle w:val="2"/>
        <w:ind w:firstLine="562" w:firstLineChars="201"/>
        <w:jc w:val="left"/>
        <w:rPr>
          <w:rFonts w:hint="eastAsia" w:cs="Times New Roman" w:asciiTheme="minorEastAsia" w:hAnsiTheme="minorEastAsia"/>
          <w:sz w:val="28"/>
          <w:szCs w:val="24"/>
        </w:rPr>
      </w:pPr>
      <w:bookmarkStart w:id="35" w:name="OLE_LINK23"/>
      <w:bookmarkStart w:id="36" w:name="OLE_LINK22"/>
      <w:r>
        <w:rPr>
          <w:rFonts w:hint="eastAsia" w:cs="Times New Roman" w:asciiTheme="minorEastAsia" w:hAnsiTheme="minorEastAsia"/>
          <w:sz w:val="28"/>
          <w:szCs w:val="24"/>
        </w:rPr>
        <w:t>使用合格的救生衣、安全带和安全帽。在测量现场应穿统一整洁的工作服和工作鞋，佩戴统一安全帽。</w:t>
      </w:r>
    </w:p>
    <w:bookmarkEnd w:id="35"/>
    <w:bookmarkEnd w:id="36"/>
    <w:p>
      <w:pPr>
        <w:pStyle w:val="4"/>
        <w:rPr>
          <w:rFonts w:hint="eastAsia" w:ascii="宋体" w:hAnsi="宋体" w:cs="宋体"/>
          <w:sz w:val="30"/>
          <w:szCs w:val="30"/>
        </w:rPr>
      </w:pPr>
      <w:bookmarkStart w:id="37" w:name="_Toc227231033"/>
      <w:r>
        <w:rPr>
          <w:rFonts w:ascii="宋体" w:hAnsi="宋体" w:cs="宋体"/>
          <w:sz w:val="30"/>
          <w:szCs w:val="30"/>
        </w:rPr>
        <w:t>4.3</w:t>
      </w:r>
      <w:r>
        <w:rPr>
          <w:rFonts w:hint="eastAsia" w:ascii="宋体" w:hAnsi="宋体" w:cs="宋体"/>
          <w:sz w:val="30"/>
          <w:szCs w:val="30"/>
        </w:rPr>
        <w:t>安全作业要求</w:t>
      </w:r>
      <w:bookmarkEnd w:id="37"/>
    </w:p>
    <w:p>
      <w:pPr>
        <w:pStyle w:val="2"/>
        <w:ind w:left="709" w:right="-340" w:rightChars="-162"/>
        <w:jc w:val="left"/>
        <w:rPr>
          <w:rFonts w:hint="eastAsia" w:asciiTheme="minorEastAsia" w:hAnsiTheme="minorEastAsia"/>
          <w:b/>
          <w:spacing w:val="-10"/>
          <w:sz w:val="30"/>
          <w:szCs w:val="30"/>
        </w:rPr>
      </w:pPr>
      <w:r>
        <w:rPr>
          <w:rFonts w:hint="eastAsia" w:cs="Times New Roman" w:asciiTheme="minorEastAsia" w:hAnsiTheme="minorEastAsia"/>
          <w:sz w:val="28"/>
          <w:szCs w:val="24"/>
        </w:rPr>
        <w:t>检测前要提前告知招标方，相关工作人员要进行安全交底工作。</w:t>
      </w:r>
    </w:p>
    <w:p>
      <w:pPr>
        <w:pStyle w:val="4"/>
        <w:rPr>
          <w:rFonts w:hint="eastAsia" w:ascii="宋体" w:hAnsi="宋体" w:cs="宋体"/>
          <w:sz w:val="30"/>
          <w:szCs w:val="30"/>
        </w:rPr>
      </w:pPr>
      <w:bookmarkStart w:id="38" w:name="_Toc227231034"/>
      <w:r>
        <w:rPr>
          <w:rFonts w:ascii="宋体" w:hAnsi="宋体" w:cs="宋体"/>
          <w:sz w:val="30"/>
          <w:szCs w:val="30"/>
        </w:rPr>
        <w:t>4.4</w:t>
      </w:r>
      <w:r>
        <w:rPr>
          <w:rFonts w:hint="eastAsia" w:ascii="宋体" w:hAnsi="宋体" w:cs="宋体"/>
          <w:sz w:val="30"/>
          <w:szCs w:val="30"/>
        </w:rPr>
        <w:t>安全生产管理协议要求</w:t>
      </w:r>
      <w:bookmarkEnd w:id="38"/>
    </w:p>
    <w:p>
      <w:pPr>
        <w:pStyle w:val="2"/>
        <w:ind w:left="709"/>
        <w:jc w:val="left"/>
        <w:rPr>
          <w:rFonts w:hint="eastAsia" w:asciiTheme="minorEastAsia" w:hAnsiTheme="minorEastAsia"/>
          <w:b/>
          <w:spacing w:val="-10"/>
          <w:sz w:val="30"/>
          <w:szCs w:val="30"/>
        </w:rPr>
      </w:pPr>
      <w:r>
        <w:rPr>
          <w:rFonts w:hint="eastAsia" w:cs="Times New Roman" w:asciiTheme="minorEastAsia" w:hAnsiTheme="minorEastAsia"/>
          <w:sz w:val="28"/>
          <w:szCs w:val="24"/>
        </w:rPr>
        <w:t>检测前要签定安全生产管理协议。</w:t>
      </w:r>
    </w:p>
    <w:p>
      <w:pPr>
        <w:pStyle w:val="3"/>
        <w:snapToGrid w:val="0"/>
        <w:spacing w:before="240" w:after="240" w:line="360" w:lineRule="auto"/>
        <w:rPr>
          <w:rFonts w:eastAsia="宋体"/>
          <w:sz w:val="32"/>
        </w:rPr>
      </w:pPr>
      <w:bookmarkStart w:id="39" w:name="_Toc227231035"/>
      <w:r>
        <w:rPr>
          <w:rFonts w:eastAsia="宋体"/>
          <w:sz w:val="32"/>
        </w:rPr>
        <w:t>5、质量要求</w:t>
      </w:r>
      <w:bookmarkEnd w:id="39"/>
    </w:p>
    <w:p>
      <w:pPr>
        <w:pStyle w:val="2"/>
        <w:ind w:left="-142" w:firstLine="560" w:firstLineChars="200"/>
        <w:jc w:val="left"/>
        <w:rPr>
          <w:rFonts w:hint="eastAsia" w:ascii="黑体" w:hAnsi="黑体" w:eastAsia="黑体"/>
          <w:b/>
          <w:spacing w:val="-10"/>
          <w:sz w:val="36"/>
          <w:szCs w:val="36"/>
        </w:rPr>
      </w:pPr>
      <w:r>
        <w:rPr>
          <w:rFonts w:hint="eastAsia" w:cs="Arial" w:asciiTheme="minorEastAsia" w:hAnsiTheme="minorEastAsia"/>
          <w:color w:val="000000"/>
          <w:sz w:val="28"/>
          <w:szCs w:val="24"/>
        </w:rPr>
        <w:t>满足国家</w:t>
      </w:r>
      <w:r>
        <w:rPr>
          <w:rFonts w:cs="Arial" w:asciiTheme="minorEastAsia" w:hAnsiTheme="minorEastAsia"/>
          <w:color w:val="000000"/>
          <w:sz w:val="28"/>
          <w:szCs w:val="24"/>
        </w:rPr>
        <w:t>要求的技术要求，</w:t>
      </w:r>
      <w:r>
        <w:rPr>
          <w:rFonts w:hint="eastAsia" w:cs="Arial" w:asciiTheme="minorEastAsia" w:hAnsiTheme="minorEastAsia"/>
          <w:color w:val="000000"/>
          <w:sz w:val="28"/>
          <w:szCs w:val="24"/>
        </w:rPr>
        <w:t>验收中，如发现存在质量问题，招标方有权责令投标方进行返工处理，由此造成的费用及损失由投标方负责。</w:t>
      </w:r>
    </w:p>
    <w:p>
      <w:pPr>
        <w:pStyle w:val="3"/>
        <w:snapToGrid w:val="0"/>
        <w:spacing w:before="240" w:after="240" w:line="360" w:lineRule="auto"/>
        <w:rPr>
          <w:rFonts w:eastAsia="宋体"/>
          <w:sz w:val="32"/>
        </w:rPr>
      </w:pPr>
      <w:bookmarkStart w:id="40" w:name="_Toc227231036"/>
      <w:r>
        <w:rPr>
          <w:rFonts w:eastAsia="宋体"/>
          <w:sz w:val="32"/>
        </w:rPr>
        <w:t>6、双方职责</w:t>
      </w:r>
      <w:bookmarkEnd w:id="40"/>
    </w:p>
    <w:p>
      <w:pPr>
        <w:pStyle w:val="4"/>
        <w:rPr>
          <w:rFonts w:hint="eastAsia" w:ascii="宋体" w:hAnsi="宋体" w:cs="宋体"/>
          <w:sz w:val="30"/>
          <w:szCs w:val="30"/>
        </w:rPr>
      </w:pPr>
      <w:bookmarkStart w:id="41" w:name="_Toc227231037"/>
      <w:r>
        <w:rPr>
          <w:rFonts w:ascii="宋体" w:hAnsi="宋体" w:cs="宋体"/>
          <w:sz w:val="30"/>
          <w:szCs w:val="30"/>
        </w:rPr>
        <w:t>6.1投标方职责</w:t>
      </w:r>
      <w:bookmarkEnd w:id="41"/>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1.在</w:t>
      </w:r>
      <w:r>
        <w:rPr>
          <w:rFonts w:hint="eastAsia" w:cs="Arial" w:asciiTheme="minorEastAsia" w:hAnsiTheme="minorEastAsia"/>
          <w:color w:val="000000"/>
          <w:sz w:val="28"/>
          <w:szCs w:val="24"/>
        </w:rPr>
        <w:t>测量期间，投标方应承担所有的安全责任以及测量现场及运输通道的海洋环境保护和预防污染。</w:t>
      </w:r>
    </w:p>
    <w:p>
      <w:pPr>
        <w:pStyle w:val="23"/>
        <w:autoSpaceDE w:val="0"/>
        <w:autoSpaceDN w:val="0"/>
        <w:adjustRightInd w:val="0"/>
        <w:snapToGrid w:val="0"/>
        <w:spacing w:line="360" w:lineRule="auto"/>
        <w:ind w:left="420" w:firstLine="0" w:firstLineChars="0"/>
        <w:rPr>
          <w:rFonts w:hint="eastAsia" w:cs="Arial" w:asciiTheme="minorEastAsia" w:hAnsiTheme="minorEastAsia"/>
          <w:color w:val="000000"/>
          <w:sz w:val="28"/>
          <w:szCs w:val="24"/>
        </w:rPr>
      </w:pPr>
      <w:r>
        <w:rPr>
          <w:rFonts w:cs="Arial" w:asciiTheme="minorEastAsia" w:hAnsiTheme="minorEastAsia"/>
          <w:color w:val="000000"/>
          <w:sz w:val="28"/>
          <w:szCs w:val="24"/>
        </w:rPr>
        <w:t>2</w:t>
      </w:r>
      <w:r>
        <w:rPr>
          <w:rFonts w:hint="eastAsia" w:cs="Arial" w:asciiTheme="minorEastAsia" w:hAnsiTheme="minorEastAsia"/>
          <w:color w:val="000000"/>
          <w:sz w:val="28"/>
          <w:szCs w:val="24"/>
        </w:rPr>
        <w:t>．</w:t>
      </w:r>
      <w:r>
        <w:rPr>
          <w:rFonts w:cs="Arial" w:asciiTheme="minorEastAsia" w:hAnsiTheme="minorEastAsia"/>
          <w:color w:val="000000"/>
          <w:sz w:val="28"/>
          <w:szCs w:val="24"/>
        </w:rPr>
        <w:t>向招标方提供项目进度计划及相应进度统计报表</w:t>
      </w:r>
      <w:r>
        <w:rPr>
          <w:rFonts w:hint="eastAsia" w:cs="Arial" w:asciiTheme="minorEastAsia" w:hAnsiTheme="minorEastAsia"/>
          <w:color w:val="000000"/>
          <w:sz w:val="28"/>
          <w:szCs w:val="24"/>
        </w:rPr>
        <w:t>。</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3</w:t>
      </w:r>
      <w:r>
        <w:rPr>
          <w:rFonts w:hint="eastAsia" w:cs="Arial" w:asciiTheme="minorEastAsia" w:hAnsiTheme="minorEastAsia"/>
          <w:color w:val="000000"/>
          <w:sz w:val="28"/>
          <w:szCs w:val="24"/>
        </w:rPr>
        <w:t>．应按照国家有关规范和标准向招标方提交能够反映该项目真实性、准确性的职业病危害因素检测结果，形成检测报告。如果因投标方的原因导致报告失实，投标方应该按照有关法律法规赔偿招标方由此遭受的损失。</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4</w:t>
      </w:r>
      <w:r>
        <w:rPr>
          <w:rFonts w:hint="eastAsia" w:cs="Arial" w:asciiTheme="minorEastAsia" w:hAnsiTheme="minorEastAsia"/>
          <w:color w:val="000000"/>
          <w:sz w:val="28"/>
          <w:szCs w:val="24"/>
        </w:rPr>
        <w:t>．</w:t>
      </w:r>
      <w:r>
        <w:rPr>
          <w:rFonts w:cs="Arial" w:asciiTheme="minorEastAsia" w:hAnsiTheme="minorEastAsia"/>
          <w:color w:val="000000"/>
          <w:sz w:val="28"/>
          <w:szCs w:val="24"/>
        </w:rPr>
        <w:t>做好风场周围地下管线、海底电缆、风机、基础构筑物等的保护工作。</w:t>
      </w:r>
    </w:p>
    <w:p>
      <w:pPr>
        <w:pStyle w:val="23"/>
        <w:autoSpaceDE w:val="0"/>
        <w:autoSpaceDN w:val="0"/>
        <w:adjustRightInd w:val="0"/>
        <w:snapToGrid w:val="0"/>
        <w:spacing w:line="360" w:lineRule="auto"/>
        <w:ind w:left="420" w:firstLine="0" w:firstLineChars="0"/>
        <w:rPr>
          <w:rFonts w:hint="eastAsia" w:cs="Arial" w:asciiTheme="minorEastAsia" w:hAnsiTheme="minorEastAsia"/>
          <w:color w:val="000000"/>
          <w:sz w:val="28"/>
          <w:szCs w:val="24"/>
        </w:rPr>
      </w:pPr>
      <w:r>
        <w:rPr>
          <w:rFonts w:cs="Arial" w:asciiTheme="minorEastAsia" w:hAnsiTheme="minorEastAsia"/>
          <w:color w:val="000000"/>
          <w:sz w:val="28"/>
          <w:szCs w:val="24"/>
        </w:rPr>
        <w:t>5</w:t>
      </w:r>
      <w:r>
        <w:rPr>
          <w:rFonts w:hint="eastAsia" w:cs="Arial" w:asciiTheme="minorEastAsia" w:hAnsiTheme="minorEastAsia"/>
          <w:color w:val="000000"/>
          <w:sz w:val="28"/>
          <w:szCs w:val="24"/>
        </w:rPr>
        <w:t>．</w:t>
      </w:r>
      <w:r>
        <w:rPr>
          <w:rFonts w:cs="Arial" w:asciiTheme="minorEastAsia" w:hAnsiTheme="minorEastAsia"/>
          <w:color w:val="000000"/>
          <w:sz w:val="28"/>
          <w:szCs w:val="24"/>
        </w:rPr>
        <w:t>承担因自身原因违反有关政府部门规定造成的损失和罚款。</w:t>
      </w:r>
    </w:p>
    <w:p>
      <w:pPr>
        <w:pStyle w:val="23"/>
        <w:autoSpaceDE w:val="0"/>
        <w:autoSpaceDN w:val="0"/>
        <w:adjustRightInd w:val="0"/>
        <w:snapToGrid w:val="0"/>
        <w:spacing w:line="360" w:lineRule="auto"/>
        <w:ind w:left="420" w:firstLine="0" w:firstLineChars="0"/>
        <w:rPr>
          <w:rFonts w:hint="eastAsia" w:cs="Arial" w:asciiTheme="minorEastAsia" w:hAnsiTheme="minorEastAsia"/>
          <w:color w:val="000000"/>
          <w:sz w:val="28"/>
          <w:szCs w:val="24"/>
        </w:rPr>
      </w:pPr>
      <w:r>
        <w:rPr>
          <w:rFonts w:cs="Arial" w:asciiTheme="minorEastAsia" w:hAnsiTheme="minorEastAsia"/>
          <w:color w:val="000000"/>
          <w:sz w:val="28"/>
          <w:szCs w:val="24"/>
        </w:rPr>
        <w:t>6</w:t>
      </w:r>
      <w:r>
        <w:rPr>
          <w:rFonts w:hint="eastAsia" w:cs="Arial" w:asciiTheme="minorEastAsia" w:hAnsiTheme="minorEastAsia"/>
          <w:color w:val="000000"/>
          <w:sz w:val="28"/>
          <w:szCs w:val="24"/>
        </w:rPr>
        <w:t>．</w:t>
      </w:r>
      <w:r>
        <w:rPr>
          <w:rFonts w:cs="Arial" w:asciiTheme="minorEastAsia" w:hAnsiTheme="minorEastAsia"/>
          <w:color w:val="000000"/>
          <w:sz w:val="28"/>
          <w:szCs w:val="24"/>
        </w:rPr>
        <w:t>投标方应加强对</w:t>
      </w:r>
      <w:r>
        <w:rPr>
          <w:rFonts w:hint="eastAsia" w:cs="Arial" w:asciiTheme="minorEastAsia" w:hAnsiTheme="minorEastAsia"/>
          <w:color w:val="000000"/>
          <w:sz w:val="28"/>
          <w:szCs w:val="24"/>
        </w:rPr>
        <w:t>测量人员的管理，遵守招标方的工程管理制度。</w:t>
      </w:r>
    </w:p>
    <w:p>
      <w:pPr>
        <w:pStyle w:val="23"/>
        <w:autoSpaceDE w:val="0"/>
        <w:autoSpaceDN w:val="0"/>
        <w:adjustRightInd w:val="0"/>
        <w:snapToGrid w:val="0"/>
        <w:spacing w:line="360" w:lineRule="auto"/>
        <w:ind w:left="420" w:firstLine="0" w:firstLineChars="0"/>
        <w:rPr>
          <w:rFonts w:hint="eastAsia" w:cs="Arial" w:asciiTheme="minorEastAsia" w:hAnsiTheme="minorEastAsia"/>
          <w:color w:val="000000"/>
          <w:sz w:val="28"/>
          <w:szCs w:val="24"/>
        </w:rPr>
      </w:pPr>
      <w:r>
        <w:rPr>
          <w:rFonts w:cs="Arial" w:asciiTheme="minorEastAsia" w:hAnsiTheme="minorEastAsia"/>
          <w:color w:val="000000"/>
          <w:sz w:val="28"/>
          <w:szCs w:val="24"/>
        </w:rPr>
        <w:t>7</w:t>
      </w:r>
      <w:r>
        <w:rPr>
          <w:rFonts w:hint="eastAsia" w:cs="Arial" w:asciiTheme="minorEastAsia" w:hAnsiTheme="minorEastAsia"/>
          <w:color w:val="000000"/>
          <w:sz w:val="28"/>
          <w:szCs w:val="24"/>
        </w:rPr>
        <w:t>．</w:t>
      </w:r>
      <w:r>
        <w:rPr>
          <w:rFonts w:cs="Arial" w:asciiTheme="minorEastAsia" w:hAnsiTheme="minorEastAsia"/>
          <w:color w:val="000000"/>
          <w:sz w:val="28"/>
          <w:szCs w:val="24"/>
        </w:rPr>
        <w:t>在维护期间，海上交通由投标方自行解决。</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hint="eastAsia" w:cs="Arial" w:asciiTheme="minorEastAsia" w:hAnsiTheme="minorEastAsia"/>
          <w:color w:val="000000"/>
          <w:sz w:val="28"/>
          <w:szCs w:val="24"/>
        </w:rPr>
        <w:t>8．投标方对招标方所提供的相关信息，技术资料有保密的责任和义务。</w:t>
      </w:r>
    </w:p>
    <w:p>
      <w:pPr>
        <w:pStyle w:val="23"/>
        <w:autoSpaceDE w:val="0"/>
        <w:autoSpaceDN w:val="0"/>
        <w:adjustRightInd w:val="0"/>
        <w:snapToGrid w:val="0"/>
        <w:spacing w:line="360" w:lineRule="auto"/>
        <w:ind w:firstLine="560"/>
        <w:rPr>
          <w:rFonts w:hint="eastAsia" w:cs="Arial" w:asciiTheme="minorEastAsia" w:hAnsiTheme="minorEastAsia"/>
          <w:color w:val="000000"/>
          <w:sz w:val="28"/>
          <w:szCs w:val="24"/>
        </w:rPr>
      </w:pPr>
      <w:r>
        <w:rPr>
          <w:rFonts w:hint="eastAsia" w:cs="Arial" w:asciiTheme="minorEastAsia" w:hAnsiTheme="minorEastAsia"/>
          <w:color w:val="000000"/>
          <w:sz w:val="28"/>
          <w:szCs w:val="24"/>
        </w:rPr>
        <w:t>9．在本合同的签订和履行过程中，严禁投标方及其相关工作人员在谈判过程中为促成合同、或在合同履行过程中为谋取利益，向招标方的相关工作人员提供利益（包括但不限于提供金钱、物品、期权等有价物，且无论主动或被动提供）。投标方承诺恪守本条款，如有违反，一经发现，招标方有权立即终止合同，退回合同标的物并追究投标方的违约责任，投标方除无条件接受全额退货立即返还货款外，还须向招标方支付合同总金额百分之三十的违约金。终止合同后，招标方实际损失大于该金额的，有权向投标方进一步索赔。在此种情况下，招标方有权留置投标方的待付款，并可直接从中扣除违约金、赔偿金等费用。在本合同签订和履行中，招标方工作人员如有主动向投标方索取财物等不诚信行为，投标方可向招标方有关部门举报。</w:t>
      </w:r>
    </w:p>
    <w:p>
      <w:pPr>
        <w:pStyle w:val="4"/>
        <w:rPr>
          <w:rFonts w:hint="eastAsia" w:ascii="宋体" w:hAnsi="宋体" w:cs="宋体"/>
          <w:sz w:val="30"/>
          <w:szCs w:val="30"/>
        </w:rPr>
      </w:pPr>
      <w:bookmarkStart w:id="42" w:name="_Toc227231038"/>
      <w:r>
        <w:rPr>
          <w:rFonts w:ascii="宋体" w:hAnsi="宋体" w:cs="宋体"/>
          <w:sz w:val="30"/>
          <w:szCs w:val="30"/>
        </w:rPr>
        <w:t>6.2</w:t>
      </w:r>
      <w:r>
        <w:rPr>
          <w:rFonts w:hint="eastAsia" w:ascii="宋体" w:hAnsi="宋体" w:cs="宋体"/>
          <w:sz w:val="30"/>
          <w:szCs w:val="30"/>
        </w:rPr>
        <w:t>招标方职责</w:t>
      </w:r>
      <w:bookmarkEnd w:id="42"/>
    </w:p>
    <w:p>
      <w:pPr>
        <w:pStyle w:val="23"/>
        <w:autoSpaceDE w:val="0"/>
        <w:autoSpaceDN w:val="0"/>
        <w:adjustRightInd w:val="0"/>
        <w:snapToGrid w:val="0"/>
        <w:spacing w:line="360" w:lineRule="auto"/>
        <w:ind w:firstLine="560"/>
        <w:rPr>
          <w:rFonts w:hint="eastAsia" w:cs="Arial" w:asciiTheme="minorEastAsia" w:hAnsiTheme="minorEastAsia"/>
          <w:color w:val="000000"/>
          <w:sz w:val="28"/>
          <w:szCs w:val="24"/>
        </w:rPr>
      </w:pPr>
      <w:r>
        <w:rPr>
          <w:rFonts w:cs="Arial" w:asciiTheme="minorEastAsia" w:hAnsiTheme="minorEastAsia"/>
          <w:color w:val="000000"/>
          <w:sz w:val="28"/>
          <w:szCs w:val="24"/>
        </w:rPr>
        <w:t>1</w:t>
      </w:r>
      <w:r>
        <w:rPr>
          <w:rFonts w:hint="eastAsia" w:cs="Arial" w:asciiTheme="minorEastAsia" w:hAnsiTheme="minorEastAsia"/>
          <w:color w:val="000000"/>
          <w:sz w:val="28"/>
          <w:szCs w:val="24"/>
        </w:rPr>
        <w:t>．招标方提出的技术服务内容要符合国家有关法律、法规和标准规范规定要求，投标方协定检测相关事宜，检测报告书的收发，向投标方提供检测所需资料等。</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2.</w:t>
      </w:r>
      <w:r>
        <w:rPr>
          <w:rFonts w:hint="eastAsia" w:cs="Arial" w:asciiTheme="minorEastAsia" w:hAnsiTheme="minorEastAsia"/>
          <w:color w:val="000000"/>
          <w:sz w:val="28"/>
          <w:szCs w:val="24"/>
        </w:rPr>
        <w:t>招标方向投标方提供检测需要的相关资料，如企业基本情况及生产所用的原辅料、生产车间设备、工艺流程等。招标方应对所提供资料的真实性、完整性负责。如因招标方所提供的资料不真实或不完整，造成检测结果偏移等引发的问题及后果由招标方负全责。</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3</w:t>
      </w:r>
      <w:r>
        <w:rPr>
          <w:rFonts w:hint="eastAsia" w:cs="Arial" w:asciiTheme="minorEastAsia" w:hAnsiTheme="minorEastAsia"/>
          <w:color w:val="000000"/>
          <w:sz w:val="28"/>
          <w:szCs w:val="24"/>
        </w:rPr>
        <w:t>．</w:t>
      </w:r>
      <w:r>
        <w:rPr>
          <w:rFonts w:cs="Arial" w:asciiTheme="minorEastAsia" w:hAnsiTheme="minorEastAsia"/>
          <w:color w:val="000000"/>
          <w:sz w:val="28"/>
          <w:szCs w:val="24"/>
        </w:rPr>
        <w:t>提供工作条件：</w:t>
      </w:r>
      <w:r>
        <w:rPr>
          <w:rFonts w:hint="eastAsia" w:cs="Arial" w:asciiTheme="minorEastAsia" w:hAnsiTheme="minorEastAsia"/>
          <w:color w:val="000000"/>
          <w:sz w:val="28"/>
          <w:szCs w:val="24"/>
        </w:rPr>
        <w:t>招标方有义务为投标方在现场调研和资料收集过程中</w:t>
      </w:r>
      <w:r>
        <w:rPr>
          <w:rFonts w:cs="Arial" w:asciiTheme="minorEastAsia" w:hAnsiTheme="minorEastAsia"/>
          <w:color w:val="000000"/>
          <w:sz w:val="28"/>
          <w:szCs w:val="24"/>
        </w:rPr>
        <w:t>,提供必要方便和协助。</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4</w:t>
      </w:r>
      <w:r>
        <w:rPr>
          <w:rFonts w:hint="eastAsia" w:cs="Arial" w:asciiTheme="minorEastAsia" w:hAnsiTheme="minorEastAsia"/>
          <w:color w:val="000000"/>
          <w:sz w:val="28"/>
          <w:szCs w:val="24"/>
        </w:rPr>
        <w:t>．保证投标方在现场采样和分析时的人身和财产安全，同时招标方应告知现场员工不能损坏投标方采样仪器，如有损坏招标方实价赔偿。</w:t>
      </w:r>
    </w:p>
    <w:p>
      <w:pPr>
        <w:pStyle w:val="23"/>
        <w:autoSpaceDE w:val="0"/>
        <w:autoSpaceDN w:val="0"/>
        <w:adjustRightInd w:val="0"/>
        <w:snapToGrid w:val="0"/>
        <w:spacing w:line="360" w:lineRule="auto"/>
        <w:ind w:left="142" w:firstLine="560"/>
        <w:rPr>
          <w:rFonts w:hint="eastAsia" w:cs="Arial" w:asciiTheme="minorEastAsia" w:hAnsiTheme="minorEastAsia"/>
          <w:color w:val="000000"/>
          <w:sz w:val="28"/>
          <w:szCs w:val="24"/>
        </w:rPr>
      </w:pPr>
      <w:r>
        <w:rPr>
          <w:rFonts w:cs="Arial" w:asciiTheme="minorEastAsia" w:hAnsiTheme="minorEastAsia"/>
          <w:color w:val="000000"/>
          <w:sz w:val="28"/>
          <w:szCs w:val="24"/>
        </w:rPr>
        <w:t>5</w:t>
      </w:r>
      <w:r>
        <w:rPr>
          <w:rFonts w:hint="eastAsia" w:cs="Arial" w:asciiTheme="minorEastAsia" w:hAnsiTheme="minorEastAsia"/>
          <w:color w:val="000000"/>
          <w:sz w:val="28"/>
          <w:szCs w:val="24"/>
        </w:rPr>
        <w:t>．根据《用人单位职业病危害因素定期检测管理规范》第十条</w:t>
      </w:r>
      <w:r>
        <w:rPr>
          <w:rFonts w:cs="Arial" w:asciiTheme="minorEastAsia" w:hAnsiTheme="minorEastAsia"/>
          <w:color w:val="000000"/>
          <w:sz w:val="28"/>
          <w:szCs w:val="24"/>
        </w:rPr>
        <w:t xml:space="preserve"> </w:t>
      </w:r>
      <w:r>
        <w:rPr>
          <w:rFonts w:hint="eastAsia" w:cs="Arial" w:asciiTheme="minorEastAsia" w:hAnsiTheme="minorEastAsia"/>
          <w:color w:val="000000"/>
          <w:sz w:val="28"/>
          <w:szCs w:val="24"/>
        </w:rPr>
        <w:t>：职业卫生技术服务机构在进行现场采样检测时，招标方应当保证生产过程处于正常状态，不得故意减少生产负荷或停产、停机。招标方因故需要停产、停机或减负运行的，应当及时通知投标方变更现场采样和检测计划。</w:t>
      </w:r>
    </w:p>
    <w:p>
      <w:pPr>
        <w:pStyle w:val="23"/>
        <w:autoSpaceDE w:val="0"/>
        <w:autoSpaceDN w:val="0"/>
        <w:adjustRightInd w:val="0"/>
        <w:snapToGrid w:val="0"/>
        <w:spacing w:line="360" w:lineRule="auto"/>
        <w:ind w:left="420" w:firstLine="560"/>
        <w:rPr>
          <w:rFonts w:hint="eastAsia" w:cs="Arial" w:asciiTheme="minorEastAsia" w:hAnsiTheme="minorEastAsia"/>
          <w:color w:val="000000"/>
          <w:sz w:val="28"/>
          <w:szCs w:val="24"/>
        </w:rPr>
      </w:pPr>
      <w:r>
        <w:rPr>
          <w:rFonts w:cs="Arial" w:asciiTheme="minorEastAsia" w:hAnsiTheme="minorEastAsia"/>
          <w:color w:val="000000"/>
          <w:sz w:val="28"/>
          <w:szCs w:val="24"/>
        </w:rPr>
        <w:t>6</w:t>
      </w:r>
      <w:r>
        <w:rPr>
          <w:rFonts w:hint="eastAsia" w:cs="Arial" w:asciiTheme="minorEastAsia" w:hAnsiTheme="minorEastAsia"/>
          <w:color w:val="000000"/>
          <w:sz w:val="28"/>
          <w:szCs w:val="24"/>
        </w:rPr>
        <w:t>．通知以纸质文字加盖单位公章，投标方收到后变更采样计划交招标方确认。</w:t>
      </w:r>
    </w:p>
    <w:p>
      <w:pPr>
        <w:pStyle w:val="23"/>
        <w:autoSpaceDE w:val="0"/>
        <w:autoSpaceDN w:val="0"/>
        <w:adjustRightInd w:val="0"/>
        <w:snapToGrid w:val="0"/>
        <w:spacing w:line="360" w:lineRule="auto"/>
        <w:ind w:left="420" w:firstLine="560"/>
        <w:rPr>
          <w:rFonts w:hint="eastAsia" w:cs="Arial" w:asciiTheme="minorEastAsia" w:hAnsiTheme="minorEastAsia"/>
          <w:color w:val="000000"/>
          <w:sz w:val="28"/>
          <w:szCs w:val="24"/>
        </w:rPr>
      </w:pPr>
      <w:r>
        <w:rPr>
          <w:rFonts w:cs="Arial" w:asciiTheme="minorEastAsia" w:hAnsiTheme="minorEastAsia"/>
          <w:color w:val="000000"/>
          <w:sz w:val="28"/>
          <w:szCs w:val="24"/>
        </w:rPr>
        <w:t>7</w:t>
      </w:r>
      <w:r>
        <w:rPr>
          <w:rFonts w:hint="eastAsia" w:cs="Arial" w:asciiTheme="minorEastAsia" w:hAnsiTheme="minorEastAsia"/>
          <w:color w:val="000000"/>
          <w:sz w:val="28"/>
          <w:szCs w:val="24"/>
        </w:rPr>
        <w:t>．如遇短时间停产、停机，则注明开机时间，采样时开机时间不得少于20分钟（短时间采样15分钟）。</w:t>
      </w:r>
    </w:p>
    <w:p>
      <w:pPr>
        <w:pStyle w:val="23"/>
        <w:autoSpaceDE w:val="0"/>
        <w:autoSpaceDN w:val="0"/>
        <w:adjustRightInd w:val="0"/>
        <w:snapToGrid w:val="0"/>
        <w:spacing w:line="360" w:lineRule="auto"/>
        <w:ind w:left="420" w:firstLine="560"/>
        <w:rPr>
          <w:rFonts w:hint="eastAsia" w:cs="Arial" w:asciiTheme="minorEastAsia" w:hAnsiTheme="minorEastAsia"/>
          <w:color w:val="000000"/>
          <w:sz w:val="28"/>
          <w:szCs w:val="24"/>
        </w:rPr>
      </w:pPr>
      <w:r>
        <w:rPr>
          <w:rFonts w:cs="Arial" w:asciiTheme="minorEastAsia" w:hAnsiTheme="minorEastAsia"/>
          <w:color w:val="000000"/>
          <w:sz w:val="28"/>
          <w:szCs w:val="24"/>
        </w:rPr>
        <w:t>8</w:t>
      </w:r>
      <w:r>
        <w:rPr>
          <w:rFonts w:hint="eastAsia" w:cs="Arial" w:asciiTheme="minorEastAsia" w:hAnsiTheme="minorEastAsia"/>
          <w:color w:val="000000"/>
          <w:sz w:val="28"/>
          <w:szCs w:val="24"/>
        </w:rPr>
        <w:t>．如违反《用人单位职业病危害因素定期检测管理规范》第十条，导致投标方不能按要求采样和检测，投标方只按实际采样情况出具检测报告，招标方不得要求出具定期检测报告。</w:t>
      </w:r>
    </w:p>
    <w:p>
      <w:pPr>
        <w:pStyle w:val="3"/>
        <w:snapToGrid w:val="0"/>
        <w:spacing w:before="240" w:after="240" w:line="360" w:lineRule="auto"/>
        <w:rPr>
          <w:rFonts w:eastAsia="宋体"/>
          <w:sz w:val="32"/>
        </w:rPr>
      </w:pPr>
      <w:bookmarkStart w:id="43" w:name="_Toc227231039"/>
      <w:r>
        <w:rPr>
          <w:rFonts w:eastAsia="宋体"/>
          <w:sz w:val="32"/>
        </w:rPr>
        <w:t>7、验收</w:t>
      </w:r>
      <w:bookmarkEnd w:id="43"/>
    </w:p>
    <w:p>
      <w:pPr>
        <w:widowControl/>
        <w:spacing w:line="360" w:lineRule="auto"/>
        <w:ind w:firstLine="560" w:firstLineChars="200"/>
        <w:rPr>
          <w:rFonts w:ascii="Times New Roman" w:hAnsi="Times New Roman" w:eastAsia="宋体" w:cs="Times New Roman"/>
          <w:sz w:val="28"/>
          <w:szCs w:val="24"/>
        </w:rPr>
      </w:pPr>
      <w:bookmarkStart w:id="44" w:name="_Toc2426"/>
      <w:bookmarkStart w:id="45" w:name="_Toc28309"/>
      <w:r>
        <w:rPr>
          <w:rFonts w:hint="eastAsia" w:ascii="宋体" w:hAnsi="宋体"/>
          <w:color w:val="000000"/>
          <w:sz w:val="28"/>
        </w:rPr>
        <w:t>投标方</w:t>
      </w:r>
      <w:bookmarkEnd w:id="44"/>
      <w:bookmarkEnd w:id="45"/>
      <w:r>
        <w:rPr>
          <w:rFonts w:hint="eastAsia" w:ascii="宋体" w:hAnsi="宋体"/>
          <w:color w:val="000000"/>
          <w:sz w:val="28"/>
        </w:rPr>
        <w:t>完成职业卫生定期检测报告，</w:t>
      </w:r>
      <w:r>
        <w:rPr>
          <w:rFonts w:hint="eastAsia" w:ascii="Times New Roman" w:hAnsi="Times New Roman" w:eastAsia="宋体" w:cs="Times New Roman"/>
          <w:sz w:val="28"/>
          <w:szCs w:val="24"/>
        </w:rPr>
        <w:t>经招标方确认后才允许申请项目竣工验收，根据项目合同总额和项目性质由对口部门人员组织验收，验收文件为技术服务成果（技术报告）。</w:t>
      </w:r>
    </w:p>
    <w:p>
      <w:pPr>
        <w:widowControl/>
        <w:spacing w:line="360" w:lineRule="auto"/>
        <w:rPr>
          <w:rFonts w:ascii="Times New Roman" w:hAnsi="Times New Roman" w:eastAsia="宋体" w:cs="Times New Roman"/>
          <w:sz w:val="28"/>
          <w:szCs w:val="24"/>
        </w:rPr>
      </w:pPr>
      <w:r>
        <w:rPr>
          <w:rFonts w:hint="eastAsia" w:ascii="Times New Roman" w:hAnsi="Times New Roman" w:eastAsia="宋体" w:cs="Times New Roman"/>
          <w:sz w:val="28"/>
          <w:szCs w:val="24"/>
        </w:rPr>
        <w:t>项目工作成果的验收方法：</w:t>
      </w:r>
      <w:r>
        <w:rPr>
          <w:rFonts w:ascii="Times New Roman" w:hAnsi="Times New Roman" w:eastAsia="宋体" w:cs="Times New Roman"/>
          <w:sz w:val="28"/>
          <w:szCs w:val="24"/>
          <w:u w:val="single"/>
        </w:rPr>
        <w:t xml:space="preserve">   </w:t>
      </w:r>
      <w:r>
        <w:rPr>
          <w:rFonts w:hint="eastAsia" w:ascii="Times New Roman" w:hAnsi="Times New Roman" w:eastAsia="宋体" w:cs="Times New Roman"/>
          <w:sz w:val="28"/>
          <w:szCs w:val="24"/>
          <w:u w:val="single"/>
        </w:rPr>
        <w:t>自行组织验收</w:t>
      </w:r>
      <w:r>
        <w:rPr>
          <w:rFonts w:ascii="Times New Roman" w:hAnsi="Times New Roman" w:eastAsia="宋体" w:cs="Times New Roman"/>
          <w:sz w:val="28"/>
          <w:szCs w:val="24"/>
          <w:u w:val="single"/>
        </w:rPr>
        <w:t xml:space="preserve">  </w:t>
      </w:r>
      <w:r>
        <w:rPr>
          <w:rFonts w:hint="eastAsia" w:ascii="Times New Roman" w:hAnsi="Times New Roman" w:eastAsia="宋体" w:cs="Times New Roman"/>
          <w:sz w:val="28"/>
          <w:szCs w:val="24"/>
        </w:rPr>
        <w:t>。</w:t>
      </w:r>
    </w:p>
    <w:p>
      <w:pPr>
        <w:rPr>
          <w:rFonts w:ascii="Times New Roman" w:hAnsi="Times New Roman" w:eastAsia="宋体" w:cs="Times New Roman"/>
          <w:sz w:val="28"/>
          <w:szCs w:val="24"/>
        </w:rPr>
      </w:pPr>
      <w:r>
        <w:rPr>
          <w:rFonts w:hint="eastAsia" w:ascii="Times New Roman" w:hAnsi="Times New Roman" w:eastAsia="宋体" w:cs="Times New Roman"/>
          <w:sz w:val="28"/>
          <w:szCs w:val="24"/>
        </w:rPr>
        <w:t>验收地点：</w:t>
      </w:r>
      <w:r>
        <w:rPr>
          <w:rFonts w:ascii="Times New Roman" w:hAnsi="Times New Roman" w:eastAsia="宋体" w:cs="Times New Roman"/>
          <w:sz w:val="28"/>
          <w:szCs w:val="24"/>
          <w:u w:val="single"/>
        </w:rPr>
        <w:t xml:space="preserve">    </w:t>
      </w:r>
      <w:r>
        <w:rPr>
          <w:rFonts w:hint="eastAsia" w:ascii="Times New Roman" w:hAnsi="Times New Roman" w:eastAsia="宋体" w:cs="Times New Roman"/>
          <w:sz w:val="28"/>
          <w:szCs w:val="24"/>
          <w:u w:val="single"/>
        </w:rPr>
        <w:t>项目现场验收</w:t>
      </w:r>
      <w:r>
        <w:rPr>
          <w:rFonts w:ascii="Times New Roman" w:hAnsi="Times New Roman" w:eastAsia="宋体" w:cs="Times New Roman"/>
          <w:sz w:val="28"/>
          <w:szCs w:val="24"/>
          <w:u w:val="single"/>
        </w:rPr>
        <w:t xml:space="preserve">   </w:t>
      </w:r>
      <w:r>
        <w:rPr>
          <w:rFonts w:ascii="Times New Roman" w:hAnsi="Times New Roman" w:eastAsia="宋体" w:cs="Times New Roman"/>
          <w:sz w:val="28"/>
          <w:szCs w:val="24"/>
        </w:rPr>
        <w:t>。</w:t>
      </w:r>
    </w:p>
    <w:p>
      <w:pPr>
        <w:pStyle w:val="2"/>
      </w:pPr>
    </w:p>
    <w:p>
      <w:pPr>
        <w:pStyle w:val="27"/>
        <w:topLinePunct/>
        <w:autoSpaceDE w:val="0"/>
        <w:autoSpaceDN w:val="0"/>
        <w:adjustRightInd w:val="0"/>
        <w:snapToGrid w:val="0"/>
        <w:spacing w:line="560" w:lineRule="exact"/>
        <w:textAlignment w:val="baseline"/>
        <w:outlineLvl w:val="0"/>
        <w:rPr>
          <w:rFonts w:hint="eastAsia" w:ascii="仿宋_GB2312" w:hAnsi="仿宋_GB2312" w:eastAsia="仿宋_GB2312" w:cs="仿宋_GB2312"/>
          <w:sz w:val="32"/>
          <w:szCs w:val="32"/>
        </w:rPr>
      </w:pPr>
      <w:bookmarkStart w:id="46" w:name="_Toc6857"/>
      <w:bookmarkStart w:id="47" w:name="_Toc227231040"/>
      <w:r>
        <w:rPr>
          <w:rFonts w:hint="eastAsia" w:ascii="仿宋_GB2312" w:hAnsi="仿宋_GB2312" w:eastAsia="仿宋_GB2312" w:cs="仿宋_GB2312"/>
          <w:sz w:val="32"/>
          <w:szCs w:val="32"/>
        </w:rPr>
        <w:t>附件：技术服务验收单</w:t>
      </w:r>
      <w:bookmarkEnd w:id="46"/>
      <w:bookmarkEnd w:id="47"/>
    </w:p>
    <w:p>
      <w:pPr>
        <w:tabs>
          <w:tab w:val="left" w:pos="0"/>
          <w:tab w:val="left" w:pos="60"/>
        </w:tabs>
        <w:spacing w:before="156" w:beforeLines="50" w:after="156" w:afterLines="50" w:line="560" w:lineRule="exact"/>
        <w:jc w:val="center"/>
        <w:rPr>
          <w:rFonts w:hint="eastAsia" w:ascii="黑体" w:hAnsi="黑体" w:eastAsia="黑体" w:cs="Times New Roman"/>
          <w:bCs/>
          <w:sz w:val="36"/>
          <w:szCs w:val="36"/>
        </w:rPr>
      </w:pPr>
      <w:r>
        <w:rPr>
          <w:rFonts w:hint="eastAsia" w:ascii="黑体" w:hAnsi="黑体" w:eastAsia="黑体" w:cs="Times New Roman"/>
          <w:bCs/>
          <w:sz w:val="36"/>
          <w:szCs w:val="36"/>
        </w:rPr>
        <w:t>技术/咨询/服务/项目验收报告</w:t>
      </w:r>
    </w:p>
    <w:tbl>
      <w:tblPr>
        <w:tblStyle w:val="14"/>
        <w:tblW w:w="1000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729"/>
        <w:gridCol w:w="3277"/>
        <w:gridCol w:w="1727"/>
        <w:gridCol w:w="327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59" w:hRule="atLeast"/>
          <w:jc w:val="center"/>
        </w:trPr>
        <w:tc>
          <w:tcPr>
            <w:tcW w:w="1729" w:type="dxa"/>
            <w:tcBorders>
              <w:tl2br w:val="nil"/>
              <w:tr2bl w:val="nil"/>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项目名称</w:t>
            </w:r>
          </w:p>
        </w:tc>
        <w:tc>
          <w:tcPr>
            <w:tcW w:w="3277" w:type="dxa"/>
            <w:tcBorders>
              <w:tl2br w:val="nil"/>
              <w:tr2bl w:val="nil"/>
            </w:tcBorders>
            <w:vAlign w:val="center"/>
          </w:tcPr>
          <w:p>
            <w:pPr>
              <w:rPr>
                <w:color w:val="000000" w:themeColor="text1"/>
                <w14:textFill>
                  <w14:solidFill>
                    <w14:schemeClr w14:val="tx1"/>
                  </w14:solidFill>
                </w14:textFill>
              </w:rPr>
            </w:pPr>
          </w:p>
        </w:tc>
        <w:tc>
          <w:tcPr>
            <w:tcW w:w="1727" w:type="dxa"/>
            <w:tcBorders>
              <w:tl2br w:val="nil"/>
              <w:tr2bl w:val="nil"/>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合同编号</w:t>
            </w:r>
          </w:p>
        </w:tc>
        <w:tc>
          <w:tcPr>
            <w:tcW w:w="3273" w:type="dxa"/>
            <w:tcBorders>
              <w:tl2br w:val="nil"/>
              <w:tr2bl w:val="nil"/>
            </w:tcBorders>
            <w:vAlign w:val="center"/>
          </w:tcPr>
          <w:p>
            <w:pPr>
              <w:rPr>
                <w:color w:val="000000" w:themeColor="text1"/>
                <w14:textFill>
                  <w14:solidFill>
                    <w14:schemeClr w14:val="tx1"/>
                  </w14:solidFill>
                </w14:textFill>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0" w:hRule="atLeast"/>
          <w:jc w:val="center"/>
        </w:trPr>
        <w:tc>
          <w:tcPr>
            <w:tcW w:w="1729" w:type="dxa"/>
            <w:tcBorders>
              <w:tl2br w:val="nil"/>
              <w:tr2bl w:val="nil"/>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实际开工日期</w:t>
            </w:r>
          </w:p>
        </w:tc>
        <w:tc>
          <w:tcPr>
            <w:tcW w:w="3277" w:type="dxa"/>
            <w:tcBorders>
              <w:tl2br w:val="nil"/>
              <w:tr2bl w:val="nil"/>
            </w:tcBorders>
            <w:vAlign w:val="center"/>
          </w:tcPr>
          <w:p>
            <w:pPr>
              <w:rPr>
                <w:color w:val="000000" w:themeColor="text1"/>
                <w14:textFill>
                  <w14:solidFill>
                    <w14:schemeClr w14:val="tx1"/>
                  </w14:solidFill>
                </w14:textFill>
              </w:rPr>
            </w:pPr>
          </w:p>
        </w:tc>
        <w:tc>
          <w:tcPr>
            <w:tcW w:w="1727" w:type="dxa"/>
            <w:tcBorders>
              <w:tl2br w:val="nil"/>
              <w:tr2bl w:val="nil"/>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实际竣工日期</w:t>
            </w:r>
          </w:p>
        </w:tc>
        <w:tc>
          <w:tcPr>
            <w:tcW w:w="3273" w:type="dxa"/>
            <w:tcBorders>
              <w:tl2br w:val="nil"/>
              <w:tr2bl w:val="nil"/>
            </w:tcBorders>
            <w:vAlign w:val="center"/>
          </w:tcPr>
          <w:p>
            <w:pPr>
              <w:rPr>
                <w:color w:val="000000" w:themeColor="text1"/>
                <w14:textFill>
                  <w14:solidFill>
                    <w14:schemeClr w14:val="tx1"/>
                  </w14:solidFill>
                </w14:textFill>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1" w:hRule="atLeast"/>
          <w:jc w:val="center"/>
        </w:trPr>
        <w:tc>
          <w:tcPr>
            <w:tcW w:w="1729" w:type="dxa"/>
            <w:tcBorders>
              <w:tl2br w:val="nil"/>
              <w:tr2bl w:val="nil"/>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合同单位名称</w:t>
            </w:r>
          </w:p>
        </w:tc>
        <w:tc>
          <w:tcPr>
            <w:tcW w:w="8277" w:type="dxa"/>
            <w:gridSpan w:val="3"/>
            <w:tcBorders>
              <w:tl2br w:val="nil"/>
              <w:tr2bl w:val="nil"/>
            </w:tcBorders>
            <w:vAlign w:val="center"/>
          </w:tcPr>
          <w:p>
            <w:pPr>
              <w:rPr>
                <w:color w:val="000000" w:themeColor="text1"/>
                <w14:textFill>
                  <w14:solidFill>
                    <w14:schemeClr w14:val="tx1"/>
                  </w14:solidFill>
                </w14:textFill>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866" w:hRule="atLeast"/>
          <w:jc w:val="center"/>
        </w:trPr>
        <w:tc>
          <w:tcPr>
            <w:tcW w:w="1729" w:type="dxa"/>
            <w:tcBorders>
              <w:tl2br w:val="nil"/>
              <w:tr2bl w:val="nil"/>
            </w:tcBorders>
            <w:vAlign w:val="center"/>
          </w:tcPr>
          <w:p>
            <w:pPr>
              <w:ind w:firstLine="210" w:firstLineChars="10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项目内容概况</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(服务单位)</w:t>
            </w:r>
          </w:p>
        </w:tc>
        <w:tc>
          <w:tcPr>
            <w:tcW w:w="8277" w:type="dxa"/>
            <w:gridSpan w:val="3"/>
            <w:tcBorders>
              <w:tl2br w:val="nil"/>
              <w:tr2bl w:val="nil"/>
            </w:tcBorders>
          </w:tcPr>
          <w:p>
            <w:pPr>
              <w:jc w:val="left"/>
              <w:rPr>
                <w:b/>
                <w:color w:val="000000" w:themeColor="text1"/>
                <w14:textFill>
                  <w14:solidFill>
                    <w14:schemeClr w14:val="tx1"/>
                  </w14:solidFill>
                </w14:textFill>
              </w:rPr>
            </w:pPr>
            <w:r>
              <w:rPr>
                <w:rFonts w:hint="eastAsia"/>
                <w:color w:val="000000" w:themeColor="text1"/>
                <w14:textFill>
                  <w14:solidFill>
                    <w14:schemeClr w14:val="tx1"/>
                  </w14:solidFill>
                </w14:textFill>
              </w:rPr>
              <w:t>服务</w:t>
            </w:r>
            <w:r>
              <w:rPr>
                <w:rFonts w:hint="eastAsia"/>
                <w:color w:val="000000" w:themeColor="text1"/>
                <w:lang w:val="en-GB"/>
                <w14:textFill>
                  <w14:solidFill>
                    <w14:schemeClr w14:val="tx1"/>
                  </w14:solidFill>
                </w14:textFill>
              </w:rPr>
              <w:t>的主要</w:t>
            </w:r>
            <w:r>
              <w:rPr>
                <w:rFonts w:hint="eastAsia"/>
                <w:color w:val="000000" w:themeColor="text1"/>
                <w14:textFill>
                  <w14:solidFill>
                    <w14:schemeClr w14:val="tx1"/>
                  </w14:solidFill>
                </w14:textFill>
              </w:rPr>
              <w:t>内容：</w:t>
            </w:r>
          </w:p>
          <w:p>
            <w:pPr>
              <w:rPr>
                <w:b/>
                <w:color w:val="000000" w:themeColor="text1"/>
                <w14:textFill>
                  <w14:solidFill>
                    <w14:schemeClr w14:val="tx1"/>
                  </w14:solidFill>
                </w14:textFill>
              </w:rPr>
            </w:pP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w:t>
            </w:r>
          </w:p>
          <w:p>
            <w:pPr>
              <w:jc w:val="center"/>
              <w:rPr>
                <w:b/>
                <w:color w:val="000000" w:themeColor="text1"/>
                <w14:textFill>
                  <w14:solidFill>
                    <w14:schemeClr w14:val="tx1"/>
                  </w14:solidFill>
                </w14:textFill>
              </w:rPr>
            </w:pPr>
          </w:p>
          <w:p>
            <w:pPr>
              <w:jc w:val="center"/>
              <w:rPr>
                <w:b/>
                <w:color w:val="000000" w:themeColor="text1"/>
                <w14:textFill>
                  <w14:solidFill>
                    <w14:schemeClr w14:val="tx1"/>
                  </w14:solidFill>
                </w14:textFill>
              </w:rPr>
            </w:pPr>
          </w:p>
          <w:p>
            <w:pPr>
              <w:jc w:val="center"/>
              <w:rPr>
                <w:bCs/>
                <w:color w:val="000000" w:themeColor="text1"/>
                <w14:textFill>
                  <w14:solidFill>
                    <w14:schemeClr w14:val="tx1"/>
                  </w14:solidFill>
                </w14:textFill>
              </w:rPr>
            </w:pPr>
          </w:p>
          <w:p>
            <w:pPr>
              <w:jc w:val="center"/>
              <w:rPr>
                <w:bCs/>
                <w:color w:val="000000" w:themeColor="text1"/>
                <w:lang w:val="en-GB"/>
                <w14:textFill>
                  <w14:solidFill>
                    <w14:schemeClr w14:val="tx1"/>
                  </w14:solidFill>
                </w14:textFill>
              </w:rPr>
            </w:pPr>
            <w:r>
              <w:rPr>
                <w:rFonts w:hint="eastAsia"/>
                <w:bCs/>
                <w:color w:val="000000" w:themeColor="text1"/>
                <w14:textFill>
                  <w14:solidFill>
                    <w14:schemeClr w14:val="tx1"/>
                  </w14:solidFill>
                </w14:textFill>
              </w:rPr>
              <w:t xml:space="preserve">                                  </w:t>
            </w:r>
            <w:r>
              <w:rPr>
                <w:rFonts w:hint="eastAsia"/>
                <w:bCs/>
                <w:color w:val="000000" w:themeColor="text1"/>
                <w:lang w:val="en-GB"/>
                <w14:textFill>
                  <w14:solidFill>
                    <w14:schemeClr w14:val="tx1"/>
                  </w14:solidFill>
                </w14:textFill>
              </w:rPr>
              <w:t xml:space="preserve">申请单位(盖章):               </w:t>
            </w:r>
          </w:p>
          <w:p>
            <w:pP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  </w:t>
            </w:r>
          </w:p>
          <w:p>
            <w:pPr>
              <w:jc w:val="center"/>
              <w:rPr>
                <w:bCs/>
                <w:color w:val="000000" w:themeColor="text1"/>
                <w:lang w:val="en-GB"/>
                <w14:textFill>
                  <w14:solidFill>
                    <w14:schemeClr w14:val="tx1"/>
                  </w14:solidFill>
                </w14:textFill>
              </w:rPr>
            </w:pPr>
            <w:r>
              <w:rPr>
                <w:rFonts w:hint="eastAsia"/>
                <w:bCs/>
                <w:color w:val="000000" w:themeColor="text1"/>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          </w:t>
            </w:r>
            <w:r>
              <w:rPr>
                <w:rFonts w:hint="eastAsia" w:ascii="宋体" w:hAnsi="宋体" w:eastAsia="宋体" w:cs="宋体"/>
                <w:bCs/>
                <w:color w:val="000000" w:themeColor="text1"/>
                <w:lang w:val="en-GB"/>
                <w14:textFill>
                  <w14:solidFill>
                    <w14:schemeClr w14:val="tx1"/>
                  </w14:solidFill>
                </w14:textFill>
              </w:rPr>
              <w:t xml:space="preserve">项目负责人: </w:t>
            </w:r>
          </w:p>
          <w:p>
            <w:pPr>
              <w:jc w:val="center"/>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 </w:t>
            </w:r>
          </w:p>
          <w:p>
            <w:pPr>
              <w:jc w:val="center"/>
              <w:rPr>
                <w:b/>
                <w:color w:val="000000" w:themeColor="text1"/>
                <w:lang w:val="en-GB"/>
                <w14:textFill>
                  <w14:solidFill>
                    <w14:schemeClr w14:val="tx1"/>
                  </w14:solidFill>
                </w14:textFill>
              </w:rPr>
            </w:pPr>
            <w:r>
              <w:rPr>
                <w:rFonts w:hint="eastAsia"/>
                <w:bCs/>
                <w:color w:val="000000" w:themeColor="text1"/>
                <w14:textFill>
                  <w14:solidFill>
                    <w14:schemeClr w14:val="tx1"/>
                  </w14:solidFill>
                </w14:textFill>
              </w:rPr>
              <w:t xml:space="preserve">                                  年    月    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254" w:hRule="atLeast"/>
          <w:jc w:val="center"/>
        </w:trPr>
        <w:tc>
          <w:tcPr>
            <w:tcW w:w="1729" w:type="dxa"/>
            <w:tcBorders>
              <w:bottom w:val="single" w:color="auto" w:sz="4" w:space="0"/>
              <w:tl2br w:val="nil"/>
              <w:tr2bl w:val="nil"/>
            </w:tcBorders>
            <w:vAlign w:val="center"/>
          </w:tcPr>
          <w:p>
            <w:pPr>
              <w:jc w:val="center"/>
              <w:rPr>
                <w:color w:val="000000" w:themeColor="text1"/>
                <w14:textFill>
                  <w14:solidFill>
                    <w14:schemeClr w14:val="tx1"/>
                  </w14:solidFill>
                </w14:textFill>
              </w:rPr>
            </w:pPr>
            <w:r>
              <w:rPr>
                <w:rFonts w:hint="eastAsia"/>
              </w:rPr>
              <w:t>专业工程师验收评价</w:t>
            </w:r>
          </w:p>
        </w:tc>
        <w:tc>
          <w:tcPr>
            <w:tcW w:w="8277" w:type="dxa"/>
            <w:gridSpan w:val="3"/>
            <w:tcBorders>
              <w:bottom w:val="single" w:color="auto" w:sz="4" w:space="0"/>
              <w:tl2br w:val="nil"/>
              <w:tr2bl w:val="nil"/>
            </w:tcBorders>
          </w:tcPr>
          <w:p>
            <w:r>
              <w:rPr>
                <w:rFonts w:hint="eastAsia"/>
              </w:rPr>
              <w:t>专业工程师验收意见：</w:t>
            </w:r>
          </w:p>
          <w:p/>
          <w:p/>
          <w:p>
            <w:pPr>
              <w:pStyle w:val="2"/>
            </w:pPr>
          </w:p>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签名： </w:t>
            </w:r>
          </w:p>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w:t>
            </w:r>
          </w:p>
          <w:p>
            <w:pPr>
              <w:jc w:val="center"/>
            </w:pPr>
            <w:r>
              <w:rPr>
                <w:rFonts w:hint="eastAsia" w:ascii="宋体" w:hAnsi="宋体" w:eastAsia="宋体" w:cs="宋体"/>
                <w:bCs/>
                <w:color w:val="000000" w:themeColor="text1"/>
                <w14:textFill>
                  <w14:solidFill>
                    <w14:schemeClr w14:val="tx1"/>
                  </w14:solidFill>
                </w14:textFill>
              </w:rPr>
              <w:t xml:space="preserve">                                   年    月    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096" w:hRule="atLeast"/>
          <w:jc w:val="center"/>
        </w:trPr>
        <w:tc>
          <w:tcPr>
            <w:tcW w:w="1729" w:type="dxa"/>
            <w:tcBorders>
              <w:top w:val="single" w:color="auto" w:sz="4" w:space="0"/>
              <w:tl2br w:val="nil"/>
              <w:tr2bl w:val="nil"/>
            </w:tcBorders>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安全生产部</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验收意见</w:t>
            </w:r>
          </w:p>
        </w:tc>
        <w:tc>
          <w:tcPr>
            <w:tcW w:w="8277" w:type="dxa"/>
            <w:gridSpan w:val="3"/>
            <w:tcBorders>
              <w:top w:val="single" w:color="auto" w:sz="4" w:space="0"/>
              <w:tl2br w:val="nil"/>
              <w:tr2bl w:val="nil"/>
            </w:tcBorders>
          </w:tcPr>
          <w:p>
            <w:r>
              <w:rPr>
                <w:rFonts w:hint="eastAsia"/>
              </w:rPr>
              <w:t>部门经理验收意见:</w:t>
            </w:r>
          </w:p>
          <w:p/>
          <w:p/>
          <w:p/>
          <w:p/>
          <w:p/>
          <w:p/>
          <w:p>
            <w:pPr>
              <w:ind w:firstLine="5250" w:firstLineChars="2500"/>
            </w:pPr>
            <w:r>
              <w:rPr>
                <w:rFonts w:hint="eastAsia"/>
                <w:color w:val="000000" w:themeColor="text1"/>
                <w14:textFill>
                  <w14:solidFill>
                    <w14:schemeClr w14:val="tx1"/>
                  </w14:solidFill>
                </w14:textFill>
              </w:rPr>
              <w:t xml:space="preserve">签名: </w:t>
            </w:r>
          </w:p>
          <w:p>
            <w:r>
              <w:rPr>
                <w:rFonts w:hint="eastAsia"/>
              </w:rPr>
              <w:t xml:space="preserve">                                               </w:t>
            </w:r>
          </w:p>
          <w:p>
            <w:r>
              <w:rPr>
                <w:rFonts w:hint="eastAsia"/>
              </w:rPr>
              <w:t xml:space="preserve">                                                  年    月    日</w:t>
            </w:r>
          </w:p>
        </w:tc>
      </w:tr>
    </w:tbl>
    <w:p>
      <w:pPr>
        <w:pStyle w:val="2"/>
      </w:pPr>
    </w:p>
    <w:sectPr>
      <w:headerReference r:id="rId4" w:type="default"/>
      <w:footerReference r:id="rId5" w:type="default"/>
      <w:pgSz w:w="11906" w:h="16838"/>
      <w:pgMar w:top="1440" w:right="1274" w:bottom="1440" w:left="184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t>第</w:t>
    </w:r>
    <w:sdt>
      <w:sdtPr>
        <w:id w:val="-139498608"/>
        <w:docPartObj>
          <w:docPartGallery w:val="autotext"/>
        </w:docPartObj>
      </w:sdtPr>
      <w:sdtContent>
        <w:sdt>
          <w:sdtPr>
            <w:id w:val="1728636285"/>
            <w:docPartObj>
              <w:docPartGallery w:val="autotext"/>
            </w:docPartObj>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w:t>
            </w:r>
            <w:r>
              <w:rPr>
                <w:rFonts w:hint="eastAsia"/>
                <w:lang w:val="zh-CN"/>
              </w:rPr>
              <w:t>页 共</w:t>
            </w:r>
            <w:r>
              <w:rPr>
                <w:lang w:val="zh-CN"/>
              </w:rPr>
              <w:fldChar w:fldCharType="begin"/>
            </w:r>
            <w:r>
              <w:rPr>
                <w:lang w:val="zh-CN"/>
              </w:rPr>
              <w:instrText xml:space="preserve">NUMPAGES</w:instrText>
            </w:r>
            <w:r>
              <w:rPr>
                <w:lang w:val="zh-CN"/>
              </w:rPr>
              <w:fldChar w:fldCharType="separate"/>
            </w:r>
            <w:r>
              <w:rPr>
                <w:lang w:val="zh-CN"/>
              </w:rPr>
              <w:t>21</w:t>
            </w:r>
            <w:r>
              <w:rPr>
                <w:lang w:val="zh-CN"/>
              </w:rPr>
              <w:fldChar w:fldCharType="end"/>
            </w:r>
            <w:r>
              <w:rPr>
                <w:lang w:val="zh-CN"/>
              </w:rPr>
              <w:t xml:space="preserve"> 页</w:t>
            </w:r>
          </w:sdtContent>
        </w:sdt>
      </w:sdtContent>
    </w:sdt>
  </w:p>
  <w:p>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0937125"/>
    </w:sdtPr>
    <w:sdtContent>
      <w:p>
        <w:pPr>
          <w:pStyle w:val="9"/>
          <w:jc w:val="center"/>
        </w:pPr>
        <w:sdt>
          <w:sdtPr>
            <w:id w:val="1736517204"/>
          </w:sdtPr>
          <w:sdtEndPr>
            <w:rPr>
              <w:lang w:val="zh-CN"/>
            </w:rPr>
          </w:sdtEndPr>
          <w:sdtContent>
            <w:r>
              <w:rPr>
                <w:lang w:val="zh-CN"/>
              </w:rPr>
              <w:t xml:space="preserve"> 第</w:t>
            </w:r>
            <w:r>
              <w:rPr>
                <w:bCs/>
                <w:sz w:val="24"/>
                <w:szCs w:val="24"/>
              </w:rPr>
              <w:fldChar w:fldCharType="begin"/>
            </w:r>
            <w:r>
              <w:rPr>
                <w:bCs/>
              </w:rPr>
              <w:instrText xml:space="preserve">PAGE</w:instrText>
            </w:r>
            <w:r>
              <w:rPr>
                <w:bCs/>
                <w:sz w:val="24"/>
                <w:szCs w:val="24"/>
              </w:rPr>
              <w:fldChar w:fldCharType="separate"/>
            </w:r>
            <w:r>
              <w:rPr>
                <w:bCs/>
              </w:rPr>
              <w:t>16</w:t>
            </w:r>
            <w:r>
              <w:rPr>
                <w:bCs/>
                <w:sz w:val="24"/>
                <w:szCs w:val="24"/>
              </w:rPr>
              <w:fldChar w:fldCharType="end"/>
            </w:r>
            <w:r>
              <w:rPr>
                <w:lang w:val="zh-CN"/>
              </w:rPr>
              <w:t xml:space="preserve">  页</w:t>
            </w:r>
            <w:r>
              <w:rPr>
                <w:rFonts w:hint="eastAsia"/>
                <w:lang w:val="zh-CN"/>
              </w:rPr>
              <w:t xml:space="preserve"> 共</w:t>
            </w:r>
            <w:r>
              <w:rPr>
                <w:lang w:val="zh-CN"/>
              </w:rPr>
              <w:t>19</w:t>
            </w:r>
          </w:sdtContent>
        </w:sdt>
        <w:r>
          <w:rPr>
            <w:lang w:val="zh-CN"/>
          </w:rPr>
          <w:t>页</w:t>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FA4409"/>
    <w:multiLevelType w:val="multilevel"/>
    <w:tmpl w:val="15FA4409"/>
    <w:lvl w:ilvl="0" w:tentative="0">
      <w:start w:val="1"/>
      <w:numFmt w:val="decimal"/>
      <w:lvlText w:val="1.%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079"/>
    <w:rsid w:val="00014814"/>
    <w:rsid w:val="00022480"/>
    <w:rsid w:val="00035BED"/>
    <w:rsid w:val="00051E10"/>
    <w:rsid w:val="000A15B2"/>
    <w:rsid w:val="000C7588"/>
    <w:rsid w:val="00115B74"/>
    <w:rsid w:val="00167C10"/>
    <w:rsid w:val="00172FB9"/>
    <w:rsid w:val="001A4B2C"/>
    <w:rsid w:val="001A533F"/>
    <w:rsid w:val="001D48F5"/>
    <w:rsid w:val="00216A51"/>
    <w:rsid w:val="00230A68"/>
    <w:rsid w:val="00236070"/>
    <w:rsid w:val="00251627"/>
    <w:rsid w:val="0027481E"/>
    <w:rsid w:val="00283B72"/>
    <w:rsid w:val="002947F2"/>
    <w:rsid w:val="00295E96"/>
    <w:rsid w:val="002B6C68"/>
    <w:rsid w:val="002D3FDB"/>
    <w:rsid w:val="002F111F"/>
    <w:rsid w:val="00313491"/>
    <w:rsid w:val="00353FEE"/>
    <w:rsid w:val="00361C60"/>
    <w:rsid w:val="00376D0E"/>
    <w:rsid w:val="0037797B"/>
    <w:rsid w:val="00383066"/>
    <w:rsid w:val="00392053"/>
    <w:rsid w:val="003942FE"/>
    <w:rsid w:val="003E0605"/>
    <w:rsid w:val="00403CFE"/>
    <w:rsid w:val="004932AC"/>
    <w:rsid w:val="004E0F8F"/>
    <w:rsid w:val="004E574B"/>
    <w:rsid w:val="00503F33"/>
    <w:rsid w:val="00571027"/>
    <w:rsid w:val="00597E6D"/>
    <w:rsid w:val="005C6073"/>
    <w:rsid w:val="005D3361"/>
    <w:rsid w:val="005D3B87"/>
    <w:rsid w:val="005D4DCB"/>
    <w:rsid w:val="005F585C"/>
    <w:rsid w:val="005F6FF3"/>
    <w:rsid w:val="00637DC8"/>
    <w:rsid w:val="00653198"/>
    <w:rsid w:val="0065549F"/>
    <w:rsid w:val="0066215A"/>
    <w:rsid w:val="00665EBC"/>
    <w:rsid w:val="00675F87"/>
    <w:rsid w:val="006C4F44"/>
    <w:rsid w:val="006C6989"/>
    <w:rsid w:val="007011E7"/>
    <w:rsid w:val="00706A04"/>
    <w:rsid w:val="007522CD"/>
    <w:rsid w:val="00766750"/>
    <w:rsid w:val="0078289A"/>
    <w:rsid w:val="007904A6"/>
    <w:rsid w:val="007A143D"/>
    <w:rsid w:val="007A1689"/>
    <w:rsid w:val="007B5646"/>
    <w:rsid w:val="007F7715"/>
    <w:rsid w:val="008245A7"/>
    <w:rsid w:val="008837C2"/>
    <w:rsid w:val="008A0D72"/>
    <w:rsid w:val="008D34A6"/>
    <w:rsid w:val="008E6D1C"/>
    <w:rsid w:val="00901F6A"/>
    <w:rsid w:val="009152C1"/>
    <w:rsid w:val="00916310"/>
    <w:rsid w:val="009234C3"/>
    <w:rsid w:val="00956223"/>
    <w:rsid w:val="00966DC2"/>
    <w:rsid w:val="009726D9"/>
    <w:rsid w:val="009B069E"/>
    <w:rsid w:val="009C58A3"/>
    <w:rsid w:val="009F2132"/>
    <w:rsid w:val="00A047BD"/>
    <w:rsid w:val="00A04CB2"/>
    <w:rsid w:val="00A56AE1"/>
    <w:rsid w:val="00A6707F"/>
    <w:rsid w:val="00B12A4B"/>
    <w:rsid w:val="00B12B89"/>
    <w:rsid w:val="00B270B6"/>
    <w:rsid w:val="00B5168E"/>
    <w:rsid w:val="00B54AED"/>
    <w:rsid w:val="00B63B1A"/>
    <w:rsid w:val="00B77E05"/>
    <w:rsid w:val="00B83D4D"/>
    <w:rsid w:val="00BA631C"/>
    <w:rsid w:val="00BB29E8"/>
    <w:rsid w:val="00BC4B69"/>
    <w:rsid w:val="00BD7AB5"/>
    <w:rsid w:val="00BE0199"/>
    <w:rsid w:val="00BE06A3"/>
    <w:rsid w:val="00BE0918"/>
    <w:rsid w:val="00C01D35"/>
    <w:rsid w:val="00C07784"/>
    <w:rsid w:val="00C27079"/>
    <w:rsid w:val="00C83594"/>
    <w:rsid w:val="00C85A9C"/>
    <w:rsid w:val="00C94028"/>
    <w:rsid w:val="00CC320A"/>
    <w:rsid w:val="00CF02EF"/>
    <w:rsid w:val="00CF33B1"/>
    <w:rsid w:val="00D400AA"/>
    <w:rsid w:val="00D50EA7"/>
    <w:rsid w:val="00D642FD"/>
    <w:rsid w:val="00D9470C"/>
    <w:rsid w:val="00DA130B"/>
    <w:rsid w:val="00DC225E"/>
    <w:rsid w:val="00DE0799"/>
    <w:rsid w:val="00DE35FB"/>
    <w:rsid w:val="00DE6BD6"/>
    <w:rsid w:val="00DF3C4D"/>
    <w:rsid w:val="00E26918"/>
    <w:rsid w:val="00E31CB2"/>
    <w:rsid w:val="00E5490B"/>
    <w:rsid w:val="00E54E5A"/>
    <w:rsid w:val="00E82D4D"/>
    <w:rsid w:val="00E84457"/>
    <w:rsid w:val="00EA0D75"/>
    <w:rsid w:val="00EB3D6D"/>
    <w:rsid w:val="00ED2FA1"/>
    <w:rsid w:val="00EE6A0E"/>
    <w:rsid w:val="00F05DDC"/>
    <w:rsid w:val="00F1686F"/>
    <w:rsid w:val="00F178AF"/>
    <w:rsid w:val="00F216D5"/>
    <w:rsid w:val="00F22DB4"/>
    <w:rsid w:val="00F24624"/>
    <w:rsid w:val="00F60F9F"/>
    <w:rsid w:val="00F724E4"/>
    <w:rsid w:val="00F81792"/>
    <w:rsid w:val="00F87871"/>
    <w:rsid w:val="00F91A1A"/>
    <w:rsid w:val="00F92993"/>
    <w:rsid w:val="00F96900"/>
    <w:rsid w:val="00FB2F57"/>
    <w:rsid w:val="00FB5A8B"/>
    <w:rsid w:val="00FF214F"/>
    <w:rsid w:val="00FF530D"/>
    <w:rsid w:val="0EE91AF7"/>
    <w:rsid w:val="13AA6692"/>
    <w:rsid w:val="19854019"/>
    <w:rsid w:val="1B214DA9"/>
    <w:rsid w:val="1E9D55C9"/>
    <w:rsid w:val="1F135208"/>
    <w:rsid w:val="235D2BC9"/>
    <w:rsid w:val="38364092"/>
    <w:rsid w:val="4EA50074"/>
    <w:rsid w:val="59BA1D01"/>
    <w:rsid w:val="5E3371D7"/>
    <w:rsid w:val="7163448E"/>
    <w:rsid w:val="7265618C"/>
    <w:rsid w:val="763124B6"/>
    <w:rsid w:val="77FF2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4"/>
    <w:unhideWhenUsed/>
    <w:qFormat/>
    <w:uiPriority w:val="9"/>
    <w:pPr>
      <w:keepNext/>
      <w:keepLines/>
      <w:snapToGrid w:val="0"/>
      <w:spacing w:line="360" w:lineRule="auto"/>
      <w:outlineLvl w:val="1"/>
    </w:pPr>
    <w:rPr>
      <w:rFonts w:eastAsia="宋体" w:asciiTheme="majorHAnsi" w:hAnsiTheme="majorHAnsi" w:cstheme="majorBidi"/>
      <w:b/>
      <w:bCs/>
      <w:sz w:val="28"/>
      <w:szCs w:val="32"/>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w:basedOn w:val="1"/>
    <w:link w:val="21"/>
    <w:unhideWhenUsed/>
    <w:qFormat/>
    <w:uiPriority w:val="99"/>
    <w:pPr>
      <w:spacing w:after="120"/>
    </w:pPr>
  </w:style>
  <w:style w:type="paragraph" w:styleId="5">
    <w:name w:val="annotation text"/>
    <w:basedOn w:val="1"/>
    <w:semiHidden/>
    <w:unhideWhenUsed/>
    <w:qFormat/>
    <w:uiPriority w:val="99"/>
    <w:pPr>
      <w:jc w:val="left"/>
    </w:pPr>
  </w:style>
  <w:style w:type="paragraph" w:styleId="6">
    <w:name w:val="Body Text 3"/>
    <w:basedOn w:val="1"/>
    <w:link w:val="22"/>
    <w:semiHidden/>
    <w:unhideWhenUsed/>
    <w:qFormat/>
    <w:uiPriority w:val="99"/>
    <w:pPr>
      <w:spacing w:after="120"/>
    </w:pPr>
    <w:rPr>
      <w:sz w:val="16"/>
      <w:szCs w:val="16"/>
    </w:rPr>
  </w:style>
  <w:style w:type="paragraph" w:styleId="7">
    <w:name w:val="toc 3"/>
    <w:basedOn w:val="1"/>
    <w:next w:val="1"/>
    <w:unhideWhenUsed/>
    <w:qFormat/>
    <w:uiPriority w:val="39"/>
    <w:pPr>
      <w:ind w:left="840" w:leftChars="400"/>
    </w:pPr>
  </w:style>
  <w:style w:type="paragraph" w:styleId="8">
    <w:name w:val="Balloon Text"/>
    <w:basedOn w:val="1"/>
    <w:link w:val="28"/>
    <w:semiHidden/>
    <w:unhideWhenUsed/>
    <w:qFormat/>
    <w:uiPriority w:val="99"/>
    <w:rPr>
      <w:sz w:val="18"/>
      <w:szCs w:val="18"/>
    </w:rPr>
  </w:style>
  <w:style w:type="paragraph" w:styleId="9">
    <w:name w:val="footer"/>
    <w:basedOn w:val="1"/>
    <w:link w:val="20"/>
    <w:unhideWhenUsed/>
    <w:uiPriority w:val="99"/>
    <w:pPr>
      <w:tabs>
        <w:tab w:val="center" w:pos="4153"/>
        <w:tab w:val="right" w:pos="8306"/>
      </w:tabs>
      <w:snapToGrid w:val="0"/>
      <w:jc w:val="left"/>
    </w:pPr>
    <w:rPr>
      <w:sz w:val="18"/>
      <w:szCs w:val="18"/>
    </w:rPr>
  </w:style>
  <w:style w:type="paragraph" w:styleId="10">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59" w:lineRule="auto"/>
      <w:jc w:val="left"/>
    </w:pPr>
    <w:rPr>
      <w:rFonts w:cs="Times New Roman"/>
      <w:kern w:val="0"/>
      <w:sz w:val="22"/>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semiHidden/>
    <w:unhideWhenUsed/>
    <w:qFormat/>
    <w:uiPriority w:val="99"/>
    <w:rPr>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563C1" w:themeColor="hyperlink"/>
      <w:u w:val="single"/>
      <w14:textFill>
        <w14:solidFill>
          <w14:schemeClr w14:val="hlink"/>
        </w14:solidFill>
      </w14:textFill>
    </w:rPr>
  </w:style>
  <w:style w:type="character" w:styleId="18">
    <w:name w:val="annotation reference"/>
    <w:basedOn w:val="16"/>
    <w:semiHidden/>
    <w:unhideWhenUsed/>
    <w:qFormat/>
    <w:uiPriority w:val="99"/>
    <w:rPr>
      <w:sz w:val="21"/>
      <w:szCs w:val="21"/>
    </w:rPr>
  </w:style>
  <w:style w:type="character" w:customStyle="1" w:styleId="19">
    <w:name w:val="页眉 字符"/>
    <w:basedOn w:val="16"/>
    <w:link w:val="10"/>
    <w:qFormat/>
    <w:uiPriority w:val="99"/>
    <w:rPr>
      <w:sz w:val="18"/>
      <w:szCs w:val="18"/>
    </w:rPr>
  </w:style>
  <w:style w:type="character" w:customStyle="1" w:styleId="20">
    <w:name w:val="页脚 字符"/>
    <w:basedOn w:val="16"/>
    <w:link w:val="9"/>
    <w:qFormat/>
    <w:uiPriority w:val="99"/>
    <w:rPr>
      <w:sz w:val="18"/>
      <w:szCs w:val="18"/>
    </w:rPr>
  </w:style>
  <w:style w:type="character" w:customStyle="1" w:styleId="21">
    <w:name w:val="正文文本 字符"/>
    <w:basedOn w:val="16"/>
    <w:link w:val="2"/>
    <w:qFormat/>
    <w:uiPriority w:val="99"/>
  </w:style>
  <w:style w:type="character" w:customStyle="1" w:styleId="22">
    <w:name w:val="正文文本 3 字符"/>
    <w:basedOn w:val="16"/>
    <w:link w:val="6"/>
    <w:semiHidden/>
    <w:qFormat/>
    <w:uiPriority w:val="99"/>
    <w:rPr>
      <w:sz w:val="16"/>
      <w:szCs w:val="16"/>
    </w:rPr>
  </w:style>
  <w:style w:type="paragraph" w:styleId="23">
    <w:name w:val="List Paragraph"/>
    <w:basedOn w:val="1"/>
    <w:link w:val="30"/>
    <w:qFormat/>
    <w:uiPriority w:val="34"/>
    <w:pPr>
      <w:ind w:firstLine="420" w:firstLineChars="200"/>
    </w:pPr>
  </w:style>
  <w:style w:type="character" w:customStyle="1" w:styleId="24">
    <w:name w:val="标题 2 字符"/>
    <w:basedOn w:val="16"/>
    <w:link w:val="4"/>
    <w:qFormat/>
    <w:uiPriority w:val="9"/>
    <w:rPr>
      <w:rFonts w:eastAsia="宋体" w:asciiTheme="majorHAnsi" w:hAnsiTheme="majorHAnsi" w:cstheme="majorBidi"/>
      <w:b/>
      <w:bCs/>
      <w:sz w:val="28"/>
      <w:szCs w:val="32"/>
    </w:rPr>
  </w:style>
  <w:style w:type="character" w:customStyle="1" w:styleId="25">
    <w:name w:val="标题 1 字符"/>
    <w:basedOn w:val="16"/>
    <w:link w:val="3"/>
    <w:qFormat/>
    <w:uiPriority w:val="9"/>
    <w:rPr>
      <w:b/>
      <w:bCs/>
      <w:kern w:val="44"/>
      <w:sz w:val="44"/>
      <w:szCs w:val="44"/>
    </w:rPr>
  </w:style>
  <w:style w:type="paragraph" w:customStyle="1" w:styleId="26">
    <w:name w:val="TOC 标题1"/>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7">
    <w:name w:val="新正文"/>
    <w:basedOn w:val="1"/>
    <w:next w:val="1"/>
    <w:qFormat/>
    <w:uiPriority w:val="0"/>
    <w:pPr>
      <w:tabs>
        <w:tab w:val="left" w:pos="0"/>
        <w:tab w:val="left" w:pos="60"/>
      </w:tabs>
      <w:spacing w:line="440" w:lineRule="atLeast"/>
    </w:pPr>
    <w:rPr>
      <w:rFonts w:ascii="宋体" w:hAnsi="宋体"/>
      <w:snapToGrid w:val="0"/>
      <w:color w:val="000000"/>
    </w:rPr>
  </w:style>
  <w:style w:type="character" w:customStyle="1" w:styleId="28">
    <w:name w:val="批注框文本 字符"/>
    <w:basedOn w:val="16"/>
    <w:link w:val="8"/>
    <w:semiHidden/>
    <w:qFormat/>
    <w:uiPriority w:val="99"/>
    <w:rPr>
      <w:rFonts w:asciiTheme="minorHAnsi" w:hAnsiTheme="minorHAnsi" w:eastAsiaTheme="minorEastAsia" w:cstheme="minorBidi"/>
      <w:kern w:val="2"/>
      <w:sz w:val="18"/>
      <w:szCs w:val="18"/>
    </w:rPr>
  </w:style>
  <w:style w:type="table" w:customStyle="1" w:styleId="29">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30">
    <w:name w:val="列表段落 字符"/>
    <w:link w:val="23"/>
    <w:qFormat/>
    <w:uiPriority w:val="34"/>
    <w:rPr>
      <w:rFonts w:asciiTheme="minorHAnsi" w:hAnsiTheme="minorHAnsi" w:eastAsiaTheme="minorEastAsia" w:cstheme="minorBidi"/>
      <w:kern w:val="2"/>
      <w:sz w:val="21"/>
      <w:szCs w:val="22"/>
    </w:rPr>
  </w:style>
  <w:style w:type="character" w:customStyle="1" w:styleId="31">
    <w:name w:val="标题 2 字符1"/>
    <w:basedOn w:val="16"/>
    <w:qFormat/>
    <w:uiPriority w:val="0"/>
    <w:rPr>
      <w:rFonts w:asciiTheme="majorHAnsi" w:hAnsiTheme="majorHAnsi" w:eastAsiaTheme="majorEastAsia" w:cstheme="majorBidi"/>
      <w:bCs/>
      <w:kern w:val="2"/>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CADFC-EA7A-4298-A8B4-B1797CBA01D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18</Pages>
  <Words>1222</Words>
  <Characters>6969</Characters>
  <Lines>58</Lines>
  <Paragraphs>16</Paragraphs>
  <TotalTime>33</TotalTime>
  <ScaleCrop>false</ScaleCrop>
  <LinksUpToDate>false</LinksUpToDate>
  <CharactersWithSpaces>8175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2026-04-09T07:04:00Z</dcterms:created>
  <dc:creator>何丽华</dc:creator>
  <cp:lastModifiedBy>卓玲</cp:lastModifiedBy>
  <dcterms:modified xsi:type="dcterms:W3CDTF">2026-04-19T20:57:19Z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1CBB8788B5E54640B1F97C6F903F7F96</vt:lpwstr>
  </property>
</Properties>
</file>